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47A882" w14:textId="0A03B5E4" w:rsidR="008A26DC" w:rsidRPr="00C31886" w:rsidRDefault="008A26DC" w:rsidP="008A26DC">
      <w:pPr>
        <w:jc w:val="center"/>
        <w:rPr>
          <w:b/>
        </w:rPr>
      </w:pPr>
      <w:bookmarkStart w:id="0" w:name="_GoBack"/>
      <w:bookmarkEnd w:id="0"/>
      <w:r w:rsidRPr="00C31886">
        <w:rPr>
          <w:b/>
          <w:color w:val="000000"/>
          <w:shd w:val="clear" w:color="auto" w:fill="FFFFFF"/>
        </w:rPr>
        <w:t>The (Un) intended consequences of institutions lowering barriers to entrepreneurship: the impact on female workers</w:t>
      </w:r>
    </w:p>
    <w:p w14:paraId="64187531" w14:textId="77777777" w:rsidR="008A26DC" w:rsidRPr="0058683A" w:rsidRDefault="008A26DC" w:rsidP="008A26DC">
      <w:pPr>
        <w:jc w:val="center"/>
        <w:rPr>
          <w:b/>
          <w:sz w:val="22"/>
          <w:szCs w:val="22"/>
        </w:rPr>
      </w:pPr>
    </w:p>
    <w:p w14:paraId="1954BD48" w14:textId="77777777" w:rsidR="008A26DC" w:rsidRPr="0058683A" w:rsidRDefault="008A26DC" w:rsidP="008A26DC">
      <w:pPr>
        <w:jc w:val="center"/>
        <w:rPr>
          <w:sz w:val="22"/>
          <w:szCs w:val="22"/>
        </w:rPr>
      </w:pPr>
    </w:p>
    <w:p w14:paraId="62EE3CE2" w14:textId="77777777" w:rsidR="008A26DC" w:rsidRPr="0058683A" w:rsidRDefault="008A26DC" w:rsidP="008A26DC">
      <w:pPr>
        <w:jc w:val="center"/>
        <w:rPr>
          <w:sz w:val="22"/>
          <w:szCs w:val="22"/>
        </w:rPr>
      </w:pPr>
      <w:r w:rsidRPr="0058683A">
        <w:rPr>
          <w:sz w:val="22"/>
          <w:szCs w:val="22"/>
        </w:rPr>
        <w:t>Francesco Castellaneta</w:t>
      </w:r>
    </w:p>
    <w:p w14:paraId="68A2A01D" w14:textId="77777777" w:rsidR="008A26DC" w:rsidRPr="0058683A" w:rsidRDefault="008A26DC" w:rsidP="008A26DC">
      <w:pPr>
        <w:jc w:val="center"/>
        <w:rPr>
          <w:sz w:val="22"/>
          <w:szCs w:val="22"/>
        </w:rPr>
      </w:pPr>
      <w:r w:rsidRPr="0058683A">
        <w:rPr>
          <w:sz w:val="22"/>
          <w:szCs w:val="22"/>
        </w:rPr>
        <w:t>SKEMA Business School</w:t>
      </w:r>
    </w:p>
    <w:p w14:paraId="41E55599" w14:textId="77777777" w:rsidR="008A26DC" w:rsidRPr="0058683A" w:rsidRDefault="008A26DC" w:rsidP="008A26DC">
      <w:pPr>
        <w:jc w:val="center"/>
        <w:rPr>
          <w:sz w:val="22"/>
          <w:szCs w:val="22"/>
        </w:rPr>
      </w:pPr>
      <w:r w:rsidRPr="0058683A">
        <w:rPr>
          <w:sz w:val="22"/>
          <w:szCs w:val="22"/>
        </w:rPr>
        <w:t>Sophia Antipolis, France</w:t>
      </w:r>
    </w:p>
    <w:p w14:paraId="161198FD" w14:textId="77777777" w:rsidR="008A26DC" w:rsidRPr="0058683A" w:rsidRDefault="00E31B97" w:rsidP="008A26DC">
      <w:pPr>
        <w:jc w:val="center"/>
        <w:rPr>
          <w:rStyle w:val="Hyperlink"/>
        </w:rPr>
      </w:pPr>
      <w:hyperlink r:id="rId8" w:history="1">
        <w:r w:rsidR="008A26DC" w:rsidRPr="0058683A">
          <w:rPr>
            <w:rStyle w:val="Hyperlink"/>
            <w:sz w:val="22"/>
            <w:szCs w:val="22"/>
          </w:rPr>
          <w:t>francesco.castellaneta@skema.edu</w:t>
        </w:r>
      </w:hyperlink>
      <w:r w:rsidR="008A26DC" w:rsidRPr="0058683A">
        <w:rPr>
          <w:rStyle w:val="Hyperlink"/>
        </w:rPr>
        <w:t xml:space="preserve"> </w:t>
      </w:r>
    </w:p>
    <w:p w14:paraId="3C26E38C" w14:textId="77777777" w:rsidR="008A26DC" w:rsidRPr="0058683A" w:rsidRDefault="008A26DC" w:rsidP="008A26DC">
      <w:pPr>
        <w:jc w:val="center"/>
        <w:rPr>
          <w:sz w:val="22"/>
          <w:szCs w:val="22"/>
        </w:rPr>
      </w:pPr>
    </w:p>
    <w:p w14:paraId="3AF45032" w14:textId="77777777" w:rsidR="008A26DC" w:rsidRPr="0058683A" w:rsidRDefault="008A26DC" w:rsidP="008A26DC">
      <w:pPr>
        <w:jc w:val="center"/>
        <w:rPr>
          <w:sz w:val="22"/>
          <w:szCs w:val="22"/>
        </w:rPr>
      </w:pPr>
    </w:p>
    <w:p w14:paraId="49B55BF0" w14:textId="77777777" w:rsidR="008A26DC" w:rsidRPr="0058683A" w:rsidRDefault="008A26DC" w:rsidP="008A26DC">
      <w:pPr>
        <w:jc w:val="center"/>
        <w:rPr>
          <w:sz w:val="22"/>
          <w:szCs w:val="22"/>
        </w:rPr>
      </w:pPr>
    </w:p>
    <w:p w14:paraId="4D94F4DB" w14:textId="77777777" w:rsidR="008A26DC" w:rsidRPr="0058683A" w:rsidRDefault="008A26DC" w:rsidP="008A26DC">
      <w:pPr>
        <w:jc w:val="center"/>
        <w:rPr>
          <w:sz w:val="22"/>
          <w:szCs w:val="22"/>
        </w:rPr>
      </w:pPr>
      <w:r w:rsidRPr="0058683A">
        <w:rPr>
          <w:sz w:val="22"/>
          <w:szCs w:val="22"/>
        </w:rPr>
        <w:t>Raffaele Conti</w:t>
      </w:r>
    </w:p>
    <w:p w14:paraId="66825A43" w14:textId="77777777" w:rsidR="008A26DC" w:rsidRPr="0058683A" w:rsidRDefault="008A26DC" w:rsidP="008A26DC">
      <w:pPr>
        <w:jc w:val="center"/>
        <w:rPr>
          <w:sz w:val="22"/>
          <w:szCs w:val="22"/>
        </w:rPr>
      </w:pPr>
      <w:r w:rsidRPr="0058683A">
        <w:rPr>
          <w:sz w:val="22"/>
          <w:szCs w:val="22"/>
        </w:rPr>
        <w:t>Catolica Lisbon School of Business and Economics</w:t>
      </w:r>
    </w:p>
    <w:p w14:paraId="31CD9AFA" w14:textId="77777777" w:rsidR="008A26DC" w:rsidRPr="0058683A" w:rsidRDefault="008A26DC" w:rsidP="008A26DC">
      <w:pPr>
        <w:jc w:val="center"/>
        <w:rPr>
          <w:sz w:val="22"/>
          <w:szCs w:val="22"/>
        </w:rPr>
      </w:pPr>
      <w:r w:rsidRPr="0058683A">
        <w:rPr>
          <w:sz w:val="22"/>
          <w:szCs w:val="22"/>
        </w:rPr>
        <w:t>Lisbon, Portugal</w:t>
      </w:r>
    </w:p>
    <w:p w14:paraId="37BF2C1B" w14:textId="77777777" w:rsidR="008A26DC" w:rsidRPr="0058683A" w:rsidRDefault="00E31B97" w:rsidP="008A26DC">
      <w:pPr>
        <w:jc w:val="center"/>
        <w:rPr>
          <w:sz w:val="22"/>
          <w:szCs w:val="22"/>
        </w:rPr>
      </w:pPr>
      <w:hyperlink r:id="rId9" w:history="1">
        <w:r w:rsidR="008A26DC" w:rsidRPr="0058683A">
          <w:rPr>
            <w:rStyle w:val="Hyperlink"/>
            <w:sz w:val="22"/>
            <w:szCs w:val="22"/>
          </w:rPr>
          <w:t>raffaele.conti@clsbe.lisboa.ucp.pt</w:t>
        </w:r>
      </w:hyperlink>
    </w:p>
    <w:p w14:paraId="3C0BE5FE" w14:textId="77777777" w:rsidR="008A26DC" w:rsidRPr="0058683A" w:rsidRDefault="008A26DC" w:rsidP="008A26DC">
      <w:pPr>
        <w:jc w:val="center"/>
        <w:rPr>
          <w:sz w:val="22"/>
          <w:szCs w:val="22"/>
        </w:rPr>
      </w:pPr>
    </w:p>
    <w:p w14:paraId="2F83277A" w14:textId="77777777" w:rsidR="008A26DC" w:rsidRPr="0058683A" w:rsidRDefault="008A26DC" w:rsidP="008A26DC">
      <w:pPr>
        <w:jc w:val="center"/>
        <w:rPr>
          <w:sz w:val="22"/>
          <w:szCs w:val="22"/>
        </w:rPr>
      </w:pPr>
    </w:p>
    <w:p w14:paraId="558E43DE" w14:textId="3C0D0806" w:rsidR="008A26DC" w:rsidRPr="0058683A" w:rsidRDefault="008A26DC" w:rsidP="008A26DC">
      <w:pPr>
        <w:jc w:val="center"/>
        <w:rPr>
          <w:sz w:val="22"/>
          <w:szCs w:val="22"/>
        </w:rPr>
      </w:pPr>
      <w:r w:rsidRPr="0058683A">
        <w:rPr>
          <w:sz w:val="22"/>
          <w:szCs w:val="22"/>
        </w:rPr>
        <w:t>Olenka Kacperczyk</w:t>
      </w:r>
      <w:r>
        <w:rPr>
          <w:sz w:val="22"/>
          <w:szCs w:val="22"/>
        </w:rPr>
        <w:t>*</w:t>
      </w:r>
    </w:p>
    <w:p w14:paraId="4DCE7F9A" w14:textId="77777777" w:rsidR="008A26DC" w:rsidRPr="0058683A" w:rsidRDefault="008A26DC" w:rsidP="008A26DC">
      <w:pPr>
        <w:jc w:val="center"/>
        <w:rPr>
          <w:sz w:val="22"/>
          <w:szCs w:val="22"/>
        </w:rPr>
      </w:pPr>
      <w:r w:rsidRPr="0058683A">
        <w:rPr>
          <w:sz w:val="22"/>
          <w:szCs w:val="22"/>
        </w:rPr>
        <w:t>London Business School</w:t>
      </w:r>
    </w:p>
    <w:p w14:paraId="06021CA0" w14:textId="77777777" w:rsidR="008A26DC" w:rsidRPr="0058683A" w:rsidRDefault="008A26DC" w:rsidP="008A26DC">
      <w:pPr>
        <w:jc w:val="center"/>
        <w:rPr>
          <w:sz w:val="22"/>
          <w:szCs w:val="22"/>
        </w:rPr>
      </w:pPr>
      <w:r w:rsidRPr="0058683A">
        <w:rPr>
          <w:sz w:val="22"/>
          <w:szCs w:val="22"/>
        </w:rPr>
        <w:t>26 Sussex Place, NW1 6SA, London</w:t>
      </w:r>
    </w:p>
    <w:p w14:paraId="1A10EC43" w14:textId="77777777" w:rsidR="008A26DC" w:rsidRPr="0058683A" w:rsidRDefault="008A26DC" w:rsidP="008A26DC">
      <w:pPr>
        <w:jc w:val="center"/>
        <w:rPr>
          <w:sz w:val="22"/>
          <w:szCs w:val="22"/>
          <w:u w:val="single"/>
        </w:rPr>
      </w:pPr>
      <w:r w:rsidRPr="0058683A">
        <w:rPr>
          <w:sz w:val="22"/>
          <w:szCs w:val="22"/>
          <w:u w:val="single"/>
        </w:rPr>
        <w:t>okacperczyk@london.edu</w:t>
      </w:r>
    </w:p>
    <w:p w14:paraId="16447A6B" w14:textId="77777777" w:rsidR="008A26DC" w:rsidRPr="0058683A" w:rsidRDefault="008A26DC" w:rsidP="008A26DC">
      <w:pPr>
        <w:jc w:val="center"/>
        <w:rPr>
          <w:sz w:val="22"/>
          <w:szCs w:val="22"/>
        </w:rPr>
      </w:pPr>
    </w:p>
    <w:p w14:paraId="5C191790" w14:textId="77777777" w:rsidR="008A26DC" w:rsidRPr="0058683A" w:rsidRDefault="008A26DC" w:rsidP="008A26DC">
      <w:pPr>
        <w:rPr>
          <w:sz w:val="22"/>
          <w:szCs w:val="22"/>
        </w:rPr>
      </w:pPr>
    </w:p>
    <w:p w14:paraId="49A9CE19" w14:textId="77777777" w:rsidR="008A26DC" w:rsidRPr="0058683A" w:rsidRDefault="008A26DC" w:rsidP="008A26DC">
      <w:pPr>
        <w:jc w:val="center"/>
        <w:rPr>
          <w:sz w:val="22"/>
          <w:szCs w:val="22"/>
        </w:rPr>
      </w:pPr>
    </w:p>
    <w:p w14:paraId="1254664F" w14:textId="77777777" w:rsidR="008A26DC" w:rsidRDefault="008A26DC" w:rsidP="008A26DC">
      <w:pPr>
        <w:textAlignment w:val="baseline"/>
        <w:rPr>
          <w:b/>
          <w:bCs/>
          <w:color w:val="000000"/>
          <w:sz w:val="20"/>
          <w:szCs w:val="20"/>
        </w:rPr>
      </w:pPr>
    </w:p>
    <w:p w14:paraId="4AE59447" w14:textId="4DC2F968" w:rsidR="008A26DC" w:rsidRPr="008A26DC" w:rsidRDefault="008A26DC" w:rsidP="008A26DC">
      <w:pPr>
        <w:jc w:val="center"/>
        <w:textAlignment w:val="baseline"/>
        <w:rPr>
          <w:color w:val="000000"/>
          <w:shd w:val="clear" w:color="auto" w:fill="FFFFFF"/>
        </w:rPr>
      </w:pPr>
      <w:r w:rsidRPr="008A26DC">
        <w:rPr>
          <w:b/>
          <w:bCs/>
          <w:color w:val="000000"/>
        </w:rPr>
        <w:t xml:space="preserve">Running Head: </w:t>
      </w:r>
      <w:r w:rsidRPr="008A26DC">
        <w:rPr>
          <w:color w:val="000000"/>
          <w:shd w:val="clear" w:color="auto" w:fill="FFFFFF"/>
        </w:rPr>
        <w:t>The (Un) intended consequences of institutions</w:t>
      </w:r>
    </w:p>
    <w:p w14:paraId="4BE6E1EC" w14:textId="77777777" w:rsidR="008A26DC" w:rsidRDefault="008A26DC" w:rsidP="008A26DC">
      <w:pPr>
        <w:jc w:val="center"/>
        <w:textAlignment w:val="baseline"/>
        <w:rPr>
          <w:b/>
          <w:color w:val="000000"/>
          <w:shd w:val="clear" w:color="auto" w:fill="FFFFFF"/>
        </w:rPr>
      </w:pPr>
    </w:p>
    <w:p w14:paraId="2A520081" w14:textId="09F316EB" w:rsidR="008A26DC" w:rsidRPr="008A26DC" w:rsidRDefault="008A26DC" w:rsidP="008A26DC">
      <w:pPr>
        <w:jc w:val="center"/>
        <w:textAlignment w:val="baseline"/>
        <w:rPr>
          <w:bCs/>
          <w:color w:val="000000"/>
        </w:rPr>
      </w:pPr>
      <w:r>
        <w:rPr>
          <w:b/>
          <w:bCs/>
          <w:color w:val="000000"/>
        </w:rPr>
        <w:t xml:space="preserve">Keywords: </w:t>
      </w:r>
      <w:r w:rsidRPr="008A26DC">
        <w:rPr>
          <w:bCs/>
          <w:color w:val="000000"/>
        </w:rPr>
        <w:t>entrepreneurship, institutional change, gender, difference-in-differences, regulation</w:t>
      </w:r>
    </w:p>
    <w:p w14:paraId="64764EBE" w14:textId="77777777" w:rsidR="008A26DC" w:rsidRPr="008A26DC" w:rsidRDefault="008A26DC" w:rsidP="008A26DC">
      <w:pPr>
        <w:textAlignment w:val="baseline"/>
        <w:rPr>
          <w:bCs/>
          <w:color w:val="000000"/>
          <w:sz w:val="20"/>
          <w:szCs w:val="20"/>
        </w:rPr>
      </w:pPr>
    </w:p>
    <w:p w14:paraId="29B7BEE5" w14:textId="77777777" w:rsidR="008A26DC" w:rsidRDefault="008A26DC" w:rsidP="008A26DC">
      <w:pPr>
        <w:textAlignment w:val="baseline"/>
        <w:rPr>
          <w:b/>
          <w:bCs/>
          <w:color w:val="000000"/>
          <w:sz w:val="20"/>
          <w:szCs w:val="20"/>
        </w:rPr>
      </w:pPr>
    </w:p>
    <w:p w14:paraId="35F5578B" w14:textId="77777777" w:rsidR="008A26DC" w:rsidRDefault="008A26DC" w:rsidP="008A26DC">
      <w:pPr>
        <w:textAlignment w:val="baseline"/>
        <w:rPr>
          <w:b/>
          <w:bCs/>
          <w:color w:val="000000"/>
          <w:sz w:val="20"/>
          <w:szCs w:val="20"/>
        </w:rPr>
      </w:pPr>
    </w:p>
    <w:p w14:paraId="5F1D0D5E" w14:textId="77777777" w:rsidR="008A26DC" w:rsidRDefault="008A26DC" w:rsidP="008A26DC">
      <w:pPr>
        <w:textAlignment w:val="baseline"/>
        <w:rPr>
          <w:b/>
          <w:bCs/>
          <w:color w:val="000000"/>
          <w:sz w:val="20"/>
          <w:szCs w:val="20"/>
        </w:rPr>
      </w:pPr>
    </w:p>
    <w:p w14:paraId="4A223DF3" w14:textId="77777777" w:rsidR="008A26DC" w:rsidRDefault="008A26DC" w:rsidP="008A26DC">
      <w:pPr>
        <w:textAlignment w:val="baseline"/>
        <w:rPr>
          <w:b/>
          <w:bCs/>
          <w:color w:val="000000"/>
          <w:sz w:val="20"/>
          <w:szCs w:val="20"/>
        </w:rPr>
      </w:pPr>
    </w:p>
    <w:p w14:paraId="496D3B6B" w14:textId="77777777" w:rsidR="008A26DC" w:rsidRDefault="008A26DC" w:rsidP="008A26DC">
      <w:pPr>
        <w:textAlignment w:val="baseline"/>
        <w:rPr>
          <w:b/>
          <w:bCs/>
          <w:color w:val="000000"/>
          <w:sz w:val="20"/>
          <w:szCs w:val="20"/>
        </w:rPr>
      </w:pPr>
    </w:p>
    <w:p w14:paraId="0D709135" w14:textId="77777777" w:rsidR="008A26DC" w:rsidRDefault="008A26DC" w:rsidP="008A26DC">
      <w:pPr>
        <w:textAlignment w:val="baseline"/>
        <w:rPr>
          <w:b/>
          <w:bCs/>
          <w:color w:val="000000"/>
          <w:sz w:val="20"/>
          <w:szCs w:val="20"/>
        </w:rPr>
      </w:pPr>
    </w:p>
    <w:p w14:paraId="5B2FB06E" w14:textId="77777777" w:rsidR="008A26DC" w:rsidRDefault="008A26DC" w:rsidP="008A26DC">
      <w:pPr>
        <w:textAlignment w:val="baseline"/>
        <w:rPr>
          <w:b/>
          <w:bCs/>
          <w:color w:val="000000"/>
          <w:sz w:val="20"/>
          <w:szCs w:val="20"/>
        </w:rPr>
      </w:pPr>
    </w:p>
    <w:p w14:paraId="6E25CBE2" w14:textId="135A8597" w:rsidR="008A26DC" w:rsidRDefault="008A26DC" w:rsidP="008A26DC">
      <w:pPr>
        <w:textAlignment w:val="baseline"/>
        <w:rPr>
          <w:b/>
          <w:bCs/>
          <w:color w:val="000000"/>
          <w:sz w:val="20"/>
          <w:szCs w:val="20"/>
        </w:rPr>
      </w:pPr>
    </w:p>
    <w:p w14:paraId="12C3A69C" w14:textId="76DB5D59" w:rsidR="008A26DC" w:rsidRDefault="008A26DC" w:rsidP="008A26DC">
      <w:pPr>
        <w:textAlignment w:val="baseline"/>
        <w:rPr>
          <w:b/>
          <w:bCs/>
          <w:color w:val="000000"/>
          <w:sz w:val="20"/>
          <w:szCs w:val="20"/>
        </w:rPr>
      </w:pPr>
    </w:p>
    <w:p w14:paraId="6767891B" w14:textId="77777777" w:rsidR="008A26DC" w:rsidRDefault="008A26DC" w:rsidP="008A26DC">
      <w:pPr>
        <w:textAlignment w:val="baseline"/>
        <w:rPr>
          <w:b/>
          <w:bCs/>
          <w:color w:val="000000"/>
          <w:sz w:val="20"/>
          <w:szCs w:val="20"/>
        </w:rPr>
      </w:pPr>
    </w:p>
    <w:p w14:paraId="59E0BF05" w14:textId="10A18CA7" w:rsidR="008A26DC" w:rsidRPr="008A26DC" w:rsidRDefault="008A26DC" w:rsidP="008A26DC">
      <w:pPr>
        <w:textAlignment w:val="baseline"/>
        <w:rPr>
          <w:b/>
          <w:bCs/>
          <w:color w:val="000000"/>
          <w:sz w:val="20"/>
          <w:szCs w:val="20"/>
        </w:rPr>
      </w:pPr>
    </w:p>
    <w:p w14:paraId="74FA770B" w14:textId="77777777" w:rsidR="008A26DC" w:rsidRPr="008A26DC" w:rsidRDefault="008A26DC" w:rsidP="008A26DC">
      <w:pPr>
        <w:textAlignment w:val="baseline"/>
        <w:rPr>
          <w:b/>
          <w:bCs/>
          <w:color w:val="000000"/>
          <w:sz w:val="20"/>
          <w:szCs w:val="20"/>
        </w:rPr>
      </w:pPr>
    </w:p>
    <w:p w14:paraId="620F81C6" w14:textId="0CD57EB7" w:rsidR="008A26DC" w:rsidRPr="008A26DC" w:rsidRDefault="008A26DC" w:rsidP="008A26DC">
      <w:pPr>
        <w:rPr>
          <w:sz w:val="20"/>
          <w:szCs w:val="20"/>
        </w:rPr>
      </w:pPr>
      <w:r w:rsidRPr="008A26DC">
        <w:rPr>
          <w:sz w:val="20"/>
          <w:szCs w:val="20"/>
        </w:rPr>
        <w:t xml:space="preserve">* </w:t>
      </w:r>
      <w:r>
        <w:rPr>
          <w:sz w:val="20"/>
          <w:szCs w:val="20"/>
        </w:rPr>
        <w:t xml:space="preserve">designates the </w:t>
      </w:r>
      <w:r w:rsidRPr="008A26DC">
        <w:rPr>
          <w:sz w:val="20"/>
          <w:szCs w:val="20"/>
        </w:rPr>
        <w:t>corresponding author</w:t>
      </w:r>
    </w:p>
    <w:p w14:paraId="259909C7" w14:textId="3B5E8DA9" w:rsidR="008A26DC" w:rsidRPr="008A26DC" w:rsidRDefault="008A26DC" w:rsidP="008A26DC">
      <w:pPr>
        <w:textAlignment w:val="baseline"/>
        <w:rPr>
          <w:b/>
          <w:bCs/>
          <w:color w:val="000000"/>
          <w:sz w:val="20"/>
          <w:szCs w:val="20"/>
        </w:rPr>
      </w:pPr>
    </w:p>
    <w:p w14:paraId="092311F0" w14:textId="7B18EBCF" w:rsidR="008A26DC" w:rsidRPr="008A26DC" w:rsidRDefault="008A26DC" w:rsidP="008A26DC">
      <w:pPr>
        <w:textAlignment w:val="baseline"/>
        <w:rPr>
          <w:color w:val="000000"/>
          <w:sz w:val="20"/>
          <w:szCs w:val="20"/>
        </w:rPr>
      </w:pPr>
      <w:r w:rsidRPr="008A26DC">
        <w:rPr>
          <w:b/>
          <w:bCs/>
          <w:color w:val="000000"/>
          <w:sz w:val="20"/>
          <w:szCs w:val="20"/>
        </w:rPr>
        <w:t>Acknowledgment</w:t>
      </w:r>
    </w:p>
    <w:p w14:paraId="2173E740" w14:textId="23A27B8B" w:rsidR="008A26DC" w:rsidRPr="00C31886" w:rsidRDefault="008A26DC" w:rsidP="008A26DC">
      <w:pPr>
        <w:textAlignment w:val="baseline"/>
        <w:rPr>
          <w:color w:val="000000"/>
          <w:sz w:val="20"/>
          <w:szCs w:val="20"/>
        </w:rPr>
      </w:pPr>
      <w:r w:rsidRPr="008A26DC">
        <w:rPr>
          <w:color w:val="000000"/>
          <w:sz w:val="20"/>
          <w:szCs w:val="20"/>
          <w:bdr w:val="none" w:sz="0" w:space="0" w:color="auto" w:frame="1"/>
        </w:rPr>
        <w:t>Authors’ names are listed in alphabetic order. All authors contributed equally.The authors thank the editor and two anonymous reviewers of this journal for their comments and suggestions. They also</w:t>
      </w:r>
      <w:r w:rsidRPr="008A26DC">
        <w:rPr>
          <w:color w:val="000000"/>
          <w:sz w:val="20"/>
          <w:szCs w:val="20"/>
        </w:rPr>
        <w:t xml:space="preserve"> acknowledge comments and suggestions from</w:t>
      </w:r>
      <w:r w:rsidRPr="008A26DC">
        <w:rPr>
          <w:color w:val="000000"/>
          <w:sz w:val="20"/>
          <w:szCs w:val="20"/>
          <w:bdr w:val="none" w:sz="0" w:space="0" w:color="auto" w:frame="1"/>
        </w:rPr>
        <w:t> seminar participants at Bocconi University, Cass Business School, Copenhagen Business School, London Business School, and Universitá della Svizzera Italiana. Francesco Castellaneta </w:t>
      </w:r>
      <w:r w:rsidRPr="008A26DC">
        <w:rPr>
          <w:color w:val="000000"/>
          <w:sz w:val="20"/>
          <w:szCs w:val="20"/>
          <w:bdr w:val="none" w:sz="0" w:space="0" w:color="auto" w:frame="1"/>
          <w:shd w:val="clear" w:color="auto" w:fill="FFFFFF"/>
        </w:rPr>
        <w:t>gratefully </w:t>
      </w:r>
      <w:r w:rsidRPr="008A26DC">
        <w:rPr>
          <w:color w:val="000000"/>
          <w:sz w:val="20"/>
          <w:szCs w:val="20"/>
          <w:bdr w:val="none" w:sz="0" w:space="0" w:color="auto" w:frame="1"/>
        </w:rPr>
        <w:t>acknowledges financial support from the Knowledge, Technology and Organization (KTO) research center at Skema. Raffaele</w:t>
      </w:r>
      <w:r w:rsidRPr="00C31886">
        <w:rPr>
          <w:color w:val="000000"/>
          <w:sz w:val="20"/>
          <w:szCs w:val="20"/>
          <w:bdr w:val="none" w:sz="0" w:space="0" w:color="auto" w:frame="1"/>
        </w:rPr>
        <w:t xml:space="preserve"> Conti gratefully acknowledges financial support from FCT—Portuguese Foundation of Science and Technology (project “UID/GES/00407/2013”)—and from the Patrick and Lina Drahi Foundation. </w:t>
      </w:r>
    </w:p>
    <w:p w14:paraId="5A958418" w14:textId="77777777" w:rsidR="008A26DC" w:rsidRDefault="008A26DC" w:rsidP="002C7B34">
      <w:pPr>
        <w:pStyle w:val="Title"/>
        <w:jc w:val="left"/>
      </w:pPr>
    </w:p>
    <w:p w14:paraId="5E1CD66A" w14:textId="77777777" w:rsidR="008A26DC" w:rsidRDefault="008A26DC" w:rsidP="002C7B34">
      <w:pPr>
        <w:pStyle w:val="Title"/>
        <w:jc w:val="left"/>
      </w:pPr>
    </w:p>
    <w:p w14:paraId="1FC2317B" w14:textId="34F96177" w:rsidR="00F66EFE" w:rsidRDefault="00F66EFE" w:rsidP="002C7B34">
      <w:pPr>
        <w:pStyle w:val="Title"/>
        <w:jc w:val="left"/>
      </w:pPr>
      <w:r w:rsidRPr="00F9012A">
        <w:t xml:space="preserve">INTRODUCTION </w:t>
      </w:r>
    </w:p>
    <w:p w14:paraId="016647C8" w14:textId="77777777" w:rsidR="002C7B34" w:rsidRPr="002C7B34" w:rsidRDefault="002C7B34" w:rsidP="002C7B34"/>
    <w:p w14:paraId="5AC9A075" w14:textId="4E9E0717" w:rsidR="00374813" w:rsidRPr="004E0117" w:rsidRDefault="00374813" w:rsidP="00374813">
      <w:pPr>
        <w:spacing w:line="480" w:lineRule="auto"/>
        <w:rPr>
          <w:sz w:val="22"/>
          <w:szCs w:val="22"/>
        </w:rPr>
      </w:pPr>
      <w:r w:rsidRPr="005638FD">
        <w:rPr>
          <w:sz w:val="22"/>
          <w:szCs w:val="22"/>
        </w:rPr>
        <w:t>The concept of barriers</w:t>
      </w:r>
      <w:r>
        <w:rPr>
          <w:sz w:val="22"/>
          <w:szCs w:val="22"/>
        </w:rPr>
        <w:t xml:space="preserve"> to venture formation</w:t>
      </w:r>
      <w:r w:rsidRPr="005638FD">
        <w:rPr>
          <w:sz w:val="22"/>
          <w:szCs w:val="22"/>
        </w:rPr>
        <w:t xml:space="preserve"> is central to both entrepreneurship and strategy research, which has increasingly recognized the key role </w:t>
      </w:r>
      <w:r>
        <w:rPr>
          <w:sz w:val="22"/>
          <w:szCs w:val="22"/>
        </w:rPr>
        <w:t>the</w:t>
      </w:r>
      <w:r w:rsidRPr="005638FD">
        <w:rPr>
          <w:sz w:val="22"/>
          <w:szCs w:val="22"/>
        </w:rPr>
        <w:t xml:space="preserve"> institutional environment plays in facilitating or hindering the founding of a </w:t>
      </w:r>
      <w:r>
        <w:rPr>
          <w:sz w:val="22"/>
          <w:szCs w:val="22"/>
        </w:rPr>
        <w:t>startup</w:t>
      </w:r>
      <w:r w:rsidRPr="005638FD">
        <w:rPr>
          <w:sz w:val="22"/>
          <w:szCs w:val="22"/>
        </w:rPr>
        <w:t xml:space="preserve">. </w:t>
      </w:r>
      <w:r>
        <w:rPr>
          <w:sz w:val="22"/>
          <w:szCs w:val="22"/>
        </w:rPr>
        <w:t>E</w:t>
      </w:r>
      <w:r w:rsidRPr="005638FD">
        <w:rPr>
          <w:sz w:val="22"/>
          <w:szCs w:val="22"/>
        </w:rPr>
        <w:t xml:space="preserve">ntrepreneurship scholars have </w:t>
      </w:r>
      <w:r>
        <w:rPr>
          <w:sz w:val="22"/>
          <w:szCs w:val="22"/>
        </w:rPr>
        <w:t>long linked regulatory changes, which ease the access to capital and other resources when forming</w:t>
      </w:r>
      <w:r w:rsidR="002872E1">
        <w:rPr>
          <w:sz w:val="22"/>
          <w:szCs w:val="22"/>
        </w:rPr>
        <w:t xml:space="preserve"> and nurturing</w:t>
      </w:r>
      <w:r>
        <w:rPr>
          <w:sz w:val="22"/>
          <w:szCs w:val="22"/>
        </w:rPr>
        <w:t xml:space="preserve"> a new venture, to higher rates of new foundings and greater </w:t>
      </w:r>
      <w:r w:rsidRPr="005638FD">
        <w:rPr>
          <w:color w:val="1C1D1E"/>
          <w:sz w:val="22"/>
          <w:szCs w:val="22"/>
          <w:shd w:val="clear" w:color="auto" w:fill="FFFFFF"/>
        </w:rPr>
        <w:t>quality of new ventures</w:t>
      </w:r>
      <w:r>
        <w:rPr>
          <w:color w:val="1C1D1E"/>
          <w:sz w:val="22"/>
          <w:szCs w:val="22"/>
          <w:shd w:val="clear" w:color="auto" w:fill="FFFFFF"/>
        </w:rPr>
        <w:t>, conditional on entry</w:t>
      </w:r>
      <w:r w:rsidRPr="005638FD">
        <w:rPr>
          <w:color w:val="1C1D1E"/>
          <w:sz w:val="22"/>
          <w:szCs w:val="22"/>
          <w:shd w:val="clear" w:color="auto" w:fill="FFFFFF"/>
        </w:rPr>
        <w:t xml:space="preserve"> (</w:t>
      </w:r>
      <w:r w:rsidRPr="005638FD">
        <w:rPr>
          <w:sz w:val="22"/>
          <w:szCs w:val="22"/>
        </w:rPr>
        <w:fldChar w:fldCharType="begin" w:fldLock="1"/>
      </w:r>
      <w:r w:rsidRPr="005638FD">
        <w:rPr>
          <w:sz w:val="22"/>
          <w:szCs w:val="22"/>
        </w:rPr>
        <w:instrText>ADDIN CSL_CITATION {"citationItems":[{"id":"ITEM-1","itemData":{"DOI":"10.1093/aler/ahn008","ISBN":"14657252","ISSN":"14657252","PMID":"25246403","abstract":"Recent initiatives in a number of countries have sought to promote entrepreneurship through relaxing the legal consequences of personal bankruptcy. Whilst there is an intuitive link, relatively little attention has been paid to the question empirically, particularly in the international context. We investigate the relationship between bankruptcy laws and entrepreneurship using data on self-employment over 16 years (1990-2005) and fifteen countries in Europe and North America. We compile new indices reflecting how “forgiving” personal bankruptcy laws are. These measures vary over time and across the countries studied. We show that bankruptcy law has a statistically and economically significant effect on self-employment rates when controlling for GDP growth, MSCI stock returns, and a variety of other legal and economic factors.","author":[{"dropping-particle":"","family":"Armour","given":"John","non-dropping-particle":"","parse-names":false,"suffix":""},{"dropping-particle":"","family":"Cumming","given":"Douglas","non-dropping-particle":"","parse-names":false,"suffix":""}],"container-title":"American Law and Economics Review","id":"ITEM-1","issue":"2","issued":{"date-parts":[["2008"]]},"page":"303-350","title":"Bankruptcy law and entrepreneurship","type":"article-journal","volume":"10"},"uris":["http://www.mendeley.com/documents/?uuid=3b5da54a-2d65-47f5-96c2-0c1d4f4a2c81"]},{"id":"ITEM-2","itemData":{"ISSN":"1047-7039","author":[{"dropping-particle":"","family":"Eesley","given":"Charles","non-dropping-particle":"","parse-names":false,"suffix":""}],"container-title":"Organization Science","id":"ITEM-2","issue":"5","issued":{"date-parts":[["2016"]]},"page":"1290-1306","publisher":"Informs","title":"Institutional barriers to growth: Entrepreneurship, human capital and institutional change","type":"article-journal","volume":"27"},"uris":["http://www.mendeley.com/documents/?uuid=75415807-5100-44a0-9897-4b993ce3cc36"]}],"mendeley":{"formattedCitation":"(Armour and Cumming, 2008; Eesley, 2016)","manualFormatting":"e.g., Armour and Cumming 2008, Eesley 2016; Chatterji et al., 2012; Eberhart et al. 2017, Eesley 2016)","plainTextFormattedCitation":"(Armour and Cumming, 2008; Eesley, 2016)","previouslyFormattedCitation":"(Armour and Cumming, 2008; Eesley, 2016)"},"properties":{"noteIndex":0},"schema":"https://github.com/citation-style-language/schema/raw/master/csl-citation.json"}</w:instrText>
      </w:r>
      <w:r w:rsidRPr="005638FD">
        <w:rPr>
          <w:sz w:val="22"/>
          <w:szCs w:val="22"/>
        </w:rPr>
        <w:fldChar w:fldCharType="separate"/>
      </w:r>
      <w:r w:rsidRPr="005638FD">
        <w:rPr>
          <w:noProof/>
          <w:sz w:val="22"/>
          <w:szCs w:val="22"/>
        </w:rPr>
        <w:t>e.g., Armour and Cumming 2008, Chatterji et al., 2012; Eberhart et al. 2017, Eesley 2016)</w:t>
      </w:r>
      <w:r w:rsidRPr="005638FD">
        <w:rPr>
          <w:sz w:val="22"/>
          <w:szCs w:val="22"/>
        </w:rPr>
        <w:fldChar w:fldCharType="end"/>
      </w:r>
      <w:r w:rsidRPr="005638FD">
        <w:rPr>
          <w:sz w:val="22"/>
          <w:szCs w:val="22"/>
        </w:rPr>
        <w:t xml:space="preserve">. </w:t>
      </w:r>
      <w:r>
        <w:rPr>
          <w:sz w:val="22"/>
          <w:szCs w:val="22"/>
        </w:rPr>
        <w:t>At the same time</w:t>
      </w:r>
      <w:r w:rsidRPr="005638FD">
        <w:rPr>
          <w:sz w:val="22"/>
          <w:szCs w:val="22"/>
        </w:rPr>
        <w:t>, strategy scholars have recognized</w:t>
      </w:r>
      <w:r>
        <w:rPr>
          <w:sz w:val="22"/>
          <w:szCs w:val="22"/>
        </w:rPr>
        <w:t xml:space="preserve"> </w:t>
      </w:r>
      <w:r w:rsidRPr="005638FD">
        <w:rPr>
          <w:sz w:val="22"/>
          <w:szCs w:val="22"/>
        </w:rPr>
        <w:t xml:space="preserve">the threat </w:t>
      </w:r>
      <w:r>
        <w:rPr>
          <w:sz w:val="22"/>
          <w:szCs w:val="22"/>
        </w:rPr>
        <w:t xml:space="preserve">that such changes impose on incumbent firms, whose competitive advantage might be eroded because market competition intensifies (Porter, 1980), and valuable employees move to </w:t>
      </w:r>
      <w:r w:rsidRPr="004E0117">
        <w:rPr>
          <w:sz w:val="22"/>
          <w:szCs w:val="22"/>
        </w:rPr>
        <w:t xml:space="preserve">startups </w:t>
      </w:r>
      <w:r w:rsidRPr="004E0117">
        <w:rPr>
          <w:sz w:val="22"/>
          <w:szCs w:val="22"/>
        </w:rPr>
        <w:fldChar w:fldCharType="begin" w:fldLock="1"/>
      </w:r>
      <w:r w:rsidRPr="004E0117">
        <w:rPr>
          <w:sz w:val="22"/>
          <w:szCs w:val="22"/>
        </w:rPr>
        <w:instrText>ADDIN CSL_CITATION {"citationItems":[{"id":"ITEM-1","itemData":{"author":[{"dropping-particle":"","family":"Barney","given":"Jay B","non-dropping-particle":"","parse-names":false,"suffix":""}],"container-title":"Journal of Management","id":"ITEM-1","issue":"1","issued":{"date-parts":[["1991"]]},"note":"From Duplicate 2 (Firm resources and sustained competitive advantage - Barney, Jay B)\n\nFrom Duplicate 1 ( Firm resources and sustained competitive advantage - Barney, Jay B )\n\n___From MES___","page":"99-120","title":"Firm resources and sustained competitive advantage","type":"article-journal","volume":"17"},"uris":["http://www.mendeley.com/documents/?uuid=3a73e205-2f6a-4656-b35f-0decb2e1ba19"]},{"id":"ITEM-2","itemData":{"author":[{"dropping-particle":"","family":"Hall","given":"Richard","non-dropping-particle":"","parse-names":false,"suffix":""}],"container-title":"Strategic Management Journal","id":"ITEM-2","issued":{"date-parts":[["1993"]]},"note":"___From MES___","page":"607-618","title":"A Framework Linking Intangible Resources and Capabilities to Sustainable Competitive Advantage","type":"article-journal","volume":"14"},"uris":["http://www.mendeley.com/documents/?uuid=c59ccb8d-9c3a-4361-b3f2-c4181c0c706b"]},{"id":"ITEM-3","itemData":{"author":[{"dropping-particle":"","family":"Lippman","given":"S A","non-dropping-particle":"","parse-names":false,"suffix":""},{"dropping-particle":"","family":"Rumelt","given":"Richard P","non-dropping-particle":"","parse-names":false,"suffix":""}],"container-title":"Bell Journal of Economics","id":"ITEM-3","issue":"2","issued":{"date-parts":[["1982"]]},"note":"From Duplicate 1 ( Uncertain imitability : an analysis of interfirm differences in efficiency under competition - Bell, The; Autumn, No )\n\n\n\nFrom Duplicate 2 ( Uncertain imitability: An analysis of interfirm differences in efficiency under competition - Lippman, S A; Rumelt, Richard P )\n\n___From MES___","page":"418-438","title":"Uncertain imitability: An analysis of interfirm differences in efficiency under competition","type":"article-journal","volume":"13"},"uris":["http://www.mendeley.com/documents/?uuid=5449c742-2afc-4f89-af33-c5740e24a0ed"]}],"mendeley":{"formattedCitation":"(Barney, 1991; Hall, 1993; Lippman and Rumelt, 1982)","plainTextFormattedCitation":"(Barney, 1991; Hall, 1993; Lippman and Rumelt, 1982)","previouslyFormattedCitation":"(Barney, 1991; Hall, 1993; Lippman and Rumelt, 1982)"},"properties":{"noteIndex":0},"schema":"https://github.com/citation-style-language/schema/raw/master/csl-citation.json"}</w:instrText>
      </w:r>
      <w:r w:rsidRPr="004E0117">
        <w:rPr>
          <w:sz w:val="22"/>
          <w:szCs w:val="22"/>
        </w:rPr>
        <w:fldChar w:fldCharType="separate"/>
      </w:r>
      <w:r w:rsidR="004E0117">
        <w:rPr>
          <w:noProof/>
          <w:sz w:val="22"/>
          <w:szCs w:val="22"/>
        </w:rPr>
        <w:t>(</w:t>
      </w:r>
      <w:r w:rsidR="00ED114E">
        <w:rPr>
          <w:noProof/>
          <w:sz w:val="22"/>
          <w:szCs w:val="22"/>
        </w:rPr>
        <w:t xml:space="preserve">e.g., </w:t>
      </w:r>
      <w:r w:rsidR="004E0117" w:rsidRPr="004E0117">
        <w:rPr>
          <w:sz w:val="22"/>
          <w:szCs w:val="22"/>
        </w:rPr>
        <w:t xml:space="preserve">Agarwal et al., 2004; Agarwal et al., 2015; </w:t>
      </w:r>
      <w:r w:rsidRPr="004E0117">
        <w:rPr>
          <w:noProof/>
          <w:sz w:val="22"/>
          <w:szCs w:val="22"/>
        </w:rPr>
        <w:t>Hall, 1993; Lippman and Rumelt, 1982)</w:t>
      </w:r>
      <w:r w:rsidRPr="004E0117">
        <w:rPr>
          <w:sz w:val="22"/>
          <w:szCs w:val="22"/>
        </w:rPr>
        <w:fldChar w:fldCharType="end"/>
      </w:r>
      <w:r w:rsidRPr="004E0117">
        <w:rPr>
          <w:sz w:val="22"/>
          <w:szCs w:val="22"/>
        </w:rPr>
        <w:t xml:space="preserve">. </w:t>
      </w:r>
    </w:p>
    <w:p w14:paraId="041D9A19" w14:textId="6875AEB3" w:rsidR="00374813" w:rsidRPr="00692EB2" w:rsidRDefault="00374813" w:rsidP="00374813">
      <w:pPr>
        <w:spacing w:line="480" w:lineRule="auto"/>
        <w:ind w:firstLine="720"/>
        <w:rPr>
          <w:color w:val="000000" w:themeColor="text1"/>
          <w:sz w:val="22"/>
          <w:szCs w:val="22"/>
        </w:rPr>
      </w:pPr>
      <w:r>
        <w:rPr>
          <w:sz w:val="22"/>
          <w:szCs w:val="22"/>
        </w:rPr>
        <w:t>However, p</w:t>
      </w:r>
      <w:r w:rsidRPr="00692EB2">
        <w:rPr>
          <w:sz w:val="22"/>
          <w:szCs w:val="22"/>
        </w:rPr>
        <w:t xml:space="preserve">ast studies have </w:t>
      </w:r>
      <w:r>
        <w:rPr>
          <w:sz w:val="22"/>
          <w:szCs w:val="22"/>
        </w:rPr>
        <w:t>only focus</w:t>
      </w:r>
      <w:r w:rsidRPr="00692EB2">
        <w:rPr>
          <w:sz w:val="22"/>
          <w:szCs w:val="22"/>
        </w:rPr>
        <w:t>ed</w:t>
      </w:r>
      <w:r>
        <w:rPr>
          <w:sz w:val="22"/>
          <w:szCs w:val="22"/>
        </w:rPr>
        <w:t xml:space="preserve"> </w:t>
      </w:r>
      <w:r>
        <w:rPr>
          <w:color w:val="000000" w:themeColor="text1"/>
          <w:sz w:val="22"/>
          <w:szCs w:val="22"/>
        </w:rPr>
        <w:t>on</w:t>
      </w:r>
      <w:r w:rsidRPr="00692EB2">
        <w:rPr>
          <w:color w:val="000000" w:themeColor="text1"/>
          <w:sz w:val="22"/>
          <w:szCs w:val="22"/>
        </w:rPr>
        <w:t xml:space="preserve"> </w:t>
      </w:r>
      <w:r>
        <w:rPr>
          <w:color w:val="000000" w:themeColor="text1"/>
          <w:sz w:val="22"/>
          <w:szCs w:val="22"/>
        </w:rPr>
        <w:t>individuals who leave for entrepreneurship</w:t>
      </w:r>
      <w:r w:rsidDel="009B53B3">
        <w:rPr>
          <w:color w:val="000000" w:themeColor="text1"/>
          <w:sz w:val="22"/>
          <w:szCs w:val="22"/>
        </w:rPr>
        <w:t xml:space="preserve"> </w:t>
      </w:r>
      <w:r w:rsidRPr="00692EB2">
        <w:rPr>
          <w:color w:val="000000" w:themeColor="text1"/>
          <w:sz w:val="22"/>
          <w:szCs w:val="22"/>
        </w:rPr>
        <w:t xml:space="preserve">(e.g., </w:t>
      </w:r>
      <w:r w:rsidRPr="00692EB2">
        <w:rPr>
          <w:noProof/>
          <w:sz w:val="22"/>
          <w:szCs w:val="22"/>
        </w:rPr>
        <w:t>Eberhart et al. 2017</w:t>
      </w:r>
      <w:r w:rsidR="00FA55B1">
        <w:rPr>
          <w:noProof/>
          <w:sz w:val="22"/>
          <w:szCs w:val="22"/>
        </w:rPr>
        <w:t>;</w:t>
      </w:r>
      <w:r w:rsidRPr="00692EB2">
        <w:rPr>
          <w:noProof/>
          <w:sz w:val="22"/>
          <w:szCs w:val="22"/>
        </w:rPr>
        <w:t xml:space="preserve"> Eesley 2016</w:t>
      </w:r>
      <w:r w:rsidRPr="00692EB2">
        <w:rPr>
          <w:color w:val="000000" w:themeColor="text1"/>
          <w:sz w:val="22"/>
          <w:szCs w:val="22"/>
        </w:rPr>
        <w:t>)</w:t>
      </w:r>
      <w:r>
        <w:rPr>
          <w:color w:val="000000" w:themeColor="text1"/>
          <w:sz w:val="22"/>
          <w:szCs w:val="22"/>
        </w:rPr>
        <w:t xml:space="preserve">, contributing to the relevant loss of human capital for incumbent firms </w:t>
      </w:r>
      <w:r w:rsidRPr="006047C3">
        <w:rPr>
          <w:sz w:val="22"/>
          <w:szCs w:val="22"/>
        </w:rPr>
        <w:t>(e.g., Agarwal et al., 2015; Campbell et al., 2011)</w:t>
      </w:r>
      <w:r w:rsidRPr="006047C3">
        <w:rPr>
          <w:color w:val="000000" w:themeColor="text1"/>
          <w:sz w:val="22"/>
          <w:szCs w:val="22"/>
        </w:rPr>
        <w:t xml:space="preserve">. </w:t>
      </w:r>
      <w:r w:rsidRPr="006047C3">
        <w:rPr>
          <w:sz w:val="22"/>
          <w:szCs w:val="22"/>
        </w:rPr>
        <w:t>Yet</w:t>
      </w:r>
      <w:r>
        <w:rPr>
          <w:sz w:val="22"/>
          <w:szCs w:val="22"/>
        </w:rPr>
        <w:t xml:space="preserve"> not all employees will become founders when entry barriers to forming new ventures fall; indeed, many will stay behind at incumbent firms. Though little attention has been devoted to such “stayers,” these employees may suffer the </w:t>
      </w:r>
      <w:r w:rsidRPr="00D30541">
        <w:rPr>
          <w:i/>
          <w:sz w:val="22"/>
          <w:szCs w:val="22"/>
        </w:rPr>
        <w:t>unintended</w:t>
      </w:r>
      <w:r w:rsidRPr="00692EB2">
        <w:rPr>
          <w:sz w:val="22"/>
          <w:szCs w:val="22"/>
        </w:rPr>
        <w:t xml:space="preserve"> </w:t>
      </w:r>
      <w:r>
        <w:rPr>
          <w:sz w:val="22"/>
          <w:szCs w:val="22"/>
        </w:rPr>
        <w:t xml:space="preserve">consequences, which alter the ways in which rent is appropriated inside an established </w:t>
      </w:r>
      <w:r w:rsidR="00170C48">
        <w:rPr>
          <w:sz w:val="22"/>
          <w:szCs w:val="22"/>
        </w:rPr>
        <w:t>organization</w:t>
      </w:r>
      <w:r>
        <w:rPr>
          <w:sz w:val="22"/>
          <w:szCs w:val="22"/>
        </w:rPr>
        <w:t>. Strategy researchers have recognized that rent allocation among</w:t>
      </w:r>
      <w:r>
        <w:rPr>
          <w:color w:val="1C1D1E"/>
          <w:sz w:val="22"/>
          <w:szCs w:val="22"/>
          <w:shd w:val="clear" w:color="auto" w:fill="FFFFFF"/>
        </w:rPr>
        <w:t xml:space="preserve"> employees is of </w:t>
      </w:r>
      <w:r w:rsidRPr="00F64D5B">
        <w:rPr>
          <w:color w:val="1C1D1E"/>
          <w:sz w:val="22"/>
          <w:szCs w:val="22"/>
          <w:shd w:val="clear" w:color="auto" w:fill="FFFFFF"/>
        </w:rPr>
        <w:t xml:space="preserve">key </w:t>
      </w:r>
      <w:r w:rsidRPr="00F64D5B">
        <w:rPr>
          <w:sz w:val="22"/>
          <w:szCs w:val="22"/>
        </w:rPr>
        <w:t xml:space="preserve">importance for a firm’s ability to achieve and sustain its competitive advantage </w:t>
      </w:r>
      <w:r w:rsidRPr="00F64D5B">
        <w:rPr>
          <w:sz w:val="22"/>
          <w:szCs w:val="22"/>
        </w:rPr>
        <w:fldChar w:fldCharType="begin" w:fldLock="1"/>
      </w:r>
      <w:r w:rsidRPr="00F64D5B">
        <w:rPr>
          <w:sz w:val="22"/>
          <w:szCs w:val="22"/>
        </w:rPr>
        <w:instrText>ADDIN CSL_CITATION {"citationItems":[{"id":"ITEM-1","itemData":{"DOI":"10.1002/smj.327","ISBN":"0143-2095","ISSN":"01432095","PMID":"225003277","abstract":"Who reaps the fruits of a dynamic capability? We argue that while social capital is essential for the acquisition, integration, and release of resources at the core of a dynamic capability, actors can also use social capital for personal gain. Thus, social capital may be a key to understanding both rent generation and rent appropriation. Even when causal ambiguity obscures individual contributions, theymay use their social capital to establish credible claims on the rent. Specifically, employees who occupy structural holes, span organizational boundaries, or who are highly central may be most able to appropriate rent because their social capital grants credibility to their claims. Rent that is appropriated in this way may be unobservable in performance measures that fail to distinguish normal compensation from rent. We contribute by identifying the specific role of social capital in a dynamic capability and linking social capital to rent appropriation patterns.","author":[{"dropping-particle":"","family":"Blyler","given":"Maureen","non-dropping-particle":"","parse-names":false,"suffix":""},{"dropping-particle":"","family":"Coff","given":"Russell W.","non-dropping-particle":"","parse-names":false,"suffix":""}],"container-title":"Strategic Management Journal","id":"ITEM-1","issue":"7","issued":{"date-parts":[["2003","7"]]},"page":"677-686","title":"Dynamic capabilities, social capital, and rent appropriation: Ties that split pies","type":"article-journal","volume":"24"},"uris":["http://www.mendeley.com/documents/?uuid=9ecb5eb5-f9af-42a6-bde3-c4cd789afa60"]},{"id":"ITEM-2","itemData":{"ISSN":"0143-2095","author":[{"dropping-particle":"","family":"Qian","given":"Cuili","non-dropping-particle":"","parse-names":false,"suffix":""},{"dropping-particle":"","family":"Wang","given":"Heli","non-dropping-particle":"","parse-names":false,"suffix":""},{"dropping-particle":"","family":"Geng","given":"Xuesong","non-dropping-particle":"","parse-names":false,"suffix":""},{"dropping-particle":"","family":"Yu","given":"Yangxin","non-dropping-particle":"","parse-names":false,"suffix":""}],"container-title":"Strategic Management Journal","id":"ITEM-2","issue":"4","issued":{"date-parts":[["2017"]]},"page":"892-911","publisher":"Wiley Online Library","title":"Rent appropriation of knowledge</w:instrText>
      </w:r>
      <w:r w:rsidRPr="00F64D5B">
        <w:rPr>
          <w:rFonts w:ascii="Cambria Math" w:hAnsi="Cambria Math" w:cs="Cambria Math"/>
          <w:sz w:val="22"/>
          <w:szCs w:val="22"/>
        </w:rPr>
        <w:instrText>‐</w:instrText>
      </w:r>
      <w:r w:rsidRPr="00F64D5B">
        <w:rPr>
          <w:sz w:val="22"/>
          <w:szCs w:val="22"/>
        </w:rPr>
        <w:instrText>based assets and firm performance when institutions are weak: A study of Chinese publicly listed firms","type":"article-journal","volume":"38"},"uris":["http://www.mendeley.com/documents/?uuid=23757270-93ca-445f-bea5-943fc5f79683"]}],"mendeley":{"formattedCitation":"(Blyler and Coff, 2003; Qian &lt;i&gt;et al.&lt;/i&gt;, 2017)","plainTextFormattedCitation":"(Blyler and Coff, 2003; Qian et al., 2017)","previouslyFormattedCitation":"(Blyler and Coff, 2003; Qian &lt;i&gt;et al.&lt;/i&gt;, 2017)"},"properties":{"noteIndex":0},"schema":"https://github.com/citation-style-language/schema/raw/master/csl-citation.json"}</w:instrText>
      </w:r>
      <w:r w:rsidRPr="00F64D5B">
        <w:rPr>
          <w:sz w:val="22"/>
          <w:szCs w:val="22"/>
        </w:rPr>
        <w:fldChar w:fldCharType="separate"/>
      </w:r>
      <w:r w:rsidRPr="00F64D5B">
        <w:rPr>
          <w:noProof/>
          <w:sz w:val="22"/>
          <w:szCs w:val="22"/>
        </w:rPr>
        <w:t xml:space="preserve">(Blyler and Coff, 2003; Qian </w:t>
      </w:r>
      <w:r w:rsidRPr="005B69B2">
        <w:rPr>
          <w:noProof/>
          <w:sz w:val="22"/>
          <w:szCs w:val="22"/>
        </w:rPr>
        <w:t>et al</w:t>
      </w:r>
      <w:r w:rsidRPr="00F64D5B">
        <w:rPr>
          <w:i/>
          <w:noProof/>
          <w:sz w:val="22"/>
          <w:szCs w:val="22"/>
        </w:rPr>
        <w:t>.</w:t>
      </w:r>
      <w:r w:rsidRPr="00F64D5B">
        <w:rPr>
          <w:noProof/>
          <w:sz w:val="22"/>
          <w:szCs w:val="22"/>
        </w:rPr>
        <w:t>, 2017)</w:t>
      </w:r>
      <w:r w:rsidRPr="00F64D5B">
        <w:rPr>
          <w:sz w:val="22"/>
          <w:szCs w:val="22"/>
        </w:rPr>
        <w:fldChar w:fldCharType="end"/>
      </w:r>
      <w:r>
        <w:rPr>
          <w:sz w:val="22"/>
          <w:szCs w:val="22"/>
        </w:rPr>
        <w:t>. But when certain groups of employees leave to become founders, some “stayers”</w:t>
      </w:r>
      <w:r>
        <w:rPr>
          <w:color w:val="000000" w:themeColor="text1"/>
          <w:sz w:val="22"/>
          <w:szCs w:val="22"/>
        </w:rPr>
        <w:t xml:space="preserve"> might witness a significant yet unforeseen impact on their ability to create and capture value</w:t>
      </w:r>
      <w:r>
        <w:rPr>
          <w:sz w:val="22"/>
          <w:szCs w:val="22"/>
        </w:rPr>
        <w:t>. Hence, the</w:t>
      </w:r>
      <w:r w:rsidRPr="00692EB2">
        <w:rPr>
          <w:color w:val="1C1D1E"/>
          <w:sz w:val="22"/>
          <w:szCs w:val="22"/>
          <w:shd w:val="clear" w:color="auto" w:fill="FFFFFF"/>
        </w:rPr>
        <w:t xml:space="preserve"> following research questions are critical: what types of employees leave the company </w:t>
      </w:r>
      <w:r>
        <w:rPr>
          <w:color w:val="1C1D1E"/>
          <w:sz w:val="22"/>
          <w:szCs w:val="22"/>
          <w:shd w:val="clear" w:color="auto" w:fill="FFFFFF"/>
        </w:rPr>
        <w:t>when barriers to entry are reduced</w:t>
      </w:r>
      <w:r w:rsidRPr="00692EB2">
        <w:rPr>
          <w:color w:val="1C1D1E"/>
          <w:sz w:val="22"/>
          <w:szCs w:val="22"/>
          <w:shd w:val="clear" w:color="auto" w:fill="FFFFFF"/>
        </w:rPr>
        <w:t xml:space="preserve"> and, among those who stay put, what types of employees are most affected by these departures and how? </w:t>
      </w:r>
    </w:p>
    <w:p w14:paraId="7EAD72A4" w14:textId="00209F5B" w:rsidR="00374813" w:rsidRDefault="00374813" w:rsidP="00374813">
      <w:pPr>
        <w:spacing w:line="480" w:lineRule="auto"/>
        <w:ind w:firstLine="720"/>
        <w:rPr>
          <w:sz w:val="22"/>
          <w:szCs w:val="22"/>
        </w:rPr>
      </w:pPr>
      <w:r w:rsidRPr="00692EB2">
        <w:rPr>
          <w:sz w:val="22"/>
          <w:szCs w:val="22"/>
        </w:rPr>
        <w:t xml:space="preserve">To advance the understanding of the effects of regulations that reduce entry barriers, we develop </w:t>
      </w:r>
      <w:r>
        <w:rPr>
          <w:sz w:val="22"/>
          <w:szCs w:val="22"/>
        </w:rPr>
        <w:t xml:space="preserve">a </w:t>
      </w:r>
      <w:r w:rsidRPr="00692EB2">
        <w:rPr>
          <w:sz w:val="22"/>
          <w:szCs w:val="22"/>
        </w:rPr>
        <w:t>more comprehensive theory regarding their</w:t>
      </w:r>
      <w:r>
        <w:rPr>
          <w:sz w:val="22"/>
          <w:szCs w:val="22"/>
        </w:rPr>
        <w:t xml:space="preserve"> intended and</w:t>
      </w:r>
      <w:r w:rsidRPr="00692EB2">
        <w:rPr>
          <w:sz w:val="22"/>
          <w:szCs w:val="22"/>
        </w:rPr>
        <w:t xml:space="preserve"> unintended consequences</w:t>
      </w:r>
      <w:r>
        <w:rPr>
          <w:sz w:val="22"/>
          <w:szCs w:val="22"/>
        </w:rPr>
        <w:t xml:space="preserve">: the former </w:t>
      </w:r>
      <w:r>
        <w:rPr>
          <w:sz w:val="22"/>
          <w:szCs w:val="22"/>
        </w:rPr>
        <w:lastRenderedPageBreak/>
        <w:t xml:space="preserve">pertaining to employees who become founders, and the latter pertaining to employees who stay behind at incumbent firms. </w:t>
      </w:r>
      <w:r w:rsidRPr="00F208AE">
        <w:rPr>
          <w:sz w:val="22"/>
          <w:szCs w:val="22"/>
        </w:rPr>
        <w:t xml:space="preserve">First, </w:t>
      </w:r>
      <w:r w:rsidRPr="000E2A25">
        <w:rPr>
          <w:sz w:val="22"/>
          <w:szCs w:val="22"/>
        </w:rPr>
        <w:t xml:space="preserve">turning our attention to the intended effects, we predict that </w:t>
      </w:r>
      <w:r>
        <w:rPr>
          <w:sz w:val="22"/>
          <w:szCs w:val="22"/>
        </w:rPr>
        <w:t xml:space="preserve">entry rates will increase most starkly among historical minority groups, such as women, who tend to be most disadvantaged at the point of entry and thus will benefit the most from lower barriers. Women have been found to </w:t>
      </w:r>
      <w:r w:rsidRPr="006D327F">
        <w:rPr>
          <w:sz w:val="22"/>
          <w:szCs w:val="22"/>
        </w:rPr>
        <w:t xml:space="preserve">face </w:t>
      </w:r>
      <w:r>
        <w:rPr>
          <w:sz w:val="22"/>
          <w:szCs w:val="22"/>
        </w:rPr>
        <w:t>greater</w:t>
      </w:r>
      <w:r w:rsidRPr="006D327F">
        <w:rPr>
          <w:sz w:val="22"/>
          <w:szCs w:val="22"/>
        </w:rPr>
        <w:t xml:space="preserve"> </w:t>
      </w:r>
      <w:r>
        <w:rPr>
          <w:sz w:val="22"/>
          <w:szCs w:val="22"/>
        </w:rPr>
        <w:t xml:space="preserve">obstacles than men when transitioning into entrepreneurship, including difficulties raising sufficient capital or allocating time </w:t>
      </w:r>
      <w:r w:rsidRPr="000E2A25">
        <w:rPr>
          <w:sz w:val="22"/>
          <w:szCs w:val="22"/>
        </w:rPr>
        <w:fldChar w:fldCharType="begin" w:fldLock="1"/>
      </w:r>
      <w:r w:rsidRPr="000E2A25">
        <w:rPr>
          <w:sz w:val="22"/>
          <w:szCs w:val="22"/>
        </w:rPr>
        <w:instrText>ADDIN CSL_CITATION {"citationItems":[{"id":"ITEM-1","itemData":{"author":[{"dropping-particle":"","family":"Kacperczyk","given":"Aleksandra “Olenka”","non-dropping-particle":"","parse-names":false,"suffix":""},{"dropping-particle":"","family":"Guzman","given":"Jorge","non-dropping-particle":"","parse-names":false,"suffix":""}],"container-title":"Research Policy","id":"ITEM-1","issue":"7","issued":{"date-parts":[["2019"]]},"page":"1666-1680","title":"Gender Gap in Entrepreneurship","type":"article-journal","volume":"48"},"uris":["http://www.mendeley.com/documents/?uuid=99c57b3a-08cc-40eb-95c5-12812006c7f3"]},{"id":"ITEM-2","itemData":{"DOI":"10.1177/0190272510377882","ISBN":"0190-2725\\r1939-8999","ISSN":"01902725","PMID":"65439382","abstract":"The gender gap in entrepreneurs hip has typically been understood through women's struc tural disadvantages in acquiring the resources relevant for successful business ownership. This study builds on resource-based approaches to investigate how cultural beliefs about gender influence the process by which individuals initially come to identify entrepreneurship as a viable labor-market on status characteristics option. Drawing theory, this study eval uates (1) how cultural beliefs about gender and entrepreneurship influence self-assessments of entrepreneurial ability, and (2) the extent to which such assessments account for the gen der gap in business start-ups. Results suggest that women are significantly less likely to per ceive themselves as able to be an entrepreneur and they hold themselves to a stricter standard of competence when compared to similarly situated men. This gender difference in self-assessments accounts for a significant portion of the gender gap in entrepreneurship after controlling for relevant resources. Additional reveal analyses that significant gender differences in self assessed ability persist among established business owners.","author":[{"dropping-particle":"","family":"Thébaud","given":"Sarah","non-dropping-particle":"","parse-names":false,"suffix":""}],"container-title":"Social Psychology Quarterly","id":"ITEM-2","issue":"3","issued":{"date-parts":[["2010"]]},"page":"288-304","title":"Gender and entrepreneurship as a career choice: Do self-assessments of ability matter?","type":"article-journal","volume":"73"},"uris":["http://www.mendeley.com/documents/?uuid=3deadab5-c255-4bb9-b81b-2f5db23ac1e5"]},{"id":"ITEM-3","itemData":{"DOI":"10.1177/0001839215591627","ISBN":"10.1177/0001839215591627","ISSN":"19303815","abstract":"This article develops and empirically evaluates an institutional theory of gender inequalities in business start-up, ownership, and growth orientation. I argue that in contexts in which institutional arrangements such as paid leave, subsidized childcare, and part-time employment opportunities mitigate work-family conflict, women are less likely to opt for business ownership as a fallback employment strategy. As a result, women in these contexts may be relatively less well represented among entrepreneurs as a whole but more well represented in growth-oriented forms of entrepreneurship. To evaluate this claim, I analyze survey data from 24 countries over the span of eight years. Multilevel analyses show that supportive work-family institutions are associated with larger gender gaps in the odds of early-stage and established business ownership but smaller gender gaps among business owners in terms of their business size, growth aspirations, and propensity to innovate or use new technology. Consistent with my theoretical argument, women business owners are also less likely to report pursuing entrepreneurship because they lacked attractive employment options in contexts in which supportive institutions are in place. Findings suggest that institutional contexts characterized by salient work-family conflict may fuel women's aggregate representation in business activity but reinforce their segregation into less growth-oriented (and thus lower-status) ventures.","author":[{"dropping-particle":"","family":"Thébaud","given":"Sarah","non-dropping-particle":"","parse-names":false,"suffix":""}],"container-title":"Administrative Science Quarterly","id":"ITEM-3","issue":"4","issued":{"date-parts":[["2015"]]},"page":"671-711","title":"Business as Plan B: Institutional Foundations of Gender Inequality in Entrepreneurship across 24 Industrialized Countries","type":"article-journal","volume":"60"},"uris":["http://www.mendeley.com/documents/?uuid=eed07914-95cd-4b9a-a266-053979be094f"]},{"id":"ITEM-4","itemData":{"DOI":"10.5465/AMR.2007.25275510","ISBN":"03637425","ISSN":"03637425","PMID":"25275510","abstract":"The entrepreneurship literature has been criticized for providing inadequate accounts of business owners' actual experiences and challenges. Work-family interface (WFI) considerations in particular are noticeably absent from much theorizing and research--despite the importance of such considerations to entrepreneurs themselves. We demonstrate how constructs from the WFI literature can help address an important entrepreneurship question that has not been answered satisfactorily to date: Why is there a persistent performance differential between male-headed and female-headed firms? [ABSTRACT FROM AUTHOR]","author":[{"dropping-particle":"","family":"Jennings","given":"Jennifer E.","non-dropping-particle":"","parse-names":false,"suffix":""},{"dropping-particle":"","family":"Mcdougald","given":"Megan S.","non-dropping-particle":"","parse-names":false,"suffix":""}],"container-title":"Academy of Management Review","id":"ITEM-4","issue":"3","issued":{"date-parts":[["2007"]]},"page":"747-760","title":"Work-family interface experiences and coping strategies: Implications for entrepreneurship research and practice","type":"article-journal","volume":"32"},"uris":["http://www.mendeley.com/documents/?uuid=b3e96898-05ad-4a9c-ab81-46b7feefac0b"]},{"id":"ITEM-5","itemData":{"DOI":"10.1080/19416520.2013.782190","ISBN":"1941-6520","ISSN":"1941-6520","PMID":"14982359","abstract":"This paper has three overarching objectives. The first is to document the development of the body of work known as women’s entrepreneurship research. The second is to assess the contributions of this work, specifically vis-a`-vis the broader entrepreneurship literature. The third is to discuss how this broader literature poses challenges (both difficulties as well as opportunities) for scholarship on female entrepreneurs. We approach these objectives from the standpoint of informed pluralism, seeking to explore whether and how women’s entrepreneurship research offers extensions to—and can be extended by—general research on entrepreneurs and their ventures.","author":[{"dropping-particle":"","family":"Jennings","given":"Jennifer E.","non-dropping-particle":"","parse-names":false,"suffix":""},{"dropping-particle":"","family":"Brush","given":"Candida G.","non-dropping-particle":"","parse-names":false,"suffix":""}],"container-title":"The Academy of Management Annals","id":"ITEM-5","issue":"1","issued":{"date-parts":[["2013"]]},"page":"663-715","title":"Research on Women Entrepreneurs: Challenges to (and from) the Broader Entrepreneurship Literature?","type":"article-journal","volume":"7"},"uris":["http://www.mendeley.com/documents/?uuid=6567a57e-4514-4492-b290-454a8f8eccb2"]},{"id":"ITEM-6","itemData":{"DOI":"10.2307/352769","ISBN":"0022-2445","ISSN":"00222445","PMID":"15318156","abstract":"This study investigates work-family connections and economic success among women and men small business owners. We use what we term gender similarity and gender difference models to frame this investigation. The first model emphasizes the similarities between women and men in the processes through which work outcomes are determined. In contrast, the gender difference model assumes deeply rooted institutional and individual bases of gender difference. Analyses of data from a 3-year panel survey of 99 women and 312 men owners show more support for the gender similarity than the gender difference model. There is considerable gender similarity in the processes through which business and individual characteristics affect personal earnings, although women owners are disadvantaged in some characteristics critical to business success. Family situation has a direct impact on these owners' business success and indirectly affects personal earnings. We uncover vestiges of traditional gender roles consistent with the gender difference model but primarily in the context of marriage. Thus, children are experienced as an incentive to fulfill the good provider role not only among married men but also by single women. The even history analyses show that these effects persist over time.","author":[{"dropping-particle":"","family":"Loscocco","given":"Karyn A.","non-dropping-particle":"","parse-names":false,"suffix":""},{"dropping-particle":"","family":"Leicht","given":"Kevin T.","non-dropping-particle":"","parse-names":false,"suffix":""}],"container-title":"Journal of Marriage and the Family","id":"ITEM-6","issue":"4","issued":{"date-parts":[["1993"]]},"page":"875-887","title":"Gender, work-family linkages, and economic success among small business owners","type":"article-journal","volume":"55"},"uris":["http://www.mendeley.com/documents/?uuid=a76d4c1d-f641-4a30-88b3-6eb501231c6b"]}],"mendeley":{"formattedCitation":"(Jennings and Brush, 2013; Jennings and Mcdougald, 2007; Kacperczyk and Guzman, 2019; Loscocco and Leicht, 1993; Thébaud, 2010, 2015)","manualFormatting":"(e.g., Jennings and Brush 2013, Jennings and Mcdougald 2007, Kacperczyk and Guzman 2016, Loscocco and Leicht 1993, Thébaud 2010, 2015)","plainTextFormattedCitation":"(Jennings and Brush, 2013; Jennings and Mcdougald, 2007; Kacperczyk and Guzman, 2019; Loscocco and Leicht, 1993; Thébaud, 2010, 2015)","previouslyFormattedCitation":"(Jennings and Brush, 2013; Jennings and Mcdougald, 2007; Kacperczyk and Guzman, 2019; Loscocco and Leicht, 1993; Thébaud, 2010, 2015)"},"properties":{"noteIndex":0},"schema":"https://github.com/citation-style-language/schema/raw/master/csl-citation.json"}</w:instrText>
      </w:r>
      <w:r w:rsidRPr="000E2A25">
        <w:rPr>
          <w:sz w:val="22"/>
          <w:szCs w:val="22"/>
        </w:rPr>
        <w:fldChar w:fldCharType="separate"/>
      </w:r>
      <w:r w:rsidRPr="00692EB2">
        <w:rPr>
          <w:sz w:val="22"/>
          <w:szCs w:val="22"/>
        </w:rPr>
        <w:t xml:space="preserve">(e.g., Jennings and Brush 2013, </w:t>
      </w:r>
      <w:r w:rsidR="00443EE4">
        <w:rPr>
          <w:sz w:val="22"/>
          <w:szCs w:val="22"/>
        </w:rPr>
        <w:t xml:space="preserve">Guzman and Kacperczyk, </w:t>
      </w:r>
      <w:r w:rsidRPr="00692EB2">
        <w:rPr>
          <w:sz w:val="22"/>
          <w:szCs w:val="22"/>
        </w:rPr>
        <w:t xml:space="preserve"> 201</w:t>
      </w:r>
      <w:r w:rsidR="00443EE4">
        <w:rPr>
          <w:sz w:val="22"/>
          <w:szCs w:val="22"/>
        </w:rPr>
        <w:t>9</w:t>
      </w:r>
      <w:r w:rsidRPr="00692EB2">
        <w:rPr>
          <w:sz w:val="22"/>
          <w:szCs w:val="22"/>
        </w:rPr>
        <w:t>, Thébaud 2010, 2015)</w:t>
      </w:r>
      <w:r w:rsidRPr="000E2A25">
        <w:rPr>
          <w:sz w:val="22"/>
          <w:szCs w:val="22"/>
        </w:rPr>
        <w:fldChar w:fldCharType="end"/>
      </w:r>
      <w:r>
        <w:rPr>
          <w:sz w:val="22"/>
          <w:szCs w:val="22"/>
        </w:rPr>
        <w:t>;</w:t>
      </w:r>
      <w:r w:rsidRPr="000E2A25">
        <w:rPr>
          <w:sz w:val="22"/>
          <w:szCs w:val="22"/>
        </w:rPr>
        <w:t xml:space="preserve"> </w:t>
      </w:r>
      <w:r>
        <w:rPr>
          <w:sz w:val="22"/>
          <w:szCs w:val="22"/>
        </w:rPr>
        <w:t>accordingly, female employees</w:t>
      </w:r>
      <w:r w:rsidRPr="000E2A25">
        <w:rPr>
          <w:sz w:val="22"/>
          <w:szCs w:val="22"/>
        </w:rPr>
        <w:t xml:space="preserve"> will </w:t>
      </w:r>
      <w:r>
        <w:rPr>
          <w:sz w:val="22"/>
          <w:szCs w:val="22"/>
        </w:rPr>
        <w:t xml:space="preserve">likely </w:t>
      </w:r>
      <w:r w:rsidRPr="000E2A25">
        <w:rPr>
          <w:sz w:val="22"/>
          <w:szCs w:val="22"/>
        </w:rPr>
        <w:t>enter at higher rates</w:t>
      </w:r>
      <w:r>
        <w:rPr>
          <w:sz w:val="22"/>
          <w:szCs w:val="22"/>
        </w:rPr>
        <w:t xml:space="preserve"> than male employees, </w:t>
      </w:r>
      <w:r w:rsidRPr="000E2A25">
        <w:rPr>
          <w:sz w:val="22"/>
          <w:szCs w:val="22"/>
        </w:rPr>
        <w:t xml:space="preserve">when entry barriers decline. </w:t>
      </w:r>
    </w:p>
    <w:p w14:paraId="5F13FB4E" w14:textId="7E8E2452" w:rsidR="00374813" w:rsidRDefault="00374813" w:rsidP="00374813">
      <w:pPr>
        <w:spacing w:line="480" w:lineRule="auto"/>
        <w:ind w:firstLine="720"/>
        <w:rPr>
          <w:sz w:val="22"/>
          <w:szCs w:val="22"/>
        </w:rPr>
      </w:pPr>
      <w:r>
        <w:rPr>
          <w:sz w:val="22"/>
          <w:szCs w:val="22"/>
        </w:rPr>
        <w:t>Second, focusing on</w:t>
      </w:r>
      <w:r w:rsidRPr="00205656">
        <w:rPr>
          <w:sz w:val="22"/>
          <w:szCs w:val="22"/>
        </w:rPr>
        <w:t xml:space="preserve"> the unintended effects, we expect </w:t>
      </w:r>
      <w:r>
        <w:rPr>
          <w:sz w:val="22"/>
          <w:szCs w:val="22"/>
        </w:rPr>
        <w:t>these departures to entrepreneurship to reduce the ability to create and capture value by workers most socially proximate to the departed females. Rent allocation among</w:t>
      </w:r>
      <w:r w:rsidRPr="00692EB2">
        <w:rPr>
          <w:sz w:val="22"/>
          <w:szCs w:val="22"/>
        </w:rPr>
        <w:t xml:space="preserve"> employees within a firm intricately depends on the workers’ ability to create value – through their productivity – and to capture it – through their bargaining power </w:t>
      </w:r>
      <w:r w:rsidRPr="00692EB2">
        <w:rPr>
          <w:sz w:val="22"/>
          <w:szCs w:val="22"/>
        </w:rPr>
        <w:fldChar w:fldCharType="begin" w:fldLock="1"/>
      </w:r>
      <w:r w:rsidRPr="00692EB2">
        <w:rPr>
          <w:sz w:val="22"/>
          <w:szCs w:val="22"/>
        </w:rPr>
        <w:instrText>ADDIN CSL_CITATION {"citationItems":[{"id":"ITEM-1","itemData":{"DOI":"10.1002/smj.327","ISBN":"0143-2095","ISSN":"01432095","PMID":"225003277","abstract":"Who reaps the fruits of a dynamic capability? We argue that while social capital is essential for the acquisition, integration, and release of resources at the core of a dynamic capability, actors can also use social capital for personal gain. Thus, social capital may be a key to understanding both rent generation and rent appropriation. Even when causal ambiguity obscures individual contributions, theymay use their social capital to establish credible claims on the rent. Specifically, employees who occupy structural holes, span organizational boundaries, or who are highly central may be most able to appropriate rent because their social capital grants credibility to their claims. Rent that is appropriated in this way may be unobservable in performance measures that fail to distinguish normal compensation from rent. We contribute by identifying the specific role of social capital in a dynamic capability and linking social capital to rent appropriation patterns.","author":[{"dropping-particle":"","family":"Blyler","given":"Maureen","non-dropping-particle":"","parse-names":false,"suffix":""},{"dropping-particle":"","family":"Coff","given":"Russell W.","non-dropping-particle":"","parse-names":false,"suffix":""}],"container-title":"Strategic Management Journal","id":"ITEM-1","issue":"7","issued":{"date-parts":[["2003","7"]]},"page":"677-686","title":"Dynamic capabilities, social capital, and rent appropriation: Ties that split pies","type":"article-journal","volume":"24"},"uris":["http://www.mendeley.com/documents/?uuid=9ecb5eb5-f9af-42a6-bde3-c4cd789afa60"]},{"id":"ITEM-2","itemData":{"ISSN":"0143-2095","author":[{"dropping-particle":"","family":"Coff","given":"Russell W","non-dropping-particle":"","parse-names":false,"suffix":""}],"container-title":"Strategic Management Journal","id":"ITEM-2","issue":"7","issued":{"date-parts":[["2010"]]},"page":"711-733","publisher":"Wiley Online Library","title":"The coevolution of rent appropriation and capability development","type":"article-journal","volume":"31"},"uris":["http://www.mendeley.com/documents/?uuid=5b2070d1-7d1a-4a6e-96eb-9a065b9e61b7"]}],"mendeley":{"formattedCitation":"(Blyler and Coff, 2003; Coff, 2010)","plainTextFormattedCitation":"(Blyler and Coff, 2003; Coff, 2010)","previouslyFormattedCitation":"(Blyler and Coff, 2003; Coff, 2010)"},"properties":{"noteIndex":0},"schema":"https://github.com/citation-style-language/schema/raw/master/csl-citation.json"}</w:instrText>
      </w:r>
      <w:r w:rsidRPr="00692EB2">
        <w:rPr>
          <w:sz w:val="22"/>
          <w:szCs w:val="22"/>
        </w:rPr>
        <w:fldChar w:fldCharType="separate"/>
      </w:r>
      <w:r w:rsidRPr="00692EB2">
        <w:rPr>
          <w:sz w:val="22"/>
          <w:szCs w:val="22"/>
        </w:rPr>
        <w:t>(Blyler and Coff, 2003; Coff, 2010)</w:t>
      </w:r>
      <w:r w:rsidRPr="00692EB2">
        <w:rPr>
          <w:sz w:val="22"/>
          <w:szCs w:val="22"/>
        </w:rPr>
        <w:fldChar w:fldCharType="end"/>
      </w:r>
      <w:r w:rsidRPr="00692EB2">
        <w:rPr>
          <w:sz w:val="22"/>
          <w:szCs w:val="22"/>
        </w:rPr>
        <w:t xml:space="preserve">. Yet both are likely to decline among </w:t>
      </w:r>
      <w:r>
        <w:rPr>
          <w:sz w:val="22"/>
          <w:szCs w:val="22"/>
        </w:rPr>
        <w:t>minority workers, such as women, because an increase in</w:t>
      </w:r>
      <w:r w:rsidRPr="00692EB2">
        <w:rPr>
          <w:sz w:val="22"/>
          <w:szCs w:val="22"/>
        </w:rPr>
        <w:t xml:space="preserve"> turnover among </w:t>
      </w:r>
      <w:r>
        <w:rPr>
          <w:sz w:val="22"/>
          <w:szCs w:val="22"/>
        </w:rPr>
        <w:t xml:space="preserve">their </w:t>
      </w:r>
      <w:r w:rsidRPr="00692EB2">
        <w:rPr>
          <w:sz w:val="22"/>
          <w:szCs w:val="22"/>
        </w:rPr>
        <w:t>peers will weaken the</w:t>
      </w:r>
      <w:r>
        <w:rPr>
          <w:sz w:val="22"/>
          <w:szCs w:val="22"/>
        </w:rPr>
        <w:t>ir</w:t>
      </w:r>
      <w:r w:rsidRPr="00692EB2">
        <w:rPr>
          <w:sz w:val="22"/>
          <w:szCs w:val="22"/>
        </w:rPr>
        <w:t xml:space="preserve"> ability</w:t>
      </w:r>
      <w:r>
        <w:rPr>
          <w:sz w:val="22"/>
          <w:szCs w:val="22"/>
        </w:rPr>
        <w:t xml:space="preserve"> </w:t>
      </w:r>
      <w:r w:rsidRPr="00692EB2">
        <w:rPr>
          <w:sz w:val="22"/>
          <w:szCs w:val="22"/>
        </w:rPr>
        <w:t xml:space="preserve">to form coalitions </w:t>
      </w:r>
      <w:r>
        <w:rPr>
          <w:sz w:val="22"/>
          <w:szCs w:val="22"/>
        </w:rPr>
        <w:t>in order to</w:t>
      </w:r>
      <w:r w:rsidRPr="00692EB2">
        <w:rPr>
          <w:sz w:val="22"/>
          <w:szCs w:val="22"/>
        </w:rPr>
        <w:t xml:space="preserve"> influence </w:t>
      </w:r>
      <w:r>
        <w:rPr>
          <w:sz w:val="22"/>
          <w:szCs w:val="22"/>
        </w:rPr>
        <w:t xml:space="preserve">key </w:t>
      </w:r>
      <w:r w:rsidRPr="00692EB2">
        <w:rPr>
          <w:sz w:val="22"/>
          <w:szCs w:val="22"/>
        </w:rPr>
        <w:t xml:space="preserve">organizational outcomes </w:t>
      </w:r>
      <w:r w:rsidRPr="00692EB2">
        <w:rPr>
          <w:sz w:val="22"/>
          <w:szCs w:val="22"/>
        </w:rPr>
        <w:fldChar w:fldCharType="begin" w:fldLock="1"/>
      </w:r>
      <w:r w:rsidRPr="00692EB2">
        <w:rPr>
          <w:sz w:val="22"/>
          <w:szCs w:val="22"/>
        </w:rPr>
        <w:instrText>ADDIN CSL_CITATION {"citationItems":[{"id":"ITEM-1","itemData":{"ISSN":"0002-9602","author":[{"dropping-particle":"","family":"Kanter","given":"Rosabeth Moss","non-dropping-particle":"","parse-names":false,"suffix":""}],"container-title":"American journal of Sociology","id":"ITEM-1","issue":"5","issued":{"date-parts":[["1977"]]},"page":"965-990","title":"Some effects of proportions on group life: Skewed sex ratios and responses to token women","type":"article-journal","volume":"82"},"uris":["http://www.mendeley.com/documents/?uuid=3bf359ab-536f-4986-bafd-c84d1aa47203"]},{"id":"ITEM-2","itemData":{"DOI":"10.2307/256740","ISBN":"1097-0045 (Electronic)\\r0270-4137 (Linking)","ISSN":"0001-4273","PMID":"24862220","abstract":"This study examined how women's proportional representation in the upper echelons of organizations affects professional women's so-cial constructions of gender difference and gender identity at work. Qualitative and quantitative data were used. Results suggest that sex roles are more stereotypical and more problematic in firms with rel-atively low proportions of senior women. This research also found that women responded to these constraints in a range of ways and identi-fies five response profiles. The study challenges prevailing conceptions of gender as an objective property of individuals synonymous with bi-ological sex and universal across organizational settings; instead, it supports a more complex view of gender as an ongoing social con-struction, the meaning, significance, and consequences of which vary as a function of the power differences refiected in the sex composition across levels of an organization's hierarchy. Since Kanter's (1977) pioneering work on tokenism, much of the or-ganizational research on gender has focused on how women's propor-tional representation within work groups affects their workplace experi-ences (for reviews, see Martin [1985], Konrad and Gutek [1987], Zimmer [1988], Yoder [1991], and Wharton [1992]). Such research has demon-strated that underrepresentation of women is associated with increased performance pressures, isolation from informal social and professional net-works, and stereotyped role encapsulation for women. Many researchers have interpreted these findings to mean that balanced representation with-in work groups will eliminate these negative effects. Others, however, have criticized this view as overly optimistic and empirically unsubstantiated, calling into question the efficacy of number balancing as a strategy to end","author":[{"dropping-particle":"","family":"Ely","given":"R. J.","non-dropping-particle":"","parse-names":false,"suffix":""}],"container-title":"Academy of Management Journal","id":"ITEM-2","issue":"3","issued":{"date-parts":[["1995"]]},"page":"589-634","title":"The power in demography: Women's social constructions of gender identity at work.","type":"article-journal","volume":"38"},"uris":["http://www.mendeley.com/documents/?uuid=7675c268-9949-4f4b-a000-7110665474a1"]},{"id":"ITEM-3","itemData":{"ISSN":"0018-7267","author":[{"dropping-particle":"","family":"Burke","given":"Ronald J","non-dropping-particle":"","parse-names":false,"suffix":""},{"dropping-particle":"","family":"McKeen","given":"Carol A","non-dropping-particle":"","parse-names":false,"suffix":""}],"container-title":"Human Relations","id":"ITEM-3","issue":"8","issued":{"date-parts":[["1996"]]},"page":"1093-1104","publisher":"Periodicals Service Company Germantown, NY","title":"Do women at the top make a difference? Gender proportions and the experiences of managerial and professional women","type":"article-journal","volume":"49"},"uris":["http://www.mendeley.com/documents/?uuid=101c6468-f73f-4b23-a426-f760a2d9d792"]}],"mendeley":{"formattedCitation":"(Burke and McKeen, 1996; Ely, 1995; Kanter, 1977)","manualFormatting":"(e.g., Burke and McKeen, 1996; Ely, 1995; Kanter, 1977)","plainTextFormattedCitation":"(Burke and McKeen, 1996; Ely, 1995; Kanter, 1977)","previouslyFormattedCitation":"(Burke and McKeen, 1996; Ely, 1995; Kanter, 1977)"},"properties":{"noteIndex":0},"schema":"https://github.com/citation-style-language/schema/raw/master/csl-citation.json"}</w:instrText>
      </w:r>
      <w:r w:rsidRPr="00692EB2">
        <w:rPr>
          <w:sz w:val="22"/>
          <w:szCs w:val="22"/>
        </w:rPr>
        <w:fldChar w:fldCharType="separate"/>
      </w:r>
      <w:r w:rsidRPr="00692EB2">
        <w:rPr>
          <w:sz w:val="22"/>
          <w:szCs w:val="22"/>
        </w:rPr>
        <w:t>(e.g., Burke and McKeen, 1996; Ely, 1995; Kanter, 1977)</w:t>
      </w:r>
      <w:r w:rsidRPr="00692EB2">
        <w:rPr>
          <w:sz w:val="22"/>
          <w:szCs w:val="22"/>
        </w:rPr>
        <w:fldChar w:fldCharType="end"/>
      </w:r>
      <w:r w:rsidRPr="00692EB2">
        <w:rPr>
          <w:sz w:val="22"/>
          <w:szCs w:val="22"/>
        </w:rPr>
        <w:t>.</w:t>
      </w:r>
      <w:r>
        <w:rPr>
          <w:sz w:val="22"/>
          <w:szCs w:val="22"/>
        </w:rPr>
        <w:t xml:space="preserve"> </w:t>
      </w:r>
      <w:r w:rsidR="00E837A2">
        <w:rPr>
          <w:sz w:val="22"/>
          <w:szCs w:val="22"/>
        </w:rPr>
        <w:t>Hence</w:t>
      </w:r>
      <w:r>
        <w:rPr>
          <w:sz w:val="22"/>
          <w:szCs w:val="22"/>
        </w:rPr>
        <w:t xml:space="preserve">, as female employees leave to entrepreneurship at disproportional rates, </w:t>
      </w:r>
      <w:r w:rsidRPr="00205656">
        <w:rPr>
          <w:sz w:val="22"/>
          <w:szCs w:val="22"/>
        </w:rPr>
        <w:t xml:space="preserve">the value created and </w:t>
      </w:r>
      <w:r w:rsidRPr="00756643">
        <w:rPr>
          <w:sz w:val="22"/>
          <w:szCs w:val="22"/>
        </w:rPr>
        <w:t xml:space="preserve">appropriated by </w:t>
      </w:r>
      <w:r>
        <w:rPr>
          <w:sz w:val="22"/>
          <w:szCs w:val="22"/>
        </w:rPr>
        <w:t xml:space="preserve">the remaining </w:t>
      </w:r>
      <w:r w:rsidRPr="00756643">
        <w:rPr>
          <w:sz w:val="22"/>
          <w:szCs w:val="22"/>
        </w:rPr>
        <w:t>female workers</w:t>
      </w:r>
      <w:r w:rsidRPr="00FB041D">
        <w:rPr>
          <w:sz w:val="22"/>
          <w:szCs w:val="22"/>
        </w:rPr>
        <w:t xml:space="preserve"> </w:t>
      </w:r>
      <w:r>
        <w:rPr>
          <w:sz w:val="22"/>
          <w:szCs w:val="22"/>
        </w:rPr>
        <w:t xml:space="preserve">will </w:t>
      </w:r>
      <w:r w:rsidR="00304EB9">
        <w:rPr>
          <w:sz w:val="22"/>
          <w:szCs w:val="22"/>
        </w:rPr>
        <w:t>fall</w:t>
      </w:r>
      <w:r w:rsidRPr="00FB041D">
        <w:rPr>
          <w:sz w:val="22"/>
          <w:szCs w:val="22"/>
        </w:rPr>
        <w:t>,</w:t>
      </w:r>
      <w:r>
        <w:rPr>
          <w:sz w:val="22"/>
          <w:szCs w:val="22"/>
        </w:rPr>
        <w:t xml:space="preserve"> leading to a wider gender gap in pay </w:t>
      </w:r>
      <w:r w:rsidR="00985EA7">
        <w:rPr>
          <w:sz w:val="22"/>
          <w:szCs w:val="22"/>
        </w:rPr>
        <w:t>at</w:t>
      </w:r>
      <w:r>
        <w:rPr>
          <w:sz w:val="22"/>
          <w:szCs w:val="22"/>
        </w:rPr>
        <w:t xml:space="preserve"> incumbent firms</w:t>
      </w:r>
      <w:r w:rsidRPr="001246BE">
        <w:rPr>
          <w:sz w:val="22"/>
          <w:szCs w:val="22"/>
        </w:rPr>
        <w:t xml:space="preserve">. </w:t>
      </w:r>
    </w:p>
    <w:p w14:paraId="1C9CD7C0" w14:textId="5E135D15" w:rsidR="00374813" w:rsidRPr="00692EB2" w:rsidRDefault="00374813" w:rsidP="00374813">
      <w:pPr>
        <w:spacing w:line="480" w:lineRule="auto"/>
        <w:ind w:firstLine="720"/>
        <w:rPr>
          <w:sz w:val="22"/>
          <w:szCs w:val="22"/>
        </w:rPr>
      </w:pPr>
      <w:r w:rsidRPr="00692EB2">
        <w:rPr>
          <w:sz w:val="22"/>
          <w:szCs w:val="22"/>
        </w:rPr>
        <w:t>I</w:t>
      </w:r>
      <w:r w:rsidRPr="000E2A25">
        <w:rPr>
          <w:sz w:val="22"/>
          <w:szCs w:val="22"/>
        </w:rPr>
        <w:t>n sum, we predict that reducing entry barriers</w:t>
      </w:r>
      <w:r>
        <w:rPr>
          <w:sz w:val="22"/>
          <w:szCs w:val="22"/>
        </w:rPr>
        <w:t xml:space="preserve"> to venture formation</w:t>
      </w:r>
      <w:r w:rsidRPr="000E2A25">
        <w:rPr>
          <w:sz w:val="22"/>
          <w:szCs w:val="22"/>
        </w:rPr>
        <w:t xml:space="preserve"> through</w:t>
      </w:r>
      <w:r w:rsidRPr="00205656">
        <w:rPr>
          <w:sz w:val="22"/>
          <w:szCs w:val="22"/>
        </w:rPr>
        <w:t xml:space="preserve"> regulatory institutions will have two opposing</w:t>
      </w:r>
      <w:r w:rsidRPr="00756643">
        <w:rPr>
          <w:sz w:val="22"/>
          <w:szCs w:val="22"/>
        </w:rPr>
        <w:t xml:space="preserve"> effects, leading to</w:t>
      </w:r>
      <w:r>
        <w:rPr>
          <w:sz w:val="22"/>
          <w:szCs w:val="22"/>
        </w:rPr>
        <w:t xml:space="preserve"> the intended effects on workers who become founders and unintended effects on workers who stay behind</w:t>
      </w:r>
      <w:r w:rsidRPr="00756643">
        <w:rPr>
          <w:sz w:val="22"/>
          <w:szCs w:val="22"/>
        </w:rPr>
        <w:t>. The</w:t>
      </w:r>
      <w:r w:rsidRPr="00FB041D">
        <w:rPr>
          <w:sz w:val="22"/>
          <w:szCs w:val="22"/>
        </w:rPr>
        <w:t xml:space="preserve"> intended effect w</w:t>
      </w:r>
      <w:r w:rsidRPr="005638FD">
        <w:rPr>
          <w:sz w:val="22"/>
          <w:szCs w:val="22"/>
        </w:rPr>
        <w:t xml:space="preserve">ill involve fostering </w:t>
      </w:r>
      <w:r w:rsidRPr="001246BE">
        <w:rPr>
          <w:sz w:val="22"/>
          <w:szCs w:val="22"/>
        </w:rPr>
        <w:t>entrepreneurship</w:t>
      </w:r>
      <w:r>
        <w:rPr>
          <w:sz w:val="22"/>
          <w:szCs w:val="22"/>
        </w:rPr>
        <w:t xml:space="preserve"> among individuals facing stronger entry</w:t>
      </w:r>
      <w:r w:rsidR="00E837A2">
        <w:rPr>
          <w:sz w:val="22"/>
          <w:szCs w:val="22"/>
        </w:rPr>
        <w:t xml:space="preserve"> barriers (i.e., </w:t>
      </w:r>
      <w:r>
        <w:rPr>
          <w:sz w:val="22"/>
          <w:szCs w:val="22"/>
        </w:rPr>
        <w:t>women</w:t>
      </w:r>
      <w:r w:rsidR="00E837A2">
        <w:rPr>
          <w:sz w:val="22"/>
          <w:szCs w:val="22"/>
        </w:rPr>
        <w:t>)</w:t>
      </w:r>
      <w:r>
        <w:rPr>
          <w:sz w:val="22"/>
          <w:szCs w:val="22"/>
        </w:rPr>
        <w:t>,</w:t>
      </w:r>
      <w:r w:rsidRPr="001246BE">
        <w:rPr>
          <w:sz w:val="22"/>
          <w:szCs w:val="22"/>
        </w:rPr>
        <w:t xml:space="preserve"> and thus decreasing gender disparities at </w:t>
      </w:r>
      <w:r w:rsidRPr="00801813">
        <w:rPr>
          <w:sz w:val="22"/>
          <w:szCs w:val="22"/>
        </w:rPr>
        <w:t xml:space="preserve">the point of entry. </w:t>
      </w:r>
      <w:r w:rsidRPr="00514BEB">
        <w:rPr>
          <w:sz w:val="22"/>
          <w:szCs w:val="22"/>
        </w:rPr>
        <w:t xml:space="preserve">But the unintended effect </w:t>
      </w:r>
      <w:r w:rsidRPr="00514EF3">
        <w:rPr>
          <w:sz w:val="22"/>
          <w:szCs w:val="22"/>
        </w:rPr>
        <w:t xml:space="preserve">will involve reducing </w:t>
      </w:r>
      <w:r>
        <w:rPr>
          <w:sz w:val="22"/>
          <w:szCs w:val="22"/>
        </w:rPr>
        <w:t>the ability to create and capture value in</w:t>
      </w:r>
      <w:r w:rsidRPr="00514EF3">
        <w:rPr>
          <w:sz w:val="22"/>
          <w:szCs w:val="22"/>
        </w:rPr>
        <w:t xml:space="preserve"> incumbent firms</w:t>
      </w:r>
      <w:r>
        <w:rPr>
          <w:sz w:val="22"/>
          <w:szCs w:val="22"/>
        </w:rPr>
        <w:t xml:space="preserve"> by socially-proximate individuals, or other women, </w:t>
      </w:r>
      <w:r w:rsidRPr="00514EF3">
        <w:rPr>
          <w:sz w:val="22"/>
          <w:szCs w:val="22"/>
        </w:rPr>
        <w:t xml:space="preserve">thus enhancing gender pay disparities within </w:t>
      </w:r>
      <w:r w:rsidR="00754FDC">
        <w:rPr>
          <w:sz w:val="22"/>
          <w:szCs w:val="22"/>
        </w:rPr>
        <w:t>established firms</w:t>
      </w:r>
      <w:r w:rsidRPr="00514EF3">
        <w:rPr>
          <w:sz w:val="22"/>
          <w:szCs w:val="22"/>
        </w:rPr>
        <w:t xml:space="preserve">. </w:t>
      </w:r>
    </w:p>
    <w:p w14:paraId="480D9041" w14:textId="6C365799" w:rsidR="00374813" w:rsidRPr="00F9012A" w:rsidRDefault="00374813" w:rsidP="00374813">
      <w:pPr>
        <w:pStyle w:val="BodyTextIndent"/>
      </w:pPr>
      <w:r w:rsidRPr="004A3511">
        <w:t xml:space="preserve">To further explore these mechanisms, we examine the heterogeneous effects across different organizational levels. First, we expect </w:t>
      </w:r>
      <w:r>
        <w:t xml:space="preserve">the intended effect to be stronger for women at higher </w:t>
      </w:r>
      <w:r w:rsidR="00C42EDD">
        <w:lastRenderedPageBreak/>
        <w:t xml:space="preserve">organizational levels, such as management positions. Because </w:t>
      </w:r>
      <w:r w:rsidR="00E837A2">
        <w:t>returns to skills are likely lower for female than male managers</w:t>
      </w:r>
      <w:r w:rsidR="00C42EDD">
        <w:t>, e</w:t>
      </w:r>
      <w:r>
        <w:t xml:space="preserve">ntrepreneurship </w:t>
      </w:r>
      <w:r w:rsidR="00C42EDD">
        <w:t xml:space="preserve">will function as an alternative path to advance, while overcoming barriers placed on female advancement in wage work (e.g., Carnahan et al., 2012; </w:t>
      </w:r>
      <w:r w:rsidR="00A43CB6">
        <w:t>Sørensen</w:t>
      </w:r>
      <w:r w:rsidR="00C42EDD">
        <w:t xml:space="preserve"> and Sharkey, 2014; Yang, Kacperczyk and Naldi, 2019). </w:t>
      </w:r>
      <w:r>
        <w:t xml:space="preserve">Second, </w:t>
      </w:r>
      <w:r w:rsidRPr="004A3511">
        <w:t>we expect the gender disparit</w:t>
      </w:r>
      <w:r>
        <w:t>ies</w:t>
      </w:r>
      <w:r w:rsidRPr="004A3511">
        <w:t xml:space="preserve"> in </w:t>
      </w:r>
      <w:r>
        <w:t>pay within incumbent firms to</w:t>
      </w:r>
      <w:r w:rsidRPr="004A3511">
        <w:t xml:space="preserve"> be amplified </w:t>
      </w:r>
      <w:r w:rsidR="00754FDC">
        <w:t>in</w:t>
      </w:r>
      <w:r>
        <w:t xml:space="preserve"> </w:t>
      </w:r>
      <w:r w:rsidRPr="004A3511">
        <w:t>managerial positions</w:t>
      </w:r>
      <w:r>
        <w:t xml:space="preserve"> because these jobs will become more male-dominated, as female managers disproportionately leave for entrepreneurship, undermining the productivity </w:t>
      </w:r>
      <w:r w:rsidR="00923778">
        <w:t>and</w:t>
      </w:r>
      <w:r>
        <w:t xml:space="preserve"> bargaining power of their remaining peers in equivalent jobs. </w:t>
      </w:r>
    </w:p>
    <w:p w14:paraId="539ED435" w14:textId="41018018" w:rsidR="00374813" w:rsidRPr="00F9012A" w:rsidRDefault="00374813">
      <w:pPr>
        <w:pStyle w:val="BodyTextIndent"/>
      </w:pPr>
      <w:r w:rsidRPr="00F9012A">
        <w:t xml:space="preserve">The impact of regulations designed </w:t>
      </w:r>
      <w:r w:rsidRPr="00F9012A">
        <w:rPr>
          <w:rStyle w:val="BodyTextIndentChar"/>
        </w:rPr>
        <w:t>t</w:t>
      </w:r>
      <w:r w:rsidRPr="00F9012A">
        <w:t>o reduce barriers to entry is difficult to address empirically because such institutional changes might be endogenous with respect to gender pay gaps</w:t>
      </w:r>
      <w:r>
        <w:t xml:space="preserve"> within incumbent firms</w:t>
      </w:r>
      <w:r w:rsidR="00442D90">
        <w:t>, as correlated with other economic, social or institutional factors affecting gender disparities</w:t>
      </w:r>
      <w:r w:rsidRPr="00F9012A">
        <w:t>. We address this empirical challenge by exploiting a quasi-natural experiment provided by the staggered enactment of an important entry deregulation reform (t</w:t>
      </w:r>
      <w:r w:rsidRPr="00F9012A">
        <w:rPr>
          <w:shd w:val="clear" w:color="auto" w:fill="FFFFFF"/>
        </w:rPr>
        <w:t>he “</w:t>
      </w:r>
      <w:r w:rsidRPr="00F9012A">
        <w:t>On the Spot Firm” program) implemented</w:t>
      </w:r>
      <w:r w:rsidRPr="00F9012A">
        <w:rPr>
          <w:shd w:val="clear" w:color="auto" w:fill="FFFFFF"/>
        </w:rPr>
        <w:t xml:space="preserve"> in Portugal from 2005 to 2009</w:t>
      </w:r>
      <w:r w:rsidRPr="00F9012A">
        <w:t>.</w:t>
      </w:r>
      <w:r w:rsidRPr="00F9012A">
        <w:rPr>
          <w:shd w:val="clear" w:color="auto" w:fill="FFFFFF"/>
        </w:rPr>
        <w:t xml:space="preserve"> The Portuguese reform reduced the barriers to startup entry by decreasing </w:t>
      </w:r>
      <w:r w:rsidRPr="00F9012A">
        <w:t>bureaucratic and financial burdens on those starting new ventures. Evidence suggests that the</w:t>
      </w:r>
      <w:r w:rsidR="00442D90">
        <w:t xml:space="preserve"> timing of the</w:t>
      </w:r>
      <w:r w:rsidRPr="00F9012A">
        <w:t xml:space="preserve"> reform’s enactment across different municipalities is considered exogenous with respect to the socio-economic characteristics of the municipalities themselves </w:t>
      </w:r>
      <w:r w:rsidRPr="001A090F">
        <w:fldChar w:fldCharType="begin" w:fldLock="1"/>
      </w:r>
      <w:r w:rsidRPr="00F9012A">
        <w:instrText>ADDIN CSL_CITATION {"citationItems":[{"id":"ITEM-1","itemData":{"ISSN":"1468-0297","author":[{"dropping-particle":"","family":"Branstetter","given":"Lee","non-dropping-particle":"","parse-names":false,"suffix":""},{"dropping-particle":"","family":"Lima","given":"Francisco","non-dropping-particle":"","parse-names":false,"suffix":""},{"dropping-particle":"","family":"Taylor","given":"Lowell J","non-dropping-particle":"","parse-names":false,"suffix":""},{"dropping-particle":"","family":"Venâncio","given":"Ana","non-dropping-particle":"","parse-names":false,"suffix":""}],"container-title":"The Economic Journal","id":"ITEM-1","issue":"577","issued":{"date-parts":[["2014"]]},"page":"805-832","title":"Do entry regulations deter entrepreneurship and job creation? Evidence from recent reforms in Portugal","type":"article-journal","volume":"124"},"uris":["http://www.mendeley.com/documents/?uuid=102d8c2f-d52c-4697-b2e1-757fd5f1907d"]},{"id":"ITEM-2","itemData":{"DOI":"10.1016/j.euroecorev.2014.04.004","ISBN":"0014-2921","ISSN":"00142921","PMID":"18715135","abstract":"This paper studies the effect of firm entry deregulation on the returns to skill and education. We exploit a comprehensive episode of entry deregulation, unique in the industrialized world, as a quasi-natural experiment. Using matched employer-employee data for the universe of workers and firms in Portugal, we show that increased product market competition, which resulted from deregulation, increased the returns to a university degree and the returns to skill. We verify that our results are not driven by changes in employment composition, and are unlikely to be driven by skill-biased technical change, or by workers who change skill levels after the deregulation. Highlights: •We study the effect of firm entry deregulation on the returns to skill and education.•We use employer-employee data and an episode of entry deregulation as a quasi-natural experiment.•The deregulation increased the number of new firms within municipalities and industries.•Results suggest that the reform increased competition within industries and municipalities.•The returns to a university degree and the returns to skill increased following the deregulation. © 2014 Elsevier B.V.","author":[{"dropping-particle":"","family":"Fernandes","given":"Ana P.","non-dropping-particle":"","parse-names":false,"suffix":""},{"dropping-particle":"","family":"Ferreira","given":"Priscila","non-dropping-particle":"","parse-names":false,"suffix":""},{"dropping-particle":"","family":"Alan Winters","given":"L.","non-dropping-particle":"","parse-names":false,"suffix":""}],"container-title":"European Economic Review","id":"ITEM-2","issued":{"date-parts":[["2014"]]},"page":"210-230","title":"Firm entry deregulation, competition and returns to education and skill","type":"article-journal","volume":"70"},"uris":["http://www.mendeley.com/documents/?uuid=d5349420-95ba-458a-8751-d98244d60799"]}],"mendeley":{"formattedCitation":"(Branstetter &lt;i&gt;et al.&lt;/i&gt;, 2014; Fernandes, Ferreira, and Alan Winters, 2014)","manualFormatting":"(e.g., Branstetter et al. 2014, Fernandes et al. 2014)","plainTextFormattedCitation":"(Branstetter et al., 2014; Fernandes, Ferreira, and Alan Winters, 2014)","previouslyFormattedCitation":"(Branstetter &lt;i&gt;et al.&lt;/i&gt;, 2014; Fernandes, Ferreira, and Alan Winters, 2014)"},"properties":{"noteIndex":0},"schema":"https://github.com/citation-style-language/schema/raw/master/csl-citation.json"}</w:instrText>
      </w:r>
      <w:r w:rsidRPr="001A090F">
        <w:fldChar w:fldCharType="separate"/>
      </w:r>
      <w:r w:rsidRPr="00F9012A">
        <w:rPr>
          <w:noProof/>
        </w:rPr>
        <w:t>(e.g., Branstetter et al. 2014, Fernandes et al. 2014)</w:t>
      </w:r>
      <w:r w:rsidRPr="001A090F">
        <w:fldChar w:fldCharType="end"/>
      </w:r>
      <w:r w:rsidRPr="00F9012A">
        <w:t xml:space="preserve">. Given the </w:t>
      </w:r>
      <w:r w:rsidRPr="00F9012A">
        <w:rPr>
          <w:shd w:val="clear" w:color="auto" w:fill="FFFFFF"/>
        </w:rPr>
        <w:t xml:space="preserve">exogenous timing of the reform and its staggered nature, it is possible to estimate the effects of these institutional changes using a </w:t>
      </w:r>
      <w:r w:rsidRPr="00F9012A">
        <w:t>difference-in-differences methodology―with the “treatment” group composed of municipalities that are subject to these reforms, and the “control” group composed of municipalities that are not. To estimate these effects, we leverage a set of large-scale, longitudinal, employee–employer matched data from Portugal containing the annual accounts of all limited liability firms in Portugal. The data document complete career histories and life events of the entire population of Portuguese employees, allowing us to characterize women’s entry into entrepreneurship as well as gender pay disparities in paid employment.</w:t>
      </w:r>
    </w:p>
    <w:p w14:paraId="0F3FD5FD" w14:textId="23F5F7A0" w:rsidR="00374813" w:rsidRPr="003754C4" w:rsidRDefault="00374813" w:rsidP="00374813">
      <w:pPr>
        <w:pStyle w:val="BodyTextIndent"/>
      </w:pPr>
      <w:r w:rsidRPr="00F9012A">
        <w:rPr>
          <w:rStyle w:val="current-selection"/>
          <w:rFonts w:eastAsiaTheme="minorEastAsia"/>
        </w:rPr>
        <w:t xml:space="preserve">Overall, </w:t>
      </w:r>
      <w:r>
        <w:rPr>
          <w:rStyle w:val="current-selection"/>
          <w:rFonts w:eastAsiaTheme="minorEastAsia"/>
        </w:rPr>
        <w:t>our</w:t>
      </w:r>
      <w:r w:rsidRPr="00F9012A">
        <w:rPr>
          <w:rStyle w:val="current-selection"/>
          <w:rFonts w:eastAsiaTheme="minorEastAsia"/>
        </w:rPr>
        <w:t xml:space="preserve"> study makes multiple contributions. First, we contribute to the research on strategic human capital, by shedding light on </w:t>
      </w:r>
      <w:r>
        <w:rPr>
          <w:rStyle w:val="current-selection"/>
          <w:rFonts w:eastAsiaTheme="minorEastAsia"/>
        </w:rPr>
        <w:t xml:space="preserve">the </w:t>
      </w:r>
      <w:r w:rsidRPr="00F9012A">
        <w:rPr>
          <w:rStyle w:val="current-selection"/>
          <w:rFonts w:eastAsiaTheme="minorEastAsia"/>
        </w:rPr>
        <w:t xml:space="preserve">micro-level mechanisms driving rent allocation within incumbent </w:t>
      </w:r>
      <w:r w:rsidRPr="00F9012A">
        <w:rPr>
          <w:rStyle w:val="current-selection"/>
          <w:rFonts w:eastAsiaTheme="minorEastAsia"/>
        </w:rPr>
        <w:lastRenderedPageBreak/>
        <w:t xml:space="preserve">firms </w:t>
      </w:r>
      <w:r>
        <w:rPr>
          <w:rStyle w:val="current-selection"/>
          <w:rFonts w:eastAsiaTheme="minorEastAsia"/>
        </w:rPr>
        <w:fldChar w:fldCharType="begin" w:fldLock="1"/>
      </w:r>
      <w:r>
        <w:rPr>
          <w:rStyle w:val="current-selection"/>
          <w:rFonts w:eastAsiaTheme="minorEastAsia"/>
        </w:rPr>
        <w:instrText>ADDIN CSL_CITATION {"citationItems":[{"id":"ITEM-1","itemData":{"DOI":"10.1002/smj.327","ISBN":"0143-2095","ISSN":"01432095","PMID":"225003277","abstract":"Who reaps the fruits of a dynamic capability? We argue that while social capital is essential for the acquisition, integration, and release of resources at the core of a dynamic capability, actors can also use social capital for personal gain. Thus, social capital may be a key to understanding both rent generation and rent appropriation. Even when causal ambiguity obscures individual contributions, theymay use their social capital to establish credible claims on the rent. Specifically, employees who occupy structural holes, span organizational boundaries, or who are highly central may be most able to appropriate rent because their social capital grants credibility to their claims. Rent that is appropriated in this way may be unobservable in performance measures that fail to distinguish normal compensation from rent. We contribute by identifying the specific role of social capital in a dynamic capability and linking social capital to rent appropriation patterns.","author":[{"dropping-particle":"","family":"Blyler","given":"Maureen","non-dropping-particle":"","parse-names":false,"suffix":""},{"dropping-particle":"","family":"Coff","given":"Russell W.","non-dropping-particle":"","parse-names":false,"suffix":""}],"container-title":"Strategic Management Journal","id":"ITEM-1","issue":"7","issued":{"date-parts":[["2003","7"]]},"page":"677-686","title":"Dynamic capabilities, social capital, and rent appropriation: Ties that split pies","type":"article-journal","volume":"24"},"uris":["http://www.mendeley.com/documents/?uuid=9ecb5eb5-f9af-42a6-bde3-c4cd789afa60"]},{"id":"ITEM-2","itemData":{"ISSN":"0143-2095","author":[{"dropping-particle":"","family":"Qian","given":"Cuili","non-dropping-particle":"","parse-names":false,"suffix":""},{"dropping-particle":"","family":"Wang","given":"Heli","non-dropping-particle":"","parse-names":false,"suffix":""},{"dropping-particle":"","family":"Geng","given":"Xuesong","non-dropping-particle":"","parse-names":false,"suffix":""},{"dropping-particle":"","family":"Yu","given":"Yangxin","non-dropping-particle":"","parse-names":false,"suffix":""}],"container-title":"Strategic Management Journal","id":"ITEM-2","issue":"4","issued":{"date-parts":[["2017"]]},"page":"892-911","publisher":"Wiley Online Library","title":"Rent appropriation of knowledge</w:instrText>
      </w:r>
      <w:r>
        <w:rPr>
          <w:rStyle w:val="current-selection"/>
          <w:rFonts w:ascii="Cambria Math" w:eastAsiaTheme="minorEastAsia" w:hAnsi="Cambria Math" w:cs="Cambria Math"/>
        </w:rPr>
        <w:instrText>‐</w:instrText>
      </w:r>
      <w:r>
        <w:rPr>
          <w:rStyle w:val="current-selection"/>
          <w:rFonts w:eastAsiaTheme="minorEastAsia"/>
        </w:rPr>
        <w:instrText>based assets and firm performance when institutions are weak: A study of Chinese publicly listed firms","type":"article-journal","volume":"38"},"uris":["http://www.mendeley.com/documents/?uuid=23757270-93ca-445f-bea5-943fc5f79683"]}],"mendeley":{"formattedCitation":"(Blyler and Coff, 2003; Qian &lt;i&gt;et al.&lt;/i&gt;, 2017)","manualFormatting":"(e.g., Blyler and Coff, 2003; Qian et al., 2017)","plainTextFormattedCitation":"(Blyler and Coff, 2003; Qian et al., 2017)","previouslyFormattedCitation":"(Blyler and Coff, 2003; Qian &lt;i&gt;et al.&lt;/i&gt;, 2017)"},"properties":{"noteIndex":0},"schema":"https://github.com/citation-style-language/schema/raw/master/csl-citation.json"}</w:instrText>
      </w:r>
      <w:r>
        <w:rPr>
          <w:rStyle w:val="current-selection"/>
          <w:rFonts w:eastAsiaTheme="minorEastAsia"/>
        </w:rPr>
        <w:fldChar w:fldCharType="separate"/>
      </w:r>
      <w:r w:rsidRPr="001869E2">
        <w:rPr>
          <w:rStyle w:val="current-selection"/>
          <w:rFonts w:eastAsiaTheme="minorEastAsia"/>
          <w:noProof/>
        </w:rPr>
        <w:t>(</w:t>
      </w:r>
      <w:r>
        <w:rPr>
          <w:rStyle w:val="current-selection"/>
          <w:rFonts w:eastAsiaTheme="minorEastAsia"/>
          <w:noProof/>
        </w:rPr>
        <w:t xml:space="preserve">e.g., </w:t>
      </w:r>
      <w:r w:rsidRPr="001869E2">
        <w:rPr>
          <w:rStyle w:val="current-selection"/>
          <w:rFonts w:eastAsiaTheme="minorEastAsia"/>
          <w:noProof/>
        </w:rPr>
        <w:t xml:space="preserve">Blyler and Coff, 2003; Qian </w:t>
      </w:r>
      <w:r w:rsidRPr="00084C77">
        <w:rPr>
          <w:rStyle w:val="current-selection"/>
          <w:rFonts w:eastAsiaTheme="minorEastAsia"/>
          <w:noProof/>
        </w:rPr>
        <w:t>et al</w:t>
      </w:r>
      <w:r w:rsidRPr="001869E2">
        <w:rPr>
          <w:rStyle w:val="current-selection"/>
          <w:rFonts w:eastAsiaTheme="minorEastAsia"/>
          <w:i/>
          <w:noProof/>
        </w:rPr>
        <w:t>.</w:t>
      </w:r>
      <w:r w:rsidRPr="001869E2">
        <w:rPr>
          <w:rStyle w:val="current-selection"/>
          <w:rFonts w:eastAsiaTheme="minorEastAsia"/>
          <w:noProof/>
        </w:rPr>
        <w:t>, 2017)</w:t>
      </w:r>
      <w:r>
        <w:rPr>
          <w:rStyle w:val="current-selection"/>
          <w:rFonts w:eastAsiaTheme="minorEastAsia"/>
        </w:rPr>
        <w:fldChar w:fldCharType="end"/>
      </w:r>
      <w:r w:rsidRPr="00F9012A">
        <w:rPr>
          <w:rStyle w:val="current-selection"/>
          <w:rFonts w:eastAsiaTheme="minorEastAsia"/>
        </w:rPr>
        <w:t>. In this respect, we document that minority workers</w:t>
      </w:r>
      <w:r>
        <w:rPr>
          <w:rStyle w:val="current-selection"/>
          <w:rFonts w:eastAsiaTheme="minorEastAsia"/>
        </w:rPr>
        <w:t>,</w:t>
      </w:r>
      <w:r w:rsidRPr="00F9012A">
        <w:rPr>
          <w:rStyle w:val="current-selection"/>
          <w:rFonts w:eastAsiaTheme="minorEastAsia"/>
        </w:rPr>
        <w:t xml:space="preserve"> such as women</w:t>
      </w:r>
      <w:r>
        <w:rPr>
          <w:rStyle w:val="current-selection"/>
          <w:rFonts w:eastAsiaTheme="minorEastAsia"/>
        </w:rPr>
        <w:t>,</w:t>
      </w:r>
      <w:r w:rsidRPr="00F9012A">
        <w:rPr>
          <w:rStyle w:val="current-selection"/>
          <w:rFonts w:eastAsiaTheme="minorEastAsia"/>
        </w:rPr>
        <w:t xml:space="preserve"> will </w:t>
      </w:r>
      <w:r>
        <w:rPr>
          <w:rStyle w:val="current-selection"/>
          <w:rFonts w:eastAsiaTheme="minorEastAsia"/>
        </w:rPr>
        <w:t xml:space="preserve">create </w:t>
      </w:r>
      <w:r w:rsidR="00923778">
        <w:rPr>
          <w:rStyle w:val="current-selection"/>
          <w:rFonts w:eastAsiaTheme="minorEastAsia"/>
        </w:rPr>
        <w:t>and</w:t>
      </w:r>
      <w:r>
        <w:rPr>
          <w:rStyle w:val="current-selection"/>
          <w:rFonts w:eastAsiaTheme="minorEastAsia"/>
        </w:rPr>
        <w:t xml:space="preserve"> </w:t>
      </w:r>
      <w:r w:rsidRPr="00F9012A">
        <w:rPr>
          <w:rStyle w:val="current-selection"/>
          <w:rFonts w:eastAsiaTheme="minorEastAsia"/>
        </w:rPr>
        <w:t>capture relatively less value within the firm</w:t>
      </w:r>
      <w:r>
        <w:rPr>
          <w:rStyle w:val="current-selection"/>
          <w:rFonts w:eastAsiaTheme="minorEastAsia"/>
        </w:rPr>
        <w:t>,</w:t>
      </w:r>
      <w:r w:rsidRPr="00F9012A">
        <w:rPr>
          <w:rStyle w:val="current-selection"/>
          <w:rFonts w:eastAsiaTheme="minorEastAsia"/>
        </w:rPr>
        <w:t xml:space="preserve"> following the</w:t>
      </w:r>
      <w:r>
        <w:rPr>
          <w:rStyle w:val="current-selection"/>
          <w:rFonts w:eastAsiaTheme="minorEastAsia"/>
        </w:rPr>
        <w:t xml:space="preserve"> unintended effects of</w:t>
      </w:r>
      <w:r w:rsidRPr="00F9012A">
        <w:rPr>
          <w:rStyle w:val="current-selection"/>
          <w:rFonts w:eastAsiaTheme="minorEastAsia"/>
        </w:rPr>
        <w:t xml:space="preserve"> </w:t>
      </w:r>
      <w:r>
        <w:rPr>
          <w:rStyle w:val="current-selection"/>
          <w:rFonts w:eastAsiaTheme="minorEastAsia"/>
        </w:rPr>
        <w:t>reducing entry</w:t>
      </w:r>
      <w:r w:rsidRPr="00F9012A">
        <w:rPr>
          <w:rStyle w:val="current-selection"/>
          <w:rFonts w:eastAsiaTheme="minorEastAsia"/>
        </w:rPr>
        <w:t xml:space="preserve"> barriers</w:t>
      </w:r>
      <w:r>
        <w:rPr>
          <w:rStyle w:val="current-selection"/>
          <w:rFonts w:eastAsiaTheme="minorEastAsia"/>
        </w:rPr>
        <w:t xml:space="preserve"> to venture formation</w:t>
      </w:r>
      <w:r w:rsidRPr="00F9012A">
        <w:rPr>
          <w:rStyle w:val="current-selection"/>
          <w:rFonts w:eastAsiaTheme="minorEastAsia"/>
        </w:rPr>
        <w:t xml:space="preserve"> and </w:t>
      </w:r>
      <w:r>
        <w:rPr>
          <w:rStyle w:val="current-selection"/>
          <w:rFonts w:eastAsiaTheme="minorEastAsia"/>
        </w:rPr>
        <w:t>the</w:t>
      </w:r>
      <w:r w:rsidRPr="00F9012A">
        <w:rPr>
          <w:rStyle w:val="current-selection"/>
          <w:rFonts w:eastAsiaTheme="minorEastAsia"/>
        </w:rPr>
        <w:t xml:space="preserve"> subsequent attrition of female peers. Second, we extend research on institutions and entrepreneurship</w:t>
      </w:r>
      <w:r>
        <w:rPr>
          <w:rStyle w:val="current-selection"/>
          <w:rFonts w:eastAsiaTheme="minorEastAsia"/>
        </w:rPr>
        <w:t xml:space="preserve"> (e.g., Eesley, 2016; </w:t>
      </w:r>
      <w:r w:rsidRPr="008C6C40">
        <w:t>Eberhart et al. 2017</w:t>
      </w:r>
      <w:r>
        <w:rPr>
          <w:rStyle w:val="current-selection"/>
          <w:rFonts w:eastAsiaTheme="minorEastAsia"/>
        </w:rPr>
        <w:t>),</w:t>
      </w:r>
      <w:r w:rsidRPr="00F9012A">
        <w:rPr>
          <w:rStyle w:val="current-selection"/>
          <w:rFonts w:eastAsiaTheme="minorEastAsia"/>
        </w:rPr>
        <w:t xml:space="preserve"> by documenting </w:t>
      </w:r>
      <w:r>
        <w:rPr>
          <w:rStyle w:val="current-selection"/>
          <w:rFonts w:eastAsiaTheme="minorEastAsia"/>
        </w:rPr>
        <w:t xml:space="preserve">not only the intended but also the unintended consequences of such regulations, and examining how such effects might vary with employee gender. Finally, </w:t>
      </w:r>
      <w:r w:rsidRPr="00F9012A">
        <w:rPr>
          <w:rStyle w:val="current-selection"/>
          <w:rFonts w:eastAsiaTheme="minorEastAsia"/>
        </w:rPr>
        <w:t>our study contributes to the discussions in strategic human capital, focused on the critical role of human capital in creating and sustaining a firm’s competitive advantage</w:t>
      </w:r>
      <w:r>
        <w:rPr>
          <w:rStyle w:val="current-selection"/>
          <w:rFonts w:eastAsiaTheme="minorEastAsia"/>
        </w:rPr>
        <w:t xml:space="preserve"> </w:t>
      </w:r>
      <w:r>
        <w:rPr>
          <w:rStyle w:val="current-selection"/>
          <w:rFonts w:eastAsiaTheme="minorEastAsia"/>
        </w:rPr>
        <w:fldChar w:fldCharType="begin" w:fldLock="1"/>
      </w:r>
      <w:r>
        <w:rPr>
          <w:rStyle w:val="current-selection"/>
          <w:rFonts w:eastAsiaTheme="minorEastAsia"/>
        </w:rPr>
        <w:instrText>ADDIN CSL_CITATION {"citationItems":[{"id":"ITEM-1","itemData":{"ISSN":"0143-2095","author":[{"dropping-particle":"","family":"Chatain","given":"Olivier","non-dropping-particle":"","parse-names":false,"suffix":""},{"dropping-particle":"","family":"Meyer</w:instrText>
      </w:r>
      <w:r>
        <w:rPr>
          <w:rStyle w:val="current-selection"/>
          <w:rFonts w:ascii="Cambria Math" w:eastAsiaTheme="minorEastAsia" w:hAnsi="Cambria Math" w:cs="Cambria Math"/>
        </w:rPr>
        <w:instrText>‐</w:instrText>
      </w:r>
      <w:r>
        <w:rPr>
          <w:rStyle w:val="current-selection"/>
          <w:rFonts w:eastAsiaTheme="minorEastAsia"/>
        </w:rPr>
        <w:instrText>Doyle","given":"Philipp","non-dropping-particle":"","parse-names":false,"suffix":""}],"container-title":"Strategic Management Journal","id":"ITEM-1","issue":"2","issued":{"date-parts":[["2017"]]},"page":"232-254","publisher":"Wiley Online Library","title":"Alleviating managerial dilemmas in human</w:instrText>
      </w:r>
      <w:r>
        <w:rPr>
          <w:rStyle w:val="current-selection"/>
          <w:rFonts w:ascii="Cambria Math" w:eastAsiaTheme="minorEastAsia" w:hAnsi="Cambria Math" w:cs="Cambria Math"/>
        </w:rPr>
        <w:instrText>‐</w:instrText>
      </w:r>
      <w:r>
        <w:rPr>
          <w:rStyle w:val="current-selection"/>
          <w:rFonts w:eastAsiaTheme="minorEastAsia"/>
        </w:rPr>
        <w:instrText>capital</w:instrText>
      </w:r>
      <w:r>
        <w:rPr>
          <w:rStyle w:val="current-selection"/>
          <w:rFonts w:ascii="Cambria Math" w:eastAsiaTheme="minorEastAsia" w:hAnsi="Cambria Math" w:cs="Cambria Math"/>
        </w:rPr>
        <w:instrText>‐</w:instrText>
      </w:r>
      <w:r>
        <w:rPr>
          <w:rStyle w:val="current-selection"/>
          <w:rFonts w:eastAsiaTheme="minorEastAsia"/>
        </w:rPr>
        <w:instrText>intensive firms through incentives: Evidence from M&amp;A legal advisors","type":"article-journal","volume":"38"},"uris":["http://www.mendeley.com/documents/?uuid=054bfa9c-9462-4b18-b00c-183131cc4cb1"]},{"id":"ITEM-2","itemData":{"ISSN":"0143-2095","author":[{"dropping-particle":"","family":"Harris","given":"Dawn","non-dropping-particle":"","parse-names":false,"suffix":""},{"dropping-particle":"","family":"Helfat","given":"Constance","non-dropping-particle":"","parse-names":false,"suffix":""}],"container-title":"Strategic Management Journal","id":"ITEM-2","issue":"11","issued":{"date-parts":[["1997"]]},"page":"895-920","publisher":"Wiley Online Library","title":"Specificity of CEO human capital and compensation","type":"article-journal","volume":"18"},"uris":["http://www.mendeley.com/documents/?uuid=b1059c33-f4c6-4015-a89d-0164b7fe9fec"]},{"id":"ITEM-3","itemData":{"ISSN":"0149-2063","author":[{"dropping-particle":"","family":"Mawdsley","given":"John K","non-dropping-particle":"","parse-names":false,"suffix":""},{"dropping-particle":"","family":"Somaya","given":"Deepak","non-dropping-particle":"","parse-names":false,"suffix":""}],"container-title":"Journal of Management","id":"ITEM-3","issue":"1","issued":{"date-parts":[["2016"]]},"page":"85-113","publisher":"Sage Publications Sage CA: Los Angeles, CA","title":"Employee mobility and organizational outcomes: An integrative conceptual framework and research agenda","type":"article-journal","volume":"42"},"uris":["http://www.mendeley.com/documents/?uuid=e0091b01-4fcc-4cb0-bf6a-a9c1240dac87"]},{"id":"ITEM-4","itemData":{"ISSN":"0143-2095","author":[{"dropping-particle":"","family":"Starr","given":"Evan","non-dropping-particle":"","parse-names":false,"suffix":""},{"dropping-particle":"","family":"Ganco","given":"Martin","non-dropping-particle":"","parse-names":false,"suffix":""},{"dropping-particle":"","family":"Campbell","given":"Benjamin A","non-dropping-particle":"","parse-names":false,"suffix":""}],"container-title":"Strategic Management Journal","id":"ITEM-4","issue":"8","issued":{"date-parts":[["2018"]]},"page":"2226-2254","publisher":"Wiley Online Library","title":"Strategic human capital management in the context of cross</w:instrText>
      </w:r>
      <w:r>
        <w:rPr>
          <w:rStyle w:val="current-selection"/>
          <w:rFonts w:ascii="Cambria Math" w:eastAsiaTheme="minorEastAsia" w:hAnsi="Cambria Math" w:cs="Cambria Math"/>
        </w:rPr>
        <w:instrText>‐</w:instrText>
      </w:r>
      <w:r>
        <w:rPr>
          <w:rStyle w:val="current-selection"/>
          <w:rFonts w:eastAsiaTheme="minorEastAsia"/>
        </w:rPr>
        <w:instrText>industry and within</w:instrText>
      </w:r>
      <w:r>
        <w:rPr>
          <w:rStyle w:val="current-selection"/>
          <w:rFonts w:ascii="Cambria Math" w:eastAsiaTheme="minorEastAsia" w:hAnsi="Cambria Math" w:cs="Cambria Math"/>
        </w:rPr>
        <w:instrText>‐</w:instrText>
      </w:r>
      <w:r>
        <w:rPr>
          <w:rStyle w:val="current-selection"/>
          <w:rFonts w:eastAsiaTheme="minorEastAsia"/>
        </w:rPr>
        <w:instrText>industry mobility frictions","type":"article-journal","volume":"39"},"uris":["http://www.mendeley.com/documents/?uuid=e41f8ec1-1b90-4180-b889-e630e7f0d1a3"]}],"mendeley":{"formattedCitation":"(Chatain and Meyer</w:instrText>
      </w:r>
      <w:r>
        <w:rPr>
          <w:rStyle w:val="current-selection"/>
          <w:rFonts w:ascii="Cambria Math" w:eastAsiaTheme="minorEastAsia" w:hAnsi="Cambria Math" w:cs="Cambria Math"/>
        </w:rPr>
        <w:instrText>‐</w:instrText>
      </w:r>
      <w:r>
        <w:rPr>
          <w:rStyle w:val="current-selection"/>
          <w:rFonts w:eastAsiaTheme="minorEastAsia"/>
        </w:rPr>
        <w:instrText>Doyle, 2017; Harris and Helfat, 1997; Mawdsley and Somaya, 2016; Starr, Ganco, and Campbell, 2018)","manualFormatting":"(e.g., Chatain and Meyer</w:instrText>
      </w:r>
      <w:r>
        <w:rPr>
          <w:rStyle w:val="current-selection"/>
          <w:rFonts w:ascii="Cambria Math" w:eastAsiaTheme="minorEastAsia" w:hAnsi="Cambria Math" w:cs="Cambria Math"/>
        </w:rPr>
        <w:instrText>‐</w:instrText>
      </w:r>
      <w:r>
        <w:rPr>
          <w:rStyle w:val="current-selection"/>
          <w:rFonts w:eastAsiaTheme="minorEastAsia"/>
        </w:rPr>
        <w:instrText>Doyle, 2017; Harris and Helfat, 1997; Mawdsley and Somaya, 2016; Starr, Ganco, and Campbell, 2018)","plainTextFormattedCitation":"(Chatain and Meyer</w:instrText>
      </w:r>
      <w:r>
        <w:rPr>
          <w:rStyle w:val="current-selection"/>
          <w:rFonts w:ascii="Cambria Math" w:eastAsiaTheme="minorEastAsia" w:hAnsi="Cambria Math" w:cs="Cambria Math"/>
        </w:rPr>
        <w:instrText>‐</w:instrText>
      </w:r>
      <w:r>
        <w:rPr>
          <w:rStyle w:val="current-selection"/>
          <w:rFonts w:eastAsiaTheme="minorEastAsia"/>
        </w:rPr>
        <w:instrText>Doyle, 2017; Harris and Helfat, 1997; Mawdsley and Somaya, 2016; Starr, Ganco, and Campbell, 2018)","previouslyFormattedCitation":"(Chatain and Meyer</w:instrText>
      </w:r>
      <w:r>
        <w:rPr>
          <w:rStyle w:val="current-selection"/>
          <w:rFonts w:ascii="Cambria Math" w:eastAsiaTheme="minorEastAsia" w:hAnsi="Cambria Math" w:cs="Cambria Math"/>
        </w:rPr>
        <w:instrText>‐</w:instrText>
      </w:r>
      <w:r>
        <w:rPr>
          <w:rStyle w:val="current-selection"/>
          <w:rFonts w:eastAsiaTheme="minorEastAsia"/>
        </w:rPr>
        <w:instrText>Doyle, 2017; Harris and Helfat, 1997; Mawdsley and Somaya, 2016; Starr, Ganco, and Campbell, 2018)"},"properties":{"noteIndex":0},"schema":"https://github.com/citation-style-language/schema/raw/master/csl-citation.json"}</w:instrText>
      </w:r>
      <w:r>
        <w:rPr>
          <w:rStyle w:val="current-selection"/>
          <w:rFonts w:eastAsiaTheme="minorEastAsia"/>
        </w:rPr>
        <w:fldChar w:fldCharType="separate"/>
      </w:r>
      <w:r w:rsidRPr="001869E2">
        <w:rPr>
          <w:rStyle w:val="current-selection"/>
          <w:rFonts w:eastAsiaTheme="minorEastAsia"/>
          <w:noProof/>
        </w:rPr>
        <w:t>(</w:t>
      </w:r>
      <w:r>
        <w:rPr>
          <w:rStyle w:val="current-selection"/>
          <w:rFonts w:eastAsiaTheme="minorEastAsia"/>
          <w:noProof/>
        </w:rPr>
        <w:t>e.g.,</w:t>
      </w:r>
      <w:r w:rsidRPr="001869E2">
        <w:rPr>
          <w:rStyle w:val="current-selection"/>
          <w:rFonts w:eastAsiaTheme="minorEastAsia"/>
          <w:noProof/>
        </w:rPr>
        <w:t>; Harris and Helfat, 1997; Mawdsley and Somaya, 2016; Starr, Ganco, and Campbell, 2018)</w:t>
      </w:r>
      <w:r>
        <w:rPr>
          <w:rStyle w:val="current-selection"/>
          <w:rFonts w:eastAsiaTheme="minorEastAsia"/>
        </w:rPr>
        <w:fldChar w:fldCharType="end"/>
      </w:r>
      <w:r w:rsidRPr="00F9012A">
        <w:t xml:space="preserve">. Whereas past research has documented that startups threaten incumbents by decreasing retention of valuable talent and therefore a firm’s know-how </w:t>
      </w:r>
      <w:r w:rsidRPr="00F9012A">
        <w:rPr>
          <w:rStyle w:val="current-selection"/>
          <w:rFonts w:eastAsiaTheme="minorEastAsia"/>
        </w:rPr>
        <w:t>(</w:t>
      </w:r>
      <w:r w:rsidRPr="00F9012A">
        <w:t xml:space="preserve">Agarwal et al., 2004; Agarwal et al., 2015; Wezel et al., 2006), our research </w:t>
      </w:r>
      <w:r w:rsidR="00E837A2">
        <w:rPr>
          <w:rStyle w:val="current-selection"/>
          <w:rFonts w:eastAsiaTheme="minorEastAsia"/>
        </w:rPr>
        <w:t>identifies</w:t>
      </w:r>
      <w:r w:rsidRPr="00F9012A">
        <w:rPr>
          <w:rStyle w:val="current-selection"/>
          <w:rFonts w:eastAsiaTheme="minorEastAsia"/>
        </w:rPr>
        <w:t xml:space="preserve"> yet another way in which </w:t>
      </w:r>
      <w:r>
        <w:rPr>
          <w:rStyle w:val="current-selection"/>
          <w:rFonts w:eastAsiaTheme="minorEastAsia"/>
        </w:rPr>
        <w:t>s</w:t>
      </w:r>
      <w:r w:rsidRPr="00F9012A">
        <w:rPr>
          <w:rStyle w:val="current-selection"/>
          <w:rFonts w:eastAsiaTheme="minorEastAsia"/>
        </w:rPr>
        <w:t>tartup</w:t>
      </w:r>
      <w:r>
        <w:rPr>
          <w:rStyle w:val="current-selection"/>
          <w:rFonts w:eastAsiaTheme="minorEastAsia"/>
        </w:rPr>
        <w:t>s’ entry</w:t>
      </w:r>
      <w:r w:rsidRPr="00F9012A">
        <w:rPr>
          <w:rStyle w:val="current-selection"/>
          <w:rFonts w:eastAsiaTheme="minorEastAsia"/>
        </w:rPr>
        <w:t xml:space="preserve"> might pose a challenge to incumbents: by decreasing the productivity or influence of certain groups of workers. </w:t>
      </w:r>
    </w:p>
    <w:p w14:paraId="715CD1E3" w14:textId="0962AEB9" w:rsidR="00B73FDA" w:rsidRPr="00954A7B" w:rsidRDefault="00B73FDA" w:rsidP="001A090F">
      <w:pPr>
        <w:pStyle w:val="BodyTextIndent"/>
        <w:ind w:firstLine="0"/>
      </w:pPr>
      <w:r w:rsidRPr="00954A7B">
        <w:rPr>
          <w:b/>
        </w:rPr>
        <w:t>THEORY</w:t>
      </w:r>
    </w:p>
    <w:p w14:paraId="10ECE9CE" w14:textId="77777777" w:rsidR="00B73FDA" w:rsidRPr="00D25380" w:rsidRDefault="00B73FDA" w:rsidP="005D5A2D">
      <w:pPr>
        <w:pStyle w:val="Heading2A"/>
      </w:pPr>
      <w:r w:rsidRPr="0058683A">
        <w:t xml:space="preserve">Past </w:t>
      </w:r>
      <w:r w:rsidRPr="00D25380">
        <w:t>Research</w:t>
      </w:r>
    </w:p>
    <w:p w14:paraId="0D2B2002" w14:textId="2E297DE2" w:rsidR="004A4056" w:rsidRPr="008C6C40" w:rsidRDefault="00EA7FC7" w:rsidP="001A090F">
      <w:pPr>
        <w:pStyle w:val="BodyText"/>
        <w:ind w:firstLine="720"/>
      </w:pPr>
      <w:r w:rsidRPr="00D25380">
        <w:t>Growing evidence suggests that the institutional environment, primarily stemming from regulations designed to lower barriers to entry</w:t>
      </w:r>
      <w:r w:rsidR="001C3F7B">
        <w:t xml:space="preserve"> into entrepreneurship</w:t>
      </w:r>
      <w:r w:rsidRPr="001C3F7B">
        <w:t xml:space="preserve">, is a critical factor </w:t>
      </w:r>
      <w:r w:rsidR="004A4056" w:rsidRPr="001C3F7B">
        <w:t>in facilitating entrepreneurial mobility and higher rates of new-venture foundings</w:t>
      </w:r>
      <w:r w:rsidRPr="001C3F7B">
        <w:t xml:space="preserve"> </w:t>
      </w:r>
      <w:r w:rsidR="0062493A" w:rsidRPr="00D25380">
        <w:fldChar w:fldCharType="begin" w:fldLock="1"/>
      </w:r>
      <w:r w:rsidR="0062493A" w:rsidRPr="00D25380">
        <w:instrText>ADDIN CSL_CITATION {"citationItems":[{"id":"ITEM-1","itemData":{"ISSN":"1047-7039","author":[{"dropping-particle":"","family":"Eesley","given":"Charles","non-dropping-particle":"","parse-names":false,"suffix":""}],"container-title":"Organization Science","id":"ITEM-1","issue":"5","issued":{"date-parts":[["2016"]]},"page":"1290-1306","publisher":"Informs","title":"Institutional barriers to growth: Entrepreneurship, human capital and institutional change","type":"article-journal","volume":"27"},"uris":["http://www.mendeley.com/documents/?uuid=75415807-5100-44a0-9897-4b993ce3cc36"]},{"id":"ITEM-2","itemData":{"DOI":"Article","ISBN":"10422587","ISSN":"10422587","PMID":"4276193","abstract":"This exploratory study integrates the disciplines of economics, psychology, and sociology to identify perceptions of a priori barriers in the entrepreneurial environment. The Centrai- West of N.S.W., Australia was surveyed to find the proportions of four groups in the general population—potential, intending, actual entrepreneurs, and no wish to start—and the barriers faced by each. A profile analysis across the three disciplines found that the more important barriers are largely non-economic and intractable to government policy. Barriers are different from other regions. Significant differences in importance between groups are identified and the pattern of group differences varies between barriers. Further, the issues of sequentiality and combinations of barriers are important, for there is no panacea to engendering venture creation.","author":[{"dropping-particle":"","family":"Kouriloff","given":"M","non-dropping-particle":"","parse-names":false,"suffix":""}],"container-title":"Entrepreneurship: Theory and practice","id":"ITEM-2","issue":"2","issued":{"date-parts":[["2000"]]},"page":"59-80","title":"Exploring perceptions of a priori barriers to entrepreneurship: A multidisciplinary approach","type":"article-journal","volume":"25"},"uris":["http://www.mendeley.com/documents/?uuid=a63f949a-9f3e-4ea3-a5d0-518b8672ce68"]},{"id":"ITEM-3","itemData":{"DOI":"10.1111/j.1467-6486.2010.01006.x","ISSN":"0022-2380","abstract":"abstract Entry into entrepreneurship is a strategic act for individuals who seek an optimal way to exploit their human, social, and financial capital. Trade-offs associated with this choice are influenced by institutional conditions. We use signalling theory, employment choice theory, and theory on strategic entry to develop hypotheses on the effect of business regulations and rule of law on strategic and non-strategic entrepreneurial entry. Analysing a six-year panel of 54 countries, we find lighter burden of regulation associated with a higher rate and relative prevalence of strategic entrepreneurial entry. Rule of law moderates this effect such that regulation has a significant effect on strategic entry only when rule of law is strong. These findings are robust against alternative proxies. Implications are drawn for prospective entrepreneurs, existing organizations, policy, and further research.","author":[{"dropping-particle":"","family":"Levie","given":"Jonathan","non-dropping-particle":"","parse-names":false,"suffix":""},{"dropping-particle":"","family":"Autio","given":"Erkko","non-dropping-particle":"","parse-names":false,"suffix":""}],"container-title":"Journal of Management Studies","id":"ITEM-3","issue":"6","issued":{"date-parts":[["2010"]]},"note":"doi: 10.1111/j.1467-6486.2010.01006.x","page":"1392-1419","title":"Regulatory Burden, Rule of Law, and Entry of Strategic Entrepreneurs: An International Panel Study","type":"article-journal","volume":"48"},"uris":["http://www.mendeley.com/documents/?uuid=d545fe65-8069-4b98-811e-12cb69f7d361"]},{"id":"ITEM-4","itemData":{"DOI":"10.2189/asqu.2005.50.2.200","ISBN":"0001-8392","ISSN":"0001-8392","PMID":"232355600002","abstract":"Building on sociological research on institutions and organizations and psychological research on risk and decision making, we propose that the development of institutions that reduce the risks of entering new sectors has a stronger effect on the founding rates of firms using novel technologies than on firms using established tech-nologies. In an analysis of the independent-power sector of the electricity industry from 1980 to 1992, we found that the development of regulative and cognitive institu-tions legitimated the entire sector and provided incen-tives for all sector entrants; thus, foundings of all kinds of firms multiplied rapidly but had a stronger impact on those using risky novel technologies. In contrast, the cen-tral normative institutions that developed in this sector, state-level trade associations, provided greater support for particular forms (those using established technolo-gies) and thus increased foundings of those favored forms more than foundings of less favored forms (those using novel technologies). Our study demonstrates how institutional forces can alter the mix of organizations entering a new industry and thus contribute to diversity, as well as similarity, among organizations. • Entrepreneurship is inherently risky. The U.S. Small Business Administration showed that 71 percent of new ventures failed within four years and 85 percent failed within five years (U.S. Small Business Administration, 1983). A more recent study, which included only employing firms, estimated failure rates to be 34 percent, 50 percent, and 60 percent after two, four, and six years, respectively (Headd, 2001). Two factors exacerbate the risks associated with entrepreneurship: enter-ing a new industry (or an emerging sector in an old industry) and using a new technology. As Aldrich and Fiol (1994) argued, the difficulties that all new ventures face are magni-fied in new industries and sectors by lack of familiarity and skepticism about the industry's viability on the part of resource providers and the general public. Founding firms that use new production or distribution technologies are especially risky because many of those needed to launch any new venture—employees, financial backers, suppliers, cus-tomers, and the general public—are unfamiliar with new technologies and thus are likely to be skeptical of or even hostile toward them. Many scholars have noted the paucity of research on new kinds of organizations in emerging areas of activity (Aldrich an…","author":[{"dropping-particle":"","family":"Sine","given":"Wesley D.","non-dropping-particle":"","parse-names":false,"suffix":""},{"dropping-particle":"","family":"Haveman","given":"Heather A.","non-dropping-particle":"","parse-names":false,"suffix":""},{"dropping-particle":"","family":"Tolbert","given":"Pamela S.","non-dropping-particle":"","parse-names":false,"suffix":""}],"container-title":"Administrative Science Quarterly","id":"ITEM-4","issue":"2","issued":{"date-parts":[["2005"]]},"page":"200-232","title":"Risky Business? Entrepreneurship in the New Independent-Power Sector","type":"article-journal","volume":"50"},"uris":["http://www.mendeley.com/documents/?uuid=30294180-f2a1-45bc-a0ce-04797ff8cf69"]},{"id":"ITEM-5","itemData":{"DOI":"10.1016/S0048-7333(02)00096-3","ISBN":"0048-7333","ISSN":"00487333","PMID":"1183","abstract":"The relationship between institutional change and entrepreneurship is poorly understood. We build the theory in this area by tracing institutional change in the US electric power industry over a 40-year period. Our analysis shows that environmental jolts mobilize actors to reformulate institutions, resulting in increased entrepreneurial opportunity. When the institutional environment is stable, we find that incumbent organizational forms and embedded logics present formidable obstacles to entrepreneurial activity. Environmental jolts, however, catalyze search processes and motivate the evaluation of current institutional logics. Specifically, in the case of the electric power industry, environments of abundance and regulation resulted in homogeneity of organizational structures and strategies, and few entrepreneurial opportunities. Environments marked by scarcity and crisis, however, witnessed heavy scrutiny of existing institutional arrangements that eroded their taken-for-grantedness and symbolic value, resulting in opportunities for entrepreneurial action. © 2002 Elsevier Science B.V.","author":[{"dropping-particle":"","family":"Sine","given":"Wesley D.","non-dropping-particle":"","parse-names":false,"suffix":""},{"dropping-particle":"","family":"David","given":"Robert J.","non-dropping-particle":"","parse-names":false,"suffix":""}],"container-title":"Research Policy","id":"ITEM-5","issue":"2","issued":{"date-parts":[["2003"]]},"page":"185-207","title":"Environmental jolts, institutional change, and the creation of entrepreneurial opportunity in the US electric power industry","type":"article-journal","volume":"32"},"uris":["http://www.mendeley.com/documents/?uuid=ba676221-51c9-4543-917f-6652b7369777"]}],"mendeley":{"formattedCitation":"(Eesley, 2016; Kouriloff, 2000; Levie and Autio, 2010; Sine and David, 2003; Sine, Haveman, and Tolbert, 2005)","manualFormatting":"(e.g., Eesley, 2016; Kouriloff, 2000; Levie and Autio, 2010; Sine and David, 2003; Sine, Haveman, and Tolbert, 2005)","plainTextFormattedCitation":"(Eesley, 2016; Kouriloff, 2000; Levie and Autio, 2010; Sine and David, 2003; Sine, Haveman, and Tolbert, 2005)","previouslyFormattedCitation":"(Eesley, 2016; Kouriloff, 2000; Levie and Autio, 2010; Sine and David, 2003; Sine, Haveman, and Tolbert, 2005)"},"properties":{"noteIndex":0},"schema":"https://github.com/citation-style-language/schema/raw/master/csl-citation.json"}</w:instrText>
      </w:r>
      <w:r w:rsidR="0062493A" w:rsidRPr="00D25380">
        <w:fldChar w:fldCharType="separate"/>
      </w:r>
      <w:r w:rsidR="0062493A" w:rsidRPr="00D25380">
        <w:rPr>
          <w:noProof/>
        </w:rPr>
        <w:t>(e.g., Eesley, 2016; Kouriloff, 2000; Levie and Autio, 2010; Sine and David, 2003; Sine, Haveman, and Tolbert, 2005)</w:t>
      </w:r>
      <w:r w:rsidR="0062493A" w:rsidRPr="00D25380">
        <w:fldChar w:fldCharType="end"/>
      </w:r>
      <w:r w:rsidRPr="00D25380">
        <w:t xml:space="preserve">. </w:t>
      </w:r>
      <w:r w:rsidR="004A4056" w:rsidRPr="00D25380">
        <w:t>For example, a frequent finding of the regional-level studies has been that entry rates as well as growth orientation o</w:t>
      </w:r>
      <w:r w:rsidR="004A4056" w:rsidRPr="001C3F7B">
        <w:t xml:space="preserve">f new ventures increase following the enactment of institutional regulations designed to facilitate </w:t>
      </w:r>
      <w:r w:rsidR="001C3F7B">
        <w:t xml:space="preserve">new-venture formation, by easing access to capital and other resources needed to launch a startup </w:t>
      </w:r>
      <w:r w:rsidR="004A4056" w:rsidRPr="00D25380">
        <w:fldChar w:fldCharType="begin" w:fldLock="1"/>
      </w:r>
      <w:r w:rsidR="00B70018" w:rsidRPr="00D25380">
        <w:instrText>ADDIN CSL_CITATION {"citationItems":[{"id":"ITEM-1","itemData":{"DOI":"10.1016/j.jpubeco.2011.03.007","ISBN":"00472727","ISSN":"00472727","PMID":"1278525","abstract":"We estimate the effect on business start-ups of a program that significantly speeds up firm registration procedures. The program was implemented in Mexico in different municipalities at different dates. Our estimates suggest that new start-ups increased by about 5% per month in eligible industries, and we present evidence supporting robustness and a causal effect interpretation. Most of the effect is temporary, concentrated in the first 15. months after implementation. The estimated effect is much smaller than World Bank and Mexican authorities claim it is, which suggests attention in business deregulation may be over emphasized. © 2011 Elsevier B.V.","author":[{"dropping-particle":"","family":"Kaplan","given":"David S.","non-dropping-particle":"","parse-names":false,"suffix":""},{"dropping-particle":"","family":"Piedra","given":"Eduardo","non-dropping-particle":"","parse-names":false,"suffix":""},{"dropping-particle":"","family":"Seira","given":"Enrique","non-dropping-particle":"","parse-names":false,"suffix":""}],"container-title":"Journal of Public Economics","id":"ITEM-1","issue":"11-12","issued":{"date-parts":[["2011"]]},"page":"1501-1515","title":"Entry regulation and business start-ups: Evidence from Mexico","type":"article-journal","volume":"95"},"uris":["http://www.mendeley.com/documents/?uuid=e2797c83-8758-497f-bb02-c0d636bb6a14"]}],"mendeley":{"formattedCitation":"(Kaplan, Piedra, and Seira, 2011)","plainTextFormattedCitation":"(Kaplan, Piedra, and Seira, 2011)","previouslyFormattedCitation":"(Kaplan, Piedra, and Seira, 2011)"},"properties":{"noteIndex":0},"schema":"https://github.com/citation-style-language/schema/raw/master/csl-citation.json"}</w:instrText>
      </w:r>
      <w:r w:rsidR="004A4056" w:rsidRPr="00D25380">
        <w:fldChar w:fldCharType="separate"/>
      </w:r>
      <w:r w:rsidR="00B70018" w:rsidRPr="00D25380">
        <w:rPr>
          <w:noProof/>
        </w:rPr>
        <w:t>(Kaplan, Piedra, and Seira, 2011)</w:t>
      </w:r>
      <w:r w:rsidR="004A4056" w:rsidRPr="00D25380">
        <w:fldChar w:fldCharType="end"/>
      </w:r>
      <w:r w:rsidR="004A4056" w:rsidRPr="00D25380">
        <w:t xml:space="preserve">. Conversely, when barriers to entry are stricter or better enforced, entry rates tend to fall </w:t>
      </w:r>
      <w:r w:rsidR="004A4056" w:rsidRPr="00D25380">
        <w:fldChar w:fldCharType="begin" w:fldLock="1"/>
      </w:r>
      <w:r w:rsidR="004A4056" w:rsidRPr="00D25380">
        <w:instrText>ADDIN CSL_CITATION {"citationItems":[{"id":"ITEM-1","itemData":{"DOI":"10.1007/s11187-010-9293-4","ISSN":"0921898X","abstract":"What is the impact of firm entry regulation on sustained entry into self-employment? How does firm entry regulation influence the performance of long-living entrants? In this paper, I address these questions by exploiting a natural experiment in firm entry regulation. After German reunification, East and West Germany faced different economic conditions, but fell under the same law that imposes a substantial mandatory standard on entrepreneurs who want to start a legally independent firm in one of the regulated occupations. The empirical results suggest that the entry regulation suppresses long-living entrants, not only entrants in general or transient, short-lived entrants. This effect on the number of long-living entrants is not accompanied by a counteracting effect on the performance of long-living entrants, as measured by firm size several years after entry.","author":[{"dropping-particle":"","family":"Prantl","given":"Susanne","non-dropping-particle":"","parse-names":false,"suffix":""}],"container-title":"Small Business Economics","id":"ITEM-1","issue":"1","issued":{"date-parts":[["2012"]]},"page":"61-67","title":"The impact of firm entry regulation on long-living entrants","type":"article-journal","volume":"39"},"uris":["http://www.mendeley.com/documents/?uuid=11f6ec3f-81f6-40fb-983a-b7e92132eecd"]}],"mendeley":{"formattedCitation":"(Prantl, 2012)","plainTextFormattedCitation":"(Prantl, 2012)","previouslyFormattedCitation":"(Prantl, 2012)"},"properties":{"noteIndex":0},"schema":"https://github.com/citation-style-language/schema/raw/master/csl-citation.json"}</w:instrText>
      </w:r>
      <w:r w:rsidR="004A4056" w:rsidRPr="00D25380">
        <w:fldChar w:fldCharType="separate"/>
      </w:r>
      <w:r w:rsidR="004A4056" w:rsidRPr="00D25380">
        <w:rPr>
          <w:noProof/>
        </w:rPr>
        <w:t>(Prantl, 2012)</w:t>
      </w:r>
      <w:r w:rsidR="004A4056" w:rsidRPr="00D25380">
        <w:fldChar w:fldCharType="end"/>
      </w:r>
      <w:r w:rsidR="004A4056" w:rsidRPr="00D25380">
        <w:t xml:space="preserve">. Other studies have confirmed these patterns at the individual level, showing a robust empirical link between reforms designed to reduce entry thresholds and an individual’s ability to become an entrepreneur, as well as the subsequent </w:t>
      </w:r>
      <w:r w:rsidR="00E837A2">
        <w:t xml:space="preserve">entrant’s </w:t>
      </w:r>
      <w:r w:rsidR="004A4056" w:rsidRPr="00D25380">
        <w:t xml:space="preserve">performance </w:t>
      </w:r>
      <w:r w:rsidR="004A4056" w:rsidRPr="00D25380">
        <w:fldChar w:fldCharType="begin" w:fldLock="1"/>
      </w:r>
      <w:r w:rsidR="00B70018" w:rsidRPr="00D25380">
        <w:instrText>ADDIN CSL_CITATION {"citationItems":[{"id":"ITEM-1","itemData":{"ISSN":"1047-7039","author":[{"dropping-particle":"","family":"Eberhart","given":"Robert N","non-dropping-particle":"","parse-names":false,"suffix":""},{"dropping-particle":"","family":"Eesley","given":"Charles E","non-dropping-particle":"","parse-names":false,"suffix":""},{"dropping-particle":"","family":"Eisenhardt","given":"Kathleen M","non-dropping-particle":"","parse-names":false,"suffix":""}],"container-title":"Organization Science","id":"ITEM-1","issue":"1","issued":{"date-parts":[["2017"]]},"page":"93-112","title":"Failure is an option: Institutional change, entrepreneurial risk, and new firm growth","type":"article-journal","volume":"28"},"uris":["http://www.mendeley.com/documents/?uuid=d23f0cce-4662-4f99-aa90-a11e6b3b74de"]},{"id":"ITEM-2","itemData":{"ISSN":"1047-7039","author":[{"dropping-particle":"","family":"Eesley","given":"Charles","non-dropping-particle":"","parse-names":false,"suffix":""}],"container-title":"Organization Science","id":"ITEM-2","issue":"5","issued":{"date-parts":[["2016"]]},"page":"1290-1306","publisher":"Informs","title":"Institutional barriers to growth: Entrepreneurship, human capital and institutional change","type":"article-journal","volume":"27"},"uris":["http://www.mendeley.com/documents/?uuid=75415807-5100-44a0-9897-4b993ce3cc36"]}],"mendeley":{"formattedCitation":"(Eberhart, Eesley, and Eisenhardt, 2017; Eesley, 2016)","manualFormatting":"(e.g., Eberhart et al. 2017, Eesley 2016)","plainTextFormattedCitation":"(Eberhart, Eesley, and Eisenhardt, 2017; Eesley, 2016)","previouslyFormattedCitation":"(Eberhart, Eesley, and Eisenhardt, 2017; Eesley, 2016)"},"properties":{"noteIndex":0},"schema":"https://github.com/citation-style-language/schema/raw/master/csl-citation.json"}</w:instrText>
      </w:r>
      <w:r w:rsidR="004A4056" w:rsidRPr="00D25380">
        <w:fldChar w:fldCharType="separate"/>
      </w:r>
      <w:r w:rsidR="004A4056" w:rsidRPr="00D25380">
        <w:rPr>
          <w:noProof/>
        </w:rPr>
        <w:t>(e.g., Eberhart et al. 2017, Eesley 2016)</w:t>
      </w:r>
      <w:r w:rsidR="004A4056" w:rsidRPr="00D25380">
        <w:fldChar w:fldCharType="end"/>
      </w:r>
      <w:r w:rsidR="004A4056" w:rsidRPr="00D25380">
        <w:t>.</w:t>
      </w:r>
      <w:r w:rsidR="004A4056" w:rsidRPr="008C6C40">
        <w:t xml:space="preserve"> </w:t>
      </w:r>
    </w:p>
    <w:p w14:paraId="1E811BE6" w14:textId="0994D8BD" w:rsidR="00F9012A" w:rsidRPr="00472D2A" w:rsidRDefault="004A4056" w:rsidP="00981252">
      <w:pPr>
        <w:spacing w:line="480" w:lineRule="auto"/>
        <w:ind w:firstLine="720"/>
        <w:rPr>
          <w:sz w:val="22"/>
          <w:szCs w:val="22"/>
        </w:rPr>
      </w:pPr>
      <w:r w:rsidRPr="00364AA9">
        <w:rPr>
          <w:sz w:val="22"/>
          <w:szCs w:val="22"/>
        </w:rPr>
        <w:t>However, despite rich research inquiry into regulatory institutions, our understanding of their effect</w:t>
      </w:r>
      <w:r w:rsidR="00416014" w:rsidRPr="00364AA9">
        <w:rPr>
          <w:sz w:val="22"/>
          <w:szCs w:val="22"/>
        </w:rPr>
        <w:t>s</w:t>
      </w:r>
      <w:r w:rsidRPr="00364AA9">
        <w:rPr>
          <w:sz w:val="22"/>
          <w:szCs w:val="22"/>
        </w:rPr>
        <w:t xml:space="preserve"> remains </w:t>
      </w:r>
      <w:r w:rsidRPr="00B95D8D">
        <w:rPr>
          <w:sz w:val="22"/>
          <w:szCs w:val="22"/>
        </w:rPr>
        <w:t>incomplete</w:t>
      </w:r>
      <w:r w:rsidR="00F26215" w:rsidRPr="00B95D8D">
        <w:rPr>
          <w:sz w:val="22"/>
          <w:szCs w:val="22"/>
        </w:rPr>
        <w:t>. Scholars have</w:t>
      </w:r>
      <w:r w:rsidR="006C513D" w:rsidRPr="00B95D8D">
        <w:rPr>
          <w:sz w:val="22"/>
          <w:szCs w:val="22"/>
        </w:rPr>
        <w:t xml:space="preserve"> focused on </w:t>
      </w:r>
      <w:r w:rsidR="00F1610E">
        <w:rPr>
          <w:sz w:val="22"/>
          <w:szCs w:val="22"/>
        </w:rPr>
        <w:t>employees who transition into entrepreneurship</w:t>
      </w:r>
      <w:r w:rsidR="006C513D" w:rsidRPr="00B95D8D">
        <w:rPr>
          <w:sz w:val="22"/>
          <w:szCs w:val="22"/>
        </w:rPr>
        <w:t xml:space="preserve">, </w:t>
      </w:r>
      <w:r w:rsidR="00F1610E">
        <w:rPr>
          <w:sz w:val="22"/>
          <w:szCs w:val="22"/>
        </w:rPr>
        <w:t>an intended consequence of regulations lowering entry barriers</w:t>
      </w:r>
      <w:r w:rsidR="001C3F7B">
        <w:rPr>
          <w:sz w:val="22"/>
          <w:szCs w:val="22"/>
        </w:rPr>
        <w:t xml:space="preserve"> to entrepreneurship</w:t>
      </w:r>
      <w:r w:rsidR="00364AA9" w:rsidRPr="00692EB2">
        <w:rPr>
          <w:rFonts w:eastAsiaTheme="minorHAnsi"/>
          <w:sz w:val="22"/>
          <w:szCs w:val="22"/>
        </w:rPr>
        <w:t xml:space="preserve">. </w:t>
      </w:r>
      <w:r w:rsidR="006C513D" w:rsidRPr="00B95D8D">
        <w:rPr>
          <w:sz w:val="22"/>
          <w:szCs w:val="22"/>
        </w:rPr>
        <w:t xml:space="preserve">Yet much less attention has been </w:t>
      </w:r>
      <w:r w:rsidR="00F26215" w:rsidRPr="00B95D8D">
        <w:rPr>
          <w:sz w:val="22"/>
          <w:szCs w:val="22"/>
        </w:rPr>
        <w:t xml:space="preserve">devoted </w:t>
      </w:r>
      <w:r w:rsidRPr="00B95D8D">
        <w:rPr>
          <w:sz w:val="22"/>
          <w:szCs w:val="22"/>
        </w:rPr>
        <w:t xml:space="preserve">to </w:t>
      </w:r>
      <w:r w:rsidR="00F1610E">
        <w:rPr>
          <w:sz w:val="22"/>
          <w:szCs w:val="22"/>
        </w:rPr>
        <w:t>those who stay</w:t>
      </w:r>
      <w:r w:rsidR="004C45E4">
        <w:rPr>
          <w:sz w:val="22"/>
          <w:szCs w:val="22"/>
        </w:rPr>
        <w:t xml:space="preserve"> behind</w:t>
      </w:r>
      <w:r w:rsidR="00565E60">
        <w:rPr>
          <w:sz w:val="22"/>
          <w:szCs w:val="22"/>
        </w:rPr>
        <w:t>– e</w:t>
      </w:r>
      <w:r w:rsidR="00F1610E">
        <w:rPr>
          <w:sz w:val="22"/>
          <w:szCs w:val="22"/>
        </w:rPr>
        <w:t>ven though these employees may be subject to</w:t>
      </w:r>
      <w:r w:rsidR="00E72987" w:rsidRPr="00B95D8D">
        <w:rPr>
          <w:sz w:val="22"/>
          <w:szCs w:val="22"/>
        </w:rPr>
        <w:t xml:space="preserve"> </w:t>
      </w:r>
      <w:r w:rsidR="004D1EC6" w:rsidRPr="00F6796D">
        <w:rPr>
          <w:sz w:val="22"/>
          <w:szCs w:val="22"/>
        </w:rPr>
        <w:t>unforeseen outcomes</w:t>
      </w:r>
      <w:r w:rsidR="00F1610E">
        <w:rPr>
          <w:sz w:val="22"/>
          <w:szCs w:val="22"/>
        </w:rPr>
        <w:t xml:space="preserve"> </w:t>
      </w:r>
      <w:r w:rsidR="004D1EC6" w:rsidRPr="002B3326">
        <w:rPr>
          <w:sz w:val="22"/>
          <w:szCs w:val="22"/>
        </w:rPr>
        <w:t>(Merton, 1963)</w:t>
      </w:r>
      <w:r w:rsidR="004C7B3D">
        <w:rPr>
          <w:sz w:val="22"/>
          <w:szCs w:val="22"/>
        </w:rPr>
        <w:t>,</w:t>
      </w:r>
      <w:r w:rsidR="00F1610E">
        <w:rPr>
          <w:sz w:val="22"/>
          <w:szCs w:val="22"/>
        </w:rPr>
        <w:t xml:space="preserve"> when </w:t>
      </w:r>
      <w:r w:rsidR="00ED114E">
        <w:rPr>
          <w:sz w:val="22"/>
          <w:szCs w:val="22"/>
        </w:rPr>
        <w:t>resources to create a new venture become more abundant or more easily available</w:t>
      </w:r>
      <w:r w:rsidR="00B06219" w:rsidRPr="002B3326">
        <w:rPr>
          <w:sz w:val="22"/>
          <w:szCs w:val="22"/>
        </w:rPr>
        <w:t>.</w:t>
      </w:r>
      <w:r w:rsidR="004D1EC6" w:rsidRPr="002B3326">
        <w:rPr>
          <w:sz w:val="22"/>
          <w:szCs w:val="22"/>
        </w:rPr>
        <w:t xml:space="preserve"> </w:t>
      </w:r>
      <w:r w:rsidR="00573538">
        <w:rPr>
          <w:sz w:val="22"/>
          <w:szCs w:val="22"/>
        </w:rPr>
        <w:t>Those who stay put at</w:t>
      </w:r>
      <w:r w:rsidR="00981252">
        <w:rPr>
          <w:sz w:val="22"/>
          <w:szCs w:val="22"/>
        </w:rPr>
        <w:t xml:space="preserve"> </w:t>
      </w:r>
      <w:r w:rsidR="00551CCD">
        <w:rPr>
          <w:sz w:val="22"/>
          <w:szCs w:val="22"/>
        </w:rPr>
        <w:t>established</w:t>
      </w:r>
      <w:r w:rsidR="00981252">
        <w:rPr>
          <w:sz w:val="22"/>
          <w:szCs w:val="22"/>
        </w:rPr>
        <w:t xml:space="preserve"> firms are charged with the core strategic task of</w:t>
      </w:r>
      <w:r w:rsidR="004C45E4">
        <w:rPr>
          <w:sz w:val="22"/>
          <w:szCs w:val="22"/>
        </w:rPr>
        <w:t xml:space="preserve"> creating and capturing value </w:t>
      </w:r>
      <w:r w:rsidR="00981252" w:rsidRPr="00F64D5B">
        <w:rPr>
          <w:sz w:val="22"/>
          <w:szCs w:val="22"/>
        </w:rPr>
        <w:fldChar w:fldCharType="begin" w:fldLock="1"/>
      </w:r>
      <w:r w:rsidR="00981252" w:rsidRPr="00F64D5B">
        <w:rPr>
          <w:sz w:val="22"/>
          <w:szCs w:val="22"/>
        </w:rPr>
        <w:instrText>ADDIN CSL_CITATION {"citationItems":[{"id":"ITEM-1","itemData":{"DOI":"10.1002/smj.327","ISBN":"0143-2095","ISSN":"01432095","PMID":"225003277","abstract":"Who reaps the fruits of a dynamic capability? We argue that while social capital is essential for the acquisition, integration, and release of resources at the core of a dynamic capability, actors can also use social capital for personal gain. Thus, social capital may be a key to understanding both rent generation and rent appropriation. Even when causal ambiguity obscures individual contributions, theymay use their social capital to establish credible claims on the rent. Specifically, employees who occupy structural holes, span organizational boundaries, or who are highly central may be most able to appropriate rent because their social capital grants credibility to their claims. Rent that is appropriated in this way may be unobservable in performance measures that fail to distinguish normal compensation from rent. We contribute by identifying the specific role of social capital in a dynamic capability and linking social capital to rent appropriation patterns.","author":[{"dropping-particle":"","family":"Blyler","given":"Maureen","non-dropping-particle":"","parse-names":false,"suffix":""},{"dropping-particle":"","family":"Coff","given":"Russell W.","non-dropping-particle":"","parse-names":false,"suffix":""}],"container-title":"Strategic Management Journal","id":"ITEM-1","issue":"7","issued":{"date-parts":[["2003","7"]]},"page":"677-686","title":"Dynamic capabilities, social capital, and rent appropriation: Ties that split pies","type":"article-journal","volume":"24"},"uris":["http://www.mendeley.com/documents/?uuid=9ecb5eb5-f9af-42a6-bde3-c4cd789afa60"]},{"id":"ITEM-2","itemData":{"ISSN":"0143-2095","author":[{"dropping-particle":"","family":"Qian","given":"Cuili","non-dropping-particle":"","parse-names":false,"suffix":""},{"dropping-particle":"","family":"Wang","given":"Heli","non-dropping-particle":"","parse-names":false,"suffix":""},{"dropping-particle":"","family":"Geng","given":"Xuesong","non-dropping-particle":"","parse-names":false,"suffix":""},{"dropping-particle":"","family":"Yu","given":"Yangxin","non-dropping-particle":"","parse-names":false,"suffix":""}],"container-title":"Strategic Management Journal","id":"ITEM-2","issue":"4","issued":{"date-parts":[["2017"]]},"page":"892-911","publisher":"Wiley Online Library","title":"Rent appropriation of knowledge</w:instrText>
      </w:r>
      <w:r w:rsidR="00981252" w:rsidRPr="00F64D5B">
        <w:rPr>
          <w:rFonts w:ascii="Cambria Math" w:hAnsi="Cambria Math" w:cs="Cambria Math"/>
          <w:sz w:val="22"/>
          <w:szCs w:val="22"/>
        </w:rPr>
        <w:instrText>‐</w:instrText>
      </w:r>
      <w:r w:rsidR="00981252" w:rsidRPr="00F64D5B">
        <w:rPr>
          <w:sz w:val="22"/>
          <w:szCs w:val="22"/>
        </w:rPr>
        <w:instrText>based assets and firm performance when institutions are weak: A study of Chinese publicly listed firms","type":"article-journal","volume":"38"},"uris":["http://www.mendeley.com/documents/?uuid=23757270-93ca-445f-bea5-943fc5f79683"]}],"mendeley":{"formattedCitation":"(Blyler and Coff, 2003; Qian &lt;i&gt;et al.&lt;/i&gt;, 2017)","plainTextFormattedCitation":"(Blyler and Coff, 2003; Qian et al., 2017)","previouslyFormattedCitation":"(Blyler and Coff, 2003; Qian &lt;i&gt;et al.&lt;/i&gt;, 2017)"},"properties":{"noteIndex":0},"schema":"https://github.com/citation-style-language/schema/raw/master/csl-citation.json"}</w:instrText>
      </w:r>
      <w:r w:rsidR="00981252" w:rsidRPr="00F64D5B">
        <w:rPr>
          <w:sz w:val="22"/>
          <w:szCs w:val="22"/>
        </w:rPr>
        <w:fldChar w:fldCharType="separate"/>
      </w:r>
      <w:r w:rsidR="00981252" w:rsidRPr="00F64D5B">
        <w:rPr>
          <w:noProof/>
          <w:sz w:val="22"/>
          <w:szCs w:val="22"/>
        </w:rPr>
        <w:t xml:space="preserve">(Blyler and Coff, 2003; Qian </w:t>
      </w:r>
      <w:r w:rsidR="00981252" w:rsidRPr="00D25380">
        <w:rPr>
          <w:noProof/>
          <w:sz w:val="22"/>
          <w:szCs w:val="22"/>
        </w:rPr>
        <w:t>et al</w:t>
      </w:r>
      <w:r w:rsidR="00981252" w:rsidRPr="00F64D5B">
        <w:rPr>
          <w:i/>
          <w:noProof/>
          <w:sz w:val="22"/>
          <w:szCs w:val="22"/>
        </w:rPr>
        <w:t>.</w:t>
      </w:r>
      <w:r w:rsidR="00981252" w:rsidRPr="00F64D5B">
        <w:rPr>
          <w:noProof/>
          <w:sz w:val="22"/>
          <w:szCs w:val="22"/>
        </w:rPr>
        <w:t>, 2017)</w:t>
      </w:r>
      <w:r w:rsidR="00981252" w:rsidRPr="00F64D5B">
        <w:rPr>
          <w:sz w:val="22"/>
          <w:szCs w:val="22"/>
        </w:rPr>
        <w:fldChar w:fldCharType="end"/>
      </w:r>
      <w:r w:rsidR="00981252">
        <w:rPr>
          <w:sz w:val="22"/>
          <w:szCs w:val="22"/>
        </w:rPr>
        <w:t xml:space="preserve">, and such activities are of </w:t>
      </w:r>
      <w:r w:rsidR="00981252">
        <w:rPr>
          <w:color w:val="1C1D1E"/>
          <w:sz w:val="22"/>
          <w:szCs w:val="22"/>
          <w:shd w:val="clear" w:color="auto" w:fill="FFFFFF"/>
        </w:rPr>
        <w:t xml:space="preserve">key importance to strategic management of human capital </w:t>
      </w:r>
      <w:r w:rsidR="00981252">
        <w:rPr>
          <w:color w:val="1C1D1E"/>
          <w:sz w:val="22"/>
          <w:szCs w:val="22"/>
          <w:shd w:val="clear" w:color="auto" w:fill="FFFFFF"/>
        </w:rPr>
        <w:fldChar w:fldCharType="begin" w:fldLock="1"/>
      </w:r>
      <w:r w:rsidR="00981252">
        <w:rPr>
          <w:color w:val="1C1D1E"/>
          <w:sz w:val="22"/>
          <w:szCs w:val="22"/>
          <w:shd w:val="clear" w:color="auto" w:fill="FFFFFF"/>
        </w:rPr>
        <w:instrText>ADDIN CSL_CITATION {"citationItems":[{"id":"ITEM-1","itemData":{"DOI":"10.1002/smj.327","ISBN":"0143-2095","ISSN":"01432095","PMID":"225003277","abstract":"Who reaps the fruits of a dynamic capability? We argue that while social capital is essential for the acquisition, integration, and release of resources at the core of a dynamic capability, actors can also use social capital for personal gain. Thus, social capital may be a key to understanding both rent generation and rent appropriation. Even when causal ambiguity obscures individual contributions, theymay use their social capital to establish credible claims on the rent. Specifically, employees who occupy structural holes, span organizational boundaries, or who are highly central may be most able to appropriate rent because their social capital grants credibility to their claims. Rent that is appropriated in this way may be unobservable in performance measures that fail to distinguish normal compensation from rent. We contribute by identifying the specific role of social capital in a dynamic capability and linking social capital to rent appropriation patterns.","author":[{"dropping-particle":"","family":"Blyler","given":"Maureen","non-dropping-particle":"","parse-names":false,"suffix":""},{"dropping-particle":"","family":"Coff","given":"Russell W.","non-dropping-particle":"","parse-names":false,"suffix":""}],"container-title":"Strategic Management Journal","id":"ITEM-1","issue":"7","issued":{"date-parts":[["2003","7"]]},"page":"677-686","title":"Dynamic capabilities, social capital, and rent appropriation: Ties that split pies","type":"article-journal","volume":"24"},"uris":["http://www.mendeley.com/documents/?uuid=9ecb5eb5-f9af-42a6-bde3-c4cd789afa60"]},{"id":"ITEM-2","itemData":{"ISSN":"0143-2095","author":[{"dropping-particle":"","family":"Qian","given":"Cuili","non-dropping-particle":"","parse-names":false,"suffix":""},{"dropping-particle":"","family":"Wang","given":"Heli","non-dropping-particle":"","parse-names":false,"suffix":""},{"dropping-particle":"","family":"Geng","given":"Xuesong","non-dropping-particle":"","parse-names":false,"suffix":""},{"dropping-particle":"","family":"Yu","given":"Yangxin","non-dropping-particle":"","parse-names":false,"suffix":""}],"container-title":"Strategic Management Journal","id":"ITEM-2","issue":"4","issued":{"date-parts":[["2017"]]},"page":"892-911","publisher":"Wiley Online Library","title":"Rent appropriation of knowledge</w:instrText>
      </w:r>
      <w:r w:rsidR="00981252">
        <w:rPr>
          <w:rFonts w:ascii="Cambria Math" w:hAnsi="Cambria Math" w:cs="Cambria Math"/>
          <w:color w:val="1C1D1E"/>
          <w:sz w:val="22"/>
          <w:szCs w:val="22"/>
          <w:shd w:val="clear" w:color="auto" w:fill="FFFFFF"/>
        </w:rPr>
        <w:instrText>‐</w:instrText>
      </w:r>
      <w:r w:rsidR="00981252">
        <w:rPr>
          <w:color w:val="1C1D1E"/>
          <w:sz w:val="22"/>
          <w:szCs w:val="22"/>
          <w:shd w:val="clear" w:color="auto" w:fill="FFFFFF"/>
        </w:rPr>
        <w:instrText>based assets and firm performance when institutions are weak: A study of Chinese publicly listed firms","type":"article-journal","volume":"38"},"uris":["http://www.mendeley.com/documents/?uuid=23757270-93ca-445f-bea5-943fc5f79683"]},{"id":"ITEM-3","itemData":{"ISSN":"0143-2095","author":[{"dropping-particle":"","family":"Coff","given":"Russell W","non-dropping-particle":"","parse-names":false,"suffix":""}],"container-title":"Strategic Management Journal","id":"ITEM-3","issue":"7","issued":{"date-parts":[["2010"]]},"page":"711-733","publisher":"Wiley Online Library","title":"The coevolution of rent appropriation and capability development","type":"article-journal","volume":"31"},"uris":["http://www.mendeley.com/documents/?uuid=5b2070d1-7d1a-4a6e-96eb-9a065b9e61b7"]},{"id":"ITEM-4","itemData":{"DOI":"10.1002/smj.1991","ISBN":"1097-0266","ISSN":"01432095","PMID":"31767271","abstract":"We explore the strategic implications of firm compensation dispersion on the heterogeneous turnover outcomes of employee mobility and entrepreneurship. We theorize that individuals’ turnover decisions are affected by the interaction of individual performance with the firm’s compensation dispersion relative to its competitors. We test our theory using linked employer- employee data from the legal services industry. We find that individuals with extreme high performance are less likely to leave firms that offer higher compensation dispersion than competitors, however, if they do leave these employers, they are more likely to create new ventures. In contrast, employees with extreme low performance are more likely to leave firms with more compensation dispersion than competitors, and these individuals are less likely to engage in new venture creation.","author":[{"dropping-particle":"","family":"Carnahan","given":"Seth","non-dropping-particle":"","parse-names":false,"suffix":""},{"dropping-particle":"","family":"Agarwal","given":"Rajshree","non-dropping-particle":"","parse-names":false,"suffix":""},{"dropping-particle":"","family":"Campbell","given":"Benjamin A.","non-dropping-particle":"","parse-names":false,"suffix":""}],"container-title":"Strategic Management Journal","id":"ITEM-4","issue":"12","issued":{"date-parts":[["2012"]]},"page":"1411-1430","title":"Heterogeneity in turnover: The effect of relative compensation dispersion of firms on the mobility and entrepreneurship of extreme performers","type":"article-journal","volume":"33"},"uris":["http://www.mendeley.com/documents/?uuid=cd384b35-7a64-4b03-b414-ac061d0a0c47"]}],"mendeley":{"formattedCitation":"(Blyler and Coff, 2003; Carnahan, Agarwal, and Campbell, 2012; Coff, 2010; Qian &lt;i&gt;et al.&lt;/i&gt;, 2017)","plainTextFormattedCitation":"(Blyler and Coff, 2003; Carnahan, Agarwal, and Campbell, 2012; Coff, 2010; Qian et al., 2017)","previouslyFormattedCitation":"(Blyler and Coff, 2003; Carnahan, Agarwal, and Campbell, 2012; Coff, 2010; Qian &lt;i&gt;et al.&lt;/i&gt;, 2017)"},"properties":{"noteIndex":0},"schema":"https://github.com/citation-style-language/schema/raw/master/csl-citation.json"}</w:instrText>
      </w:r>
      <w:r w:rsidR="00981252">
        <w:rPr>
          <w:color w:val="1C1D1E"/>
          <w:sz w:val="22"/>
          <w:szCs w:val="22"/>
          <w:shd w:val="clear" w:color="auto" w:fill="FFFFFF"/>
        </w:rPr>
        <w:fldChar w:fldCharType="separate"/>
      </w:r>
      <w:r w:rsidR="00981252" w:rsidRPr="0062493A">
        <w:rPr>
          <w:noProof/>
          <w:color w:val="1C1D1E"/>
          <w:sz w:val="22"/>
          <w:szCs w:val="22"/>
          <w:shd w:val="clear" w:color="auto" w:fill="FFFFFF"/>
        </w:rPr>
        <w:t xml:space="preserve">(Blyler and Coff, 2003; Carnahan, Agarwal, and Campbell, 2012; Coff, 2010; Qian </w:t>
      </w:r>
      <w:r w:rsidR="00981252" w:rsidRPr="00D25380">
        <w:rPr>
          <w:noProof/>
          <w:color w:val="1C1D1E"/>
          <w:sz w:val="22"/>
          <w:szCs w:val="22"/>
          <w:shd w:val="clear" w:color="auto" w:fill="FFFFFF"/>
        </w:rPr>
        <w:t>et al</w:t>
      </w:r>
      <w:r w:rsidR="00981252" w:rsidRPr="0062493A">
        <w:rPr>
          <w:i/>
          <w:noProof/>
          <w:color w:val="1C1D1E"/>
          <w:sz w:val="22"/>
          <w:szCs w:val="22"/>
          <w:shd w:val="clear" w:color="auto" w:fill="FFFFFF"/>
        </w:rPr>
        <w:t>.</w:t>
      </w:r>
      <w:r w:rsidR="00981252" w:rsidRPr="0062493A">
        <w:rPr>
          <w:noProof/>
          <w:color w:val="1C1D1E"/>
          <w:sz w:val="22"/>
          <w:szCs w:val="22"/>
          <w:shd w:val="clear" w:color="auto" w:fill="FFFFFF"/>
        </w:rPr>
        <w:t>, 2017)</w:t>
      </w:r>
      <w:r w:rsidR="00981252">
        <w:rPr>
          <w:color w:val="1C1D1E"/>
          <w:sz w:val="22"/>
          <w:szCs w:val="22"/>
          <w:shd w:val="clear" w:color="auto" w:fill="FFFFFF"/>
        </w:rPr>
        <w:fldChar w:fldCharType="end"/>
      </w:r>
      <w:r w:rsidR="00981252">
        <w:rPr>
          <w:sz w:val="22"/>
          <w:szCs w:val="22"/>
        </w:rPr>
        <w:t xml:space="preserve">. But the departure of certain employee groups to entrepreneurship </w:t>
      </w:r>
      <w:r w:rsidR="003D21B3">
        <w:rPr>
          <w:sz w:val="22"/>
          <w:szCs w:val="22"/>
        </w:rPr>
        <w:t xml:space="preserve">may </w:t>
      </w:r>
      <w:r w:rsidR="00E75941">
        <w:rPr>
          <w:sz w:val="22"/>
          <w:szCs w:val="22"/>
        </w:rPr>
        <w:t xml:space="preserve">dramatically </w:t>
      </w:r>
      <w:r w:rsidR="00981252">
        <w:rPr>
          <w:sz w:val="22"/>
          <w:szCs w:val="22"/>
        </w:rPr>
        <w:t>change</w:t>
      </w:r>
      <w:r w:rsidR="003D21B3">
        <w:rPr>
          <w:sz w:val="22"/>
          <w:szCs w:val="22"/>
        </w:rPr>
        <w:t xml:space="preserve"> </w:t>
      </w:r>
      <w:r w:rsidR="00981252">
        <w:rPr>
          <w:sz w:val="22"/>
          <w:szCs w:val="22"/>
        </w:rPr>
        <w:t xml:space="preserve">how rents are being allocated internally. When </w:t>
      </w:r>
      <w:r w:rsidR="007722A5">
        <w:rPr>
          <w:sz w:val="22"/>
          <w:szCs w:val="22"/>
        </w:rPr>
        <w:t xml:space="preserve">some </w:t>
      </w:r>
      <w:r w:rsidR="004C45E4">
        <w:rPr>
          <w:sz w:val="22"/>
          <w:szCs w:val="22"/>
        </w:rPr>
        <w:t xml:space="preserve">employees </w:t>
      </w:r>
      <w:r w:rsidR="00981252">
        <w:rPr>
          <w:sz w:val="22"/>
          <w:szCs w:val="22"/>
        </w:rPr>
        <w:t>exit to become founders</w:t>
      </w:r>
      <w:r w:rsidR="004C45E4">
        <w:rPr>
          <w:sz w:val="22"/>
          <w:szCs w:val="22"/>
        </w:rPr>
        <w:t xml:space="preserve">, </w:t>
      </w:r>
      <w:r w:rsidR="00981252">
        <w:rPr>
          <w:sz w:val="22"/>
          <w:szCs w:val="22"/>
        </w:rPr>
        <w:t xml:space="preserve">this might undermine </w:t>
      </w:r>
      <w:r w:rsidR="00981252">
        <w:rPr>
          <w:color w:val="1C1D1E"/>
          <w:sz w:val="22"/>
          <w:szCs w:val="22"/>
          <w:shd w:val="clear" w:color="auto" w:fill="FFFFFF"/>
        </w:rPr>
        <w:t xml:space="preserve">the productivity </w:t>
      </w:r>
      <w:r w:rsidR="00923778">
        <w:rPr>
          <w:color w:val="1C1D1E"/>
          <w:sz w:val="22"/>
          <w:szCs w:val="22"/>
          <w:shd w:val="clear" w:color="auto" w:fill="FFFFFF"/>
        </w:rPr>
        <w:t>and</w:t>
      </w:r>
      <w:r w:rsidR="00981252">
        <w:rPr>
          <w:color w:val="1C1D1E"/>
          <w:sz w:val="22"/>
          <w:szCs w:val="22"/>
          <w:shd w:val="clear" w:color="auto" w:fill="FFFFFF"/>
        </w:rPr>
        <w:t xml:space="preserve"> bargaining power of </w:t>
      </w:r>
      <w:r w:rsidR="007722A5">
        <w:rPr>
          <w:color w:val="1C1D1E"/>
          <w:sz w:val="22"/>
          <w:szCs w:val="22"/>
          <w:shd w:val="clear" w:color="auto" w:fill="FFFFFF"/>
        </w:rPr>
        <w:t xml:space="preserve">certain </w:t>
      </w:r>
      <w:r w:rsidR="004C45E4">
        <w:rPr>
          <w:color w:val="000000" w:themeColor="text1"/>
          <w:sz w:val="22"/>
          <w:szCs w:val="22"/>
        </w:rPr>
        <w:t>“stayers</w:t>
      </w:r>
      <w:r w:rsidR="007722A5">
        <w:rPr>
          <w:color w:val="000000" w:themeColor="text1"/>
          <w:sz w:val="22"/>
          <w:szCs w:val="22"/>
        </w:rPr>
        <w:t>,</w:t>
      </w:r>
      <w:r w:rsidR="004C45E4">
        <w:rPr>
          <w:color w:val="000000" w:themeColor="text1"/>
          <w:sz w:val="22"/>
          <w:szCs w:val="22"/>
        </w:rPr>
        <w:t>”</w:t>
      </w:r>
      <w:r w:rsidR="00320D9F">
        <w:rPr>
          <w:color w:val="000000" w:themeColor="text1"/>
          <w:sz w:val="22"/>
          <w:szCs w:val="22"/>
        </w:rPr>
        <w:t xml:space="preserve"> </w:t>
      </w:r>
      <w:r w:rsidR="00981252">
        <w:rPr>
          <w:color w:val="000000" w:themeColor="text1"/>
          <w:sz w:val="22"/>
          <w:szCs w:val="22"/>
        </w:rPr>
        <w:t xml:space="preserve">reducing </w:t>
      </w:r>
      <w:r w:rsidR="00551CCD">
        <w:rPr>
          <w:color w:val="000000" w:themeColor="text1"/>
          <w:sz w:val="22"/>
          <w:szCs w:val="22"/>
        </w:rPr>
        <w:t>their</w:t>
      </w:r>
      <w:r w:rsidR="00981252">
        <w:rPr>
          <w:color w:val="000000" w:themeColor="text1"/>
          <w:sz w:val="22"/>
          <w:szCs w:val="22"/>
        </w:rPr>
        <w:t xml:space="preserve"> ability </w:t>
      </w:r>
      <w:r w:rsidR="004C45E4">
        <w:rPr>
          <w:color w:val="000000" w:themeColor="text1"/>
          <w:sz w:val="22"/>
          <w:szCs w:val="22"/>
        </w:rPr>
        <w:t xml:space="preserve">to </w:t>
      </w:r>
      <w:r w:rsidR="00551CCD">
        <w:rPr>
          <w:color w:val="000000" w:themeColor="text1"/>
          <w:sz w:val="22"/>
          <w:szCs w:val="22"/>
        </w:rPr>
        <w:t xml:space="preserve">generate value </w:t>
      </w:r>
      <w:r w:rsidR="004C45E4">
        <w:rPr>
          <w:color w:val="000000" w:themeColor="text1"/>
          <w:sz w:val="22"/>
          <w:szCs w:val="22"/>
        </w:rPr>
        <w:t xml:space="preserve">and </w:t>
      </w:r>
      <w:r w:rsidR="0022620B">
        <w:rPr>
          <w:color w:val="000000" w:themeColor="text1"/>
          <w:sz w:val="22"/>
          <w:szCs w:val="22"/>
        </w:rPr>
        <w:t>appropriate</w:t>
      </w:r>
      <w:r w:rsidR="004C45E4">
        <w:rPr>
          <w:color w:val="000000" w:themeColor="text1"/>
          <w:sz w:val="22"/>
          <w:szCs w:val="22"/>
        </w:rPr>
        <w:t xml:space="preserve"> </w:t>
      </w:r>
      <w:r w:rsidR="00551CCD">
        <w:rPr>
          <w:color w:val="000000" w:themeColor="text1"/>
          <w:sz w:val="22"/>
          <w:szCs w:val="22"/>
        </w:rPr>
        <w:t>rents</w:t>
      </w:r>
      <w:r w:rsidR="004C45E4">
        <w:rPr>
          <w:sz w:val="22"/>
          <w:szCs w:val="22"/>
        </w:rPr>
        <w:t>.</w:t>
      </w:r>
      <w:r w:rsidR="00981252">
        <w:rPr>
          <w:sz w:val="22"/>
          <w:szCs w:val="22"/>
        </w:rPr>
        <w:t xml:space="preserve"> </w:t>
      </w:r>
      <w:r w:rsidR="00FC269D" w:rsidRPr="00692EB2">
        <w:rPr>
          <w:color w:val="1C1D1E"/>
          <w:sz w:val="22"/>
          <w:szCs w:val="22"/>
          <w:shd w:val="clear" w:color="auto" w:fill="FFFFFF"/>
        </w:rPr>
        <w:t xml:space="preserve">Hence, </w:t>
      </w:r>
      <w:r w:rsidR="001F0732" w:rsidRPr="00FC269D">
        <w:rPr>
          <w:color w:val="1C1D1E"/>
          <w:sz w:val="22"/>
          <w:szCs w:val="22"/>
          <w:shd w:val="clear" w:color="auto" w:fill="FFFFFF"/>
        </w:rPr>
        <w:t>the</w:t>
      </w:r>
      <w:r w:rsidR="00F805F5" w:rsidRPr="00FC269D">
        <w:rPr>
          <w:color w:val="1C1D1E"/>
          <w:sz w:val="22"/>
          <w:szCs w:val="22"/>
          <w:shd w:val="clear" w:color="auto" w:fill="FFFFFF"/>
        </w:rPr>
        <w:t xml:space="preserve"> effects of such regulations on the allocation</w:t>
      </w:r>
      <w:r w:rsidR="00F805F5" w:rsidRPr="00692EB2">
        <w:rPr>
          <w:color w:val="1C1D1E"/>
          <w:sz w:val="22"/>
          <w:szCs w:val="22"/>
          <w:shd w:val="clear" w:color="auto" w:fill="FFFFFF"/>
        </w:rPr>
        <w:t xml:space="preserve"> of</w:t>
      </w:r>
      <w:r w:rsidR="00696336" w:rsidRPr="00692EB2">
        <w:rPr>
          <w:color w:val="1C1D1E"/>
          <w:sz w:val="22"/>
          <w:szCs w:val="22"/>
          <w:shd w:val="clear" w:color="auto" w:fill="FFFFFF"/>
        </w:rPr>
        <w:t xml:space="preserve"> pay </w:t>
      </w:r>
      <w:r w:rsidR="00F805F5" w:rsidRPr="00692EB2">
        <w:rPr>
          <w:color w:val="1C1D1E"/>
          <w:sz w:val="22"/>
          <w:szCs w:val="22"/>
          <w:shd w:val="clear" w:color="auto" w:fill="FFFFFF"/>
        </w:rPr>
        <w:t>across incumbent workers need to be considered more fully.</w:t>
      </w:r>
    </w:p>
    <w:p w14:paraId="32E7ECCE" w14:textId="70F06BDB" w:rsidR="00696336" w:rsidRPr="002672C0" w:rsidRDefault="00EB55F4" w:rsidP="00C95165">
      <w:pPr>
        <w:pStyle w:val="BodyTextIndent"/>
      </w:pPr>
      <w:r w:rsidRPr="00692EB2">
        <w:rPr>
          <w:color w:val="1C1D1E"/>
          <w:shd w:val="clear" w:color="auto" w:fill="FFFFFF"/>
        </w:rPr>
        <w:t xml:space="preserve">In </w:t>
      </w:r>
      <w:r w:rsidRPr="00C95165">
        <w:t>what follows, we develop a theoretical rationale that combines both</w:t>
      </w:r>
      <w:r w:rsidRPr="00A064F0">
        <w:t xml:space="preserve"> the intended </w:t>
      </w:r>
      <w:r w:rsidR="00CD1E92" w:rsidRPr="00355FFF">
        <w:t xml:space="preserve">consequences </w:t>
      </w:r>
      <w:r w:rsidR="00D575D0">
        <w:t>for</w:t>
      </w:r>
      <w:r w:rsidR="00CD1E92" w:rsidRPr="00355FFF">
        <w:t xml:space="preserve"> those who transition into entrepreneurship </w:t>
      </w:r>
      <w:r w:rsidRPr="00355FFF">
        <w:t xml:space="preserve">and </w:t>
      </w:r>
      <w:r w:rsidR="00CD1E92" w:rsidRPr="00355FFF">
        <w:t xml:space="preserve">the </w:t>
      </w:r>
      <w:r w:rsidRPr="00355FFF">
        <w:t xml:space="preserve">unintended consequences </w:t>
      </w:r>
      <w:r w:rsidR="00D575D0">
        <w:t>for</w:t>
      </w:r>
      <w:r w:rsidR="00CD1E92" w:rsidRPr="00355FFF">
        <w:t xml:space="preserve"> those who remain attached to incumbent firms, following </w:t>
      </w:r>
      <w:r w:rsidR="00EA7675" w:rsidRPr="00355FFF">
        <w:t>institutional changes that</w:t>
      </w:r>
      <w:r w:rsidR="00EA7675">
        <w:t xml:space="preserve"> lower </w:t>
      </w:r>
      <w:r w:rsidR="00364AA9">
        <w:t>entry barriers</w:t>
      </w:r>
      <w:r w:rsidR="00EA7675">
        <w:t xml:space="preserve">. </w:t>
      </w:r>
      <w:r w:rsidR="00F76B00">
        <w:t xml:space="preserve">Studies of entrepreneurship and institutions suggest that </w:t>
      </w:r>
      <w:r w:rsidR="00F76B00" w:rsidRPr="00CE3637">
        <w:t xml:space="preserve">the impact of </w:t>
      </w:r>
      <w:r w:rsidR="00EA7675">
        <w:t xml:space="preserve">regulatory </w:t>
      </w:r>
      <w:r w:rsidR="00696336">
        <w:t>institutions</w:t>
      </w:r>
      <w:r w:rsidR="00EA7675">
        <w:t xml:space="preserve"> </w:t>
      </w:r>
      <w:r w:rsidR="00F76B00" w:rsidRPr="00CE3637">
        <w:t xml:space="preserve">might vary widely across individuals </w:t>
      </w:r>
      <w:r w:rsidR="00F76B00" w:rsidRPr="00CE3637">
        <w:fldChar w:fldCharType="begin" w:fldLock="1"/>
      </w:r>
      <w:r w:rsidR="00B70018">
        <w:instrText>ADDIN CSL_CITATION {"citationItems":[{"id":"ITEM-1","itemData":{"ISSN":"1047-7039","author":[{"dropping-particle":"","family":"Eesley","given":"Charles","non-dropping-particle":"","parse-names":false,"suffix":""}],"container-title":"Organization Science","id":"ITEM-1","issue":"5","issued":{"date-parts":[["2016"]]},"page":"1290-1306","publisher":"Informs","title":"Institutional barriers to growth: Entrepreneurship, human capital and institutional change","type":"article-journal","volume":"27"},"uris":["http://www.mendeley.com/documents/?uuid=75415807-5100-44a0-9897-4b993ce3cc36"]},{"id":"ITEM-2","itemData":{"ISSN":"1047-7039","author":[{"dropping-particle":"","family":"Eberhart","given":"Robert N","non-dropping-particle":"","parse-names":false,"suffix":""},{"dropping-particle":"","family":"Eesley","given":"Charles E","non-dropping-particle":"","parse-names":false,"suffix":""},{"dropping-particle":"","family":"Eisenhardt","given":"Kathleen M","non-dropping-particle":"","parse-names":false,"suffix":""}],"container-title":"Organization Science","id":"ITEM-2","issue":"1","issued":{"date-parts":[["2017"]]},"page":"93-112","title":"Failure is an option: Institutional change, entrepreneurial risk, and new firm growth","type":"article-journal","volume":"28"},"uris":["http://www.mendeley.com/documents/?uuid=d23f0cce-4662-4f99-aa90-a11e6b3b74de"]}],"mendeley":{"formattedCitation":"(Eberhart &lt;i&gt;et al.&lt;/i&gt;, 2017; Eesley, 2016)","manualFormatting":"(e.g., Chatterji et al., 2012; Eberhart et al. 2017, Eesley 2016)","plainTextFormattedCitation":"(Eberhart et al., 2017; Eesley, 2016)","previouslyFormattedCitation":"(Eberhart &lt;i&gt;et al.&lt;/i&gt;, 2017; Eesley, 2016)"},"properties":{"noteIndex":0},"schema":"https://github.com/citation-style-language/schema/raw/master/csl-citation.json"}</w:instrText>
      </w:r>
      <w:r w:rsidR="00F76B00" w:rsidRPr="00CE3637">
        <w:fldChar w:fldCharType="separate"/>
      </w:r>
      <w:r w:rsidR="00F76B00" w:rsidRPr="00CE3637">
        <w:rPr>
          <w:noProof/>
        </w:rPr>
        <w:t>(e.g., Chatterji et al., 2012; Eberhart et al. 2017, Eesley 2016)</w:t>
      </w:r>
      <w:r w:rsidR="00F76B00" w:rsidRPr="00CE3637">
        <w:fldChar w:fldCharType="end"/>
      </w:r>
      <w:r w:rsidR="00622868">
        <w:t>,</w:t>
      </w:r>
      <w:r w:rsidR="00F76B00">
        <w:t xml:space="preserve"> </w:t>
      </w:r>
      <w:r w:rsidR="00EA7675">
        <w:t>and that</w:t>
      </w:r>
      <w:r w:rsidR="00F76B00">
        <w:t xml:space="preserve"> only some </w:t>
      </w:r>
      <w:r w:rsidR="00EA7675">
        <w:t>individuals</w:t>
      </w:r>
      <w:r w:rsidR="00F76B00">
        <w:t xml:space="preserve"> </w:t>
      </w:r>
      <w:r w:rsidR="00EA7675">
        <w:t xml:space="preserve">take </w:t>
      </w:r>
      <w:r w:rsidR="00F76B00">
        <w:t xml:space="preserve">advantage of lower entry barriers </w:t>
      </w:r>
      <w:r w:rsidR="00F76B00" w:rsidRPr="0058683A">
        <w:t>(e.g., Eberhart et al. 2017, Eesley 2016</w:t>
      </w:r>
      <w:r w:rsidR="00F76B00">
        <w:t xml:space="preserve">). </w:t>
      </w:r>
      <w:r w:rsidR="00F76B00" w:rsidRPr="0058683A">
        <w:t xml:space="preserve">For example, legal changes in bankruptcy protection </w:t>
      </w:r>
      <w:r w:rsidR="00696336">
        <w:t xml:space="preserve">only </w:t>
      </w:r>
      <w:r w:rsidR="00F76B00" w:rsidRPr="0058683A">
        <w:t>induce elites to start new ventures</w:t>
      </w:r>
      <w:r w:rsidR="00696336">
        <w:t xml:space="preserve"> (</w:t>
      </w:r>
      <w:r w:rsidR="00696336" w:rsidRPr="0058683A">
        <w:t>Eberhart, E</w:t>
      </w:r>
      <w:r w:rsidR="002A017B">
        <w:t>e</w:t>
      </w:r>
      <w:r w:rsidR="00696336" w:rsidRPr="0058683A">
        <w:t>sley and Eisenhardt</w:t>
      </w:r>
      <w:r w:rsidR="00696336">
        <w:t xml:space="preserve">, </w:t>
      </w:r>
      <w:r w:rsidR="00696336" w:rsidRPr="0058683A">
        <w:t>201</w:t>
      </w:r>
      <w:r w:rsidR="002A017B">
        <w:t>7</w:t>
      </w:r>
      <w:r w:rsidR="00696336" w:rsidRPr="0058683A">
        <w:t>)</w:t>
      </w:r>
      <w:r w:rsidR="00696336">
        <w:t xml:space="preserve">, while the </w:t>
      </w:r>
      <w:r w:rsidR="00696336" w:rsidRPr="00692EB2">
        <w:t>reduction in barriers to growth increases the likelihood of founding a new venture</w:t>
      </w:r>
      <w:r w:rsidR="005B1A4F" w:rsidRPr="00692EB2">
        <w:t>,</w:t>
      </w:r>
      <w:r w:rsidR="00696336" w:rsidRPr="00692EB2">
        <w:t xml:space="preserve"> but only among higher-human-capital individuals (</w:t>
      </w:r>
      <w:r w:rsidR="00696336" w:rsidRPr="0058683A">
        <w:t>E</w:t>
      </w:r>
      <w:r w:rsidR="002A017B">
        <w:t>e</w:t>
      </w:r>
      <w:r w:rsidR="00696336" w:rsidRPr="0058683A">
        <w:t>sley</w:t>
      </w:r>
      <w:r w:rsidR="00696336">
        <w:t xml:space="preserve">, </w:t>
      </w:r>
      <w:r w:rsidR="00696336" w:rsidRPr="0058683A">
        <w:t>2016)</w:t>
      </w:r>
      <w:r w:rsidR="00696336">
        <w:t xml:space="preserve">. </w:t>
      </w:r>
      <w:r w:rsidR="00696336" w:rsidRPr="00692EB2">
        <w:t xml:space="preserve">Building on these studies, we suggest </w:t>
      </w:r>
      <w:r w:rsidR="00696336" w:rsidRPr="00CE3637">
        <w:t xml:space="preserve">that </w:t>
      </w:r>
      <w:r w:rsidR="00696336">
        <w:t>the</w:t>
      </w:r>
      <w:r w:rsidR="00A77632">
        <w:t xml:space="preserve"> intended </w:t>
      </w:r>
      <w:r w:rsidR="00696336">
        <w:t xml:space="preserve">impact of </w:t>
      </w:r>
      <w:r w:rsidR="00696336" w:rsidRPr="00CE3637">
        <w:t>such changes will</w:t>
      </w:r>
      <w:r w:rsidR="00696336">
        <w:t xml:space="preserve"> </w:t>
      </w:r>
      <w:r w:rsidR="007F4E3B">
        <w:t xml:space="preserve">be stronger for employees who face systematic barriers at the point of entry, and thus are disadvantaged when attempting to become founders. </w:t>
      </w:r>
      <w:r w:rsidR="00F756A8">
        <w:t>As these disadvantaged workers depart to entrepreneurship at higher rates, this will</w:t>
      </w:r>
      <w:r w:rsidR="009A04F4">
        <w:t>,</w:t>
      </w:r>
      <w:r w:rsidR="00F756A8">
        <w:t xml:space="preserve"> in turn</w:t>
      </w:r>
      <w:r w:rsidR="009A04F4">
        <w:t>,</w:t>
      </w:r>
      <w:r w:rsidR="00F756A8">
        <w:t xml:space="preserve"> lead to unanticipated outcomes for </w:t>
      </w:r>
      <w:r w:rsidR="008B2BDD">
        <w:t xml:space="preserve">the remaining </w:t>
      </w:r>
      <w:r w:rsidR="00F756A8">
        <w:t>workers who are socially</w:t>
      </w:r>
      <w:r w:rsidR="00345FC2">
        <w:t xml:space="preserve"> </w:t>
      </w:r>
      <w:r w:rsidR="00F756A8">
        <w:t xml:space="preserve">proximate to the departed.  </w:t>
      </w:r>
    </w:p>
    <w:p w14:paraId="3D42DDA8" w14:textId="4497B574" w:rsidR="00C605C7" w:rsidRPr="001C3F7B" w:rsidRDefault="007F4E3B">
      <w:pPr>
        <w:pStyle w:val="BodyTextIndent"/>
      </w:pPr>
      <w:r>
        <w:t>Ample evidence suggests that historical minorities, such as w</w:t>
      </w:r>
      <w:r w:rsidR="004A4056" w:rsidRPr="0058683A">
        <w:t>omen</w:t>
      </w:r>
      <w:r>
        <w:t>,</w:t>
      </w:r>
      <w:r w:rsidR="004A4056" w:rsidRPr="0058683A">
        <w:t xml:space="preserve"> </w:t>
      </w:r>
      <w:r w:rsidR="005B1A4F">
        <w:t>tend to face more systematic and more significant</w:t>
      </w:r>
      <w:r w:rsidR="004A4056" w:rsidRPr="0058683A">
        <w:t xml:space="preserve"> </w:t>
      </w:r>
      <w:r w:rsidR="004A4056">
        <w:t>obstacles</w:t>
      </w:r>
      <w:r w:rsidR="005B1A4F">
        <w:t xml:space="preserve"> to entrepreneurship, </w:t>
      </w:r>
      <w:r w:rsidR="0052402F">
        <w:t xml:space="preserve">having only </w:t>
      </w:r>
      <w:r w:rsidR="004A4056" w:rsidRPr="0058683A">
        <w:t>limited access to resources</w:t>
      </w:r>
      <w:r w:rsidR="005B1A4F">
        <w:t xml:space="preserve"> (e.g., funding and time) required to launch a startup </w:t>
      </w:r>
      <w:r w:rsidR="004A4056" w:rsidRPr="0058683A">
        <w:rPr>
          <w:rFonts w:eastAsiaTheme="minorHAnsi"/>
        </w:rPr>
        <w:fldChar w:fldCharType="begin" w:fldLock="1"/>
      </w:r>
      <w:r w:rsidR="003175A8">
        <w:instrText>ADDIN CSL_CITATION {"citationItems":[{"id":"ITEM-1","itemData":{"author":[{"dropping-particle":"","family":"Kacperczyk","given":"Aleksandra “Olenka”","non-dropping-particle":"","parse-names":false,"suffix":""},{"dropping-particle":"","family":"Guzman","given":"Jorge","non-dropping-particle":"","parse-names":false,"suffix":""}],"container-title":"Research Policy","id":"ITEM-1","issue":"7","issued":{"date-parts":[["2019"]]},"page":"1666-1680","title":"Gender Gap in Entrepreneurship","type":"article-journal","volume":"48"},"uris":["http://www.mendeley.com/documents/?uuid=99c57b3a-08cc-40eb-95c5-12812006c7f3"]},{"id":"ITEM-2","itemData":{"DOI":"10.1177/0001839215591627","ISBN":"10.1177/0001839215591627","ISSN":"19303815","abstract":"This article develops and empirically evaluates an institutional theory of gender inequalities in business start-up, ownership, and growth orientation. I argue that in contexts in which institutional arrangements such as paid leave, subsidized childcare, and part-time employment opportunities mitigate work-family conflict, women are less likely to opt for business ownership as a fallback employment strategy. As a result, women in these contexts may be relatively less well represented among entrepreneurs as a whole but more well represented in growth-oriented forms of entrepreneurship. To evaluate this claim, I analyze survey data from 24 countries over the span of eight years. Multilevel analyses show that supportive work-family institutions are associated with larger gender gaps in the odds of early-stage and established business ownership but smaller gender gaps among business owners in terms of their business size, growth aspirations, and propensity to innovate or use new technology. Consistent with my theoretical argument, women business owners are also less likely to report pursuing entrepreneurship because they lacked attractive employment options in contexts in which supportive institutions are in place. Findings suggest that institutional contexts characterized by salient work-family conflict may fuel women's aggregate representation in business activity but reinforce their segregation into less growth-oriented (and thus lower-status) ventures.","author":[{"dropping-particle":"","family":"Thébaud","given":"Sarah","non-dropping-particle":"","parse-names":false,"suffix":""}],"container-title":"Administrative Science Quarterly","id":"ITEM-2","issue":"4","issued":{"date-parts":[["2015"]]},"page":"671-711","title":"Business as Plan B: Institutional Foundations of Gender Inequality in Entrepreneurship across 24 Industrialized Countries","type":"article-journal","volume":"60"},"uris":["http://www.mendeley.com/documents/?uuid=eed07914-95cd-4b9a-a266-053979be094f"]},{"id":"ITEM-3","itemData":{"DOI":"10.1177/0190272510377882","ISBN":"0190-2725\\r1939-8999","ISSN":"01902725","PMID":"65439382","abstract":"The gender gap in entrepreneurs hip has typically been understood through women's struc tural disadvantages in acquiring the resources relevant for successful business ownership. This study builds on resource-based approaches to investigate how cultural beliefs about gender influence the process by which individuals initially come to identify entrepreneurship as a viable labor-market on status characteristics option. Drawing theory, this study eval uates (1) how cultural beliefs about gender and entrepreneurship influence self-assessments of entrepreneurial ability, and (2) the extent to which such assessments account for the gen der gap in business start-ups. Results suggest that women are significantly less likely to per ceive themselves as able to be an entrepreneur and they hold themselves to a stricter standard of competence when compared to similarly situated men. This gender difference in self-assessments accounts for a significant portion of the gender gap in entrepreneurship after controlling for relevant resources. Additional reveal analyses that significant gender differences in self assessed ability persist among established business owners.","author":[{"dropping-particle":"","family":"Thébaud","given":"Sarah","non-dropping-particle":"","parse-names":false,"suffix":""}],"container-title":"Social Psychology Quarterly","id":"ITEM-3","issue":"3","issued":{"date-parts":[["2010"]]},"page":"288-304","title":"Gender and entrepreneurship as a career choice: Do self-assessments of ability matter?","type":"article-journal","volume":"73"},"uris":["http://www.mendeley.com/documents/?uuid=3deadab5-c255-4bb9-b81b-2f5db23ac1e5"]},{"id":"ITEM-4","itemData":{"DOI":"10.1080/19416520.2013.782190","ISBN":"1941-6520","ISSN":"1941-6520","PMID":"14982359","abstract":"This paper has three overarching objectives. The first is to document the development of the body of work known as women’s entrepreneurship research. The second is to assess the contributions of this work, specifically vis-a`-vis the broader entrepreneurship literature. The third is to discuss how this broader literature poses challenges (both difficulties as well as opportunities) for scholarship on female entrepreneurs. We approach these objectives from the standpoint of informed pluralism, seeking to explore whether and how women’s entrepreneurship research offers extensions to—and can be extended by—general research on entrepreneurs and their ventures.","author":[{"dropping-particle":"","family":"Jennings","given":"Jennifer E.","non-dropping-particle":"","parse-names":false,"suffix":""},{"dropping-particle":"","family":"Brush","given":"Candida G.","non-dropping-particle":"","parse-names":false,"suffix":""}],"container-title":"The Academy of Management Annals","id":"ITEM-4","issue":"1","issued":{"date-parts":[["2013"]]},"page":"663-715","title":"Research on Women Entrepreneurs: Challenges to (and from) the Broader Entrepreneurship Literature?","type":"article-journal","volume":"7"},"uris":["http://www.mendeley.com/documents/?uuid=6567a57e-4514-4492-b290-454a8f8eccb2"]},{"id":"ITEM-5","itemData":{"DOI":"10.2307/352769","ISBN":"0022-2445","ISSN":"00222445","PMID":"15318156","abstract":"This study investigates work-family connections and economic success among women and men small business owners. We use what we term gender similarity and gender difference models to frame this investigation. The first model emphasizes the similarities between women and men in the processes through which work outcomes are determined. In contrast, the gender difference model assumes deeply rooted institutional and individual bases of gender difference. Analyses of data from a 3-year panel survey of 99 women and 312 men owners show more support for the gender similarity than the gender difference model. There is considerable gender similarity in the processes through which business and individual characteristics affect personal earnings, although women owners are disadvantaged in some characteristics critical to business success. Family situation has a direct impact on these owners' business success and indirectly affects personal earnings. We uncover vestiges of traditional gender roles consistent with the gender difference model but primarily in the context of marriage. Thus, children are experienced as an incentive to fulfill the good provider role not only among married men but also by single women. The even history analyses show that these effects persist over time.","author":[{"dropping-particle":"","family":"Loscocco","given":"Karyn A.","non-dropping-particle":"","parse-names":false,"suffix":""},{"dropping-particle":"","family":"Leicht","given":"Kevin T.","non-dropping-particle":"","parse-names":false,"suffix":""}],"container-title":"Journal of Marriage and the Family","id":"ITEM-5","issue":"4","issued":{"date-parts":[["1993"]]},"page":"875-887","title":"Gender, work-family linkages, and economic success among small business owners","type":"article-journal","volume":"55"},"uris":["http://www.mendeley.com/documents/?uuid=a76d4c1d-f641-4a30-88b3-6eb501231c6b"]},{"id":"ITEM-6","itemData":{"DOI":"10.2307/1519766","ISBN":"0003-1224","ISSN":"00031224","PMID":"1519766","abstract":"The mechanisms governing the composition of formal social groups (e.g., task groups, organizational founding teams) remain poorly understood, owing to (1) a lack of representative sampling from groups found in the general population, (2) a \"success\" bias among researchers that leads them to consider only those groups that actually emerge and survive, and (3) a restrictive focus on some theorized mechanisms of group composition (e.g., homophily) to the exclusion of others. These shortcomings are addressed by analyzing a unique, representative data set of organizational founding teams sampled from the U.S. population. Rather than simply considering the properties of those founding teams that are empirically observed, a novel quantitative methodology generates the distribution of all possible teams, based on combinations of individual and relational characteristics. This methodology permits the exploration of five mechanisms of group composition-those based on homophily. functionality, status expectations, network constraint, and ecological constraint. Findings suggest that homophily and network constraints based on strong ties have the most pronounced effect on group composition. Social isolation (i.e., exclusion from a group) is more likely to occur as a result of ecological constraints on the availability of similar alters in a locality than as a result of status-varying membership choices.","author":[{"dropping-particle":"","family":"Ruef","given":"Martin","non-dropping-particle":"","parse-names":false,"suffix":""},{"dropping-particle":"","family":"Aldrich","given":"Howard E.","non-dropping-particle":"","parse-names":false,"suffix":""},{"dropping-particle":"","family":"Carter","given":"Nancy M.","non-dropping-particle":"","parse-names":false,"suffix":""}],"container-title":"American Sociological Review","id":"ITEM-6","issue":"2","issued":{"date-parts":[["2003"]]},"page":"195-222","title":"The Structure of Founding Teams: Homophily, Strong Ties, and Isolation among U.S. Entrepreneurs","type":"article-journal","volume":"68"},"uris":["http://www.mendeley.com/documents/?uuid=54fdcb5e-338b-4024-a4c5-4c62605cbdfe"]},{"id":"ITEM-7","itemData":{"DOI":"10.1007/s11187-006-0007-x","ISBN":"0921-898X","ISSN":"0921898X","abstract":"Entrepreneurship contributes to business dynamics in all economies, and the individual benefits of starting a business are clear. Nonetheless, access to business start-ups may not be available to all people because of resource constraints. Using a unique new data set for the United States, we examine the relative importance of three forms of resources in pursuing start-up ventures: financial, human, and cultural capital. Our analysis of the Panel Study of Entrepreneurial Dynamics shows that neither financial nor cultural capital resources are necessary conditions for entrepreneurial entry. By contrast, potential entrepreneurs gain significant advantages if they possess high levels of human capital. Specifically, advanced education and managerial experience are significantly positively associated with entrepreneurial entry. Our findings suggest that attempts at entering entrepreneurship, at least in the short-term, may be increasing, as opportunities to acquire human capital are becoming more widespread.","author":[{"dropping-particle":"","family":"Kim","given":"Phillip H.","non-dropping-particle":"","parse-names":false,"suffix":""},{"dropping-particle":"","family":"Aldrich","given":"Howard E.","non-dropping-particle":"","parse-names":false,"suffix":""},{"dropping-particle":"","family":"Keister","given":"Lisa A.","non-dropping-particle":"","parse-names":false,"suffix":""}],"container-title":"Small Business Economics","id":"ITEM-7","issue":"1","issued":{"date-parts":[["2006"]]},"page":"5-22","title":"Access (not) denied: The impact of financial, human, and cultural capital on entrepreneurial entryin the United States","type":"article-journal","volume":"27"},"uris":["http://www.mendeley.com/documents/?uuid=7c268067-bc71-49ee-a63d-8adf08c25071"]},{"id":"ITEM-8","itemData":{"DOI":"10.1177/0003122414524207","ISBN":"0003-1224","ISSN":"19398271","abstract":"Sociologists have examined gender inequalities across a wide array of social contexts. Yet, questions remain regarding how inequalities arise among autonomous groups pursuing economic goals. In this article, we investigate mixed-sex entrepreneurial teams to unpack the mechanisms by which gender inequality in leadership emerges, despite strong pressures toward merit-based organizing principles. We theorize the potentially competing relationships between merit and gender and explore the contingencies moderating their effects. Drawing on a unique, nationally representative dataset of entrepreneurial teams sampled from the U.S. population in 2005, we use conditional logistic regression to test our hypotheses. We demonstrate that merit’s effect becomes much larger when multiple merit-based criteria provide consistent predictions for which team member is superior to others, and when entrepreneurial founders adopt bureaucratic templates to construct new ventures. However, gender stereotypes of leaders pervasively constrain women’s access to power positions, and gender’s effect intensifies when spousal relationships are involved. Women have reduced chances to be in charge if they co-found new businesses with their husbands, and some family conditions further modify women’s chances, such as husbands’ employment and the presence of children.","author":[{"dropping-particle":"","family":"Yang","given":"Tiantian","non-dropping-particle":"","parse-names":false,"suffix":""},{"dropping-particle":"","family":"Aldrich","given":"Howard E.","non-dropping-particle":"","parse-names":false,"suffix":""}],"container-title":"American Sociological Review","id":"ITEM-8","issue":"2","issued":{"date-parts":[["2014"]]},"page":"303-327","title":"Who's the Boss? Explaining Gender Inequality in Entrepreneurial Teams","type":"article-journal","volume":"79"},"uris":["http://www.mendeley.com/documents/?uuid=1bcbb913-4b5e-4bd7-8c7a-cfe47fdd8785"]}],"mendeley":{"formattedCitation":"(Jennings and Brush, 2013; Kacperczyk and Guzman, 2019; Kim, Aldrich, and Keister, 2006; Loscocco and Leicht, 1993; Ruef, Aldrich, and Carter, 2003; Thébaud, 2010, 2015; Yang and Aldrich, 2014)","manualFormatting":"(e.g., Jennings and Brush 2013, Kacperczyk and Guzman 2016, Kim et al. 2006, Loscocco and Leicht 1993, Ruef et al. 2003, Thébaud 2010, 2015, Yang and Aldrich 2014)","plainTextFormattedCitation":"(Jennings and Brush, 2013; Kacperczyk and Guzman, 2019; Kim, Aldrich, and Keister, 2006; Loscocco and Leicht, 1993; Ruef, Aldrich, and Carter, 2003; Thébaud, 2010, 2015; Yang and Aldrich, 2014)","previouslyFormattedCitation":"(Jennings and Brush, 2013; Kacperczyk and Guzman, 2019; Kim, Aldrich, and Keister, 2006; Loscocco and Leicht, 1993; Ruef, Aldrich, and Carter, 2003; Thébaud, 2010, 2015; Yang and Aldrich, 2014)"},"properties":{"noteIndex":0},"schema":"https://github.com/citation-style-language/schema/raw/master/csl-citation.json"}</w:instrText>
      </w:r>
      <w:r w:rsidR="004A4056" w:rsidRPr="0058683A">
        <w:rPr>
          <w:rFonts w:eastAsiaTheme="minorHAnsi"/>
        </w:rPr>
        <w:fldChar w:fldCharType="separate"/>
      </w:r>
      <w:r w:rsidR="004A4056" w:rsidRPr="0058683A">
        <w:rPr>
          <w:noProof/>
        </w:rPr>
        <w:t xml:space="preserve">(e.g., Jennings and Brush 2013, </w:t>
      </w:r>
      <w:r w:rsidR="00443EE4">
        <w:rPr>
          <w:noProof/>
        </w:rPr>
        <w:t>Guzman and Kacperczyk</w:t>
      </w:r>
      <w:r w:rsidR="004A4056" w:rsidRPr="0058683A">
        <w:rPr>
          <w:noProof/>
        </w:rPr>
        <w:t xml:space="preserve"> 201</w:t>
      </w:r>
      <w:r w:rsidR="00443EE4">
        <w:rPr>
          <w:noProof/>
        </w:rPr>
        <w:t>8</w:t>
      </w:r>
      <w:r w:rsidR="004A4056" w:rsidRPr="0058683A">
        <w:rPr>
          <w:noProof/>
        </w:rPr>
        <w:t>, Kim et al. 2006, Ruef et al. 2003, Thébaud 2010, 2015, Yang and Aldrich 2014)</w:t>
      </w:r>
      <w:r w:rsidR="004A4056" w:rsidRPr="0058683A">
        <w:rPr>
          <w:rFonts w:eastAsiaTheme="minorHAnsi"/>
        </w:rPr>
        <w:fldChar w:fldCharType="end"/>
      </w:r>
      <w:r w:rsidR="004A4056" w:rsidRPr="0058683A">
        <w:t xml:space="preserve">. </w:t>
      </w:r>
      <w:r w:rsidR="00F76B00">
        <w:t>Hence, we expect that r</w:t>
      </w:r>
      <w:r w:rsidR="009F3E27" w:rsidRPr="0058683A">
        <w:t>educing</w:t>
      </w:r>
      <w:r w:rsidR="00DD4197" w:rsidRPr="0058683A">
        <w:t xml:space="preserve"> barriers to entry </w:t>
      </w:r>
      <w:r w:rsidR="00B73FDA" w:rsidRPr="0058683A">
        <w:t>will</w:t>
      </w:r>
      <w:r w:rsidR="00B76ED1">
        <w:t xml:space="preserve"> have a double-</w:t>
      </w:r>
      <w:r w:rsidR="00345FC2">
        <w:t>edged-</w:t>
      </w:r>
      <w:r w:rsidR="00B76ED1">
        <w:t>sword effect on female workers. O</w:t>
      </w:r>
      <w:r w:rsidR="00F76B00">
        <w:t>n one hand,</w:t>
      </w:r>
      <w:r w:rsidR="00B73FDA" w:rsidRPr="0058683A">
        <w:t xml:space="preserve"> </w:t>
      </w:r>
      <w:r w:rsidR="00B76ED1">
        <w:t xml:space="preserve">such regulatory institutions will generate the </w:t>
      </w:r>
      <w:r w:rsidR="002433F6">
        <w:t xml:space="preserve">intended </w:t>
      </w:r>
      <w:r w:rsidR="00B76ED1">
        <w:t>effects</w:t>
      </w:r>
      <w:r w:rsidR="00BA76AF" w:rsidRPr="0058683A">
        <w:t xml:space="preserve">, </w:t>
      </w:r>
      <w:r w:rsidR="00B76ED1">
        <w:t>by facilitating a</w:t>
      </w:r>
      <w:r w:rsidR="00B73FDA" w:rsidRPr="0058683A">
        <w:t xml:space="preserve"> more equal access to </w:t>
      </w:r>
      <w:r w:rsidR="00BA76AF" w:rsidRPr="0058683A">
        <w:t xml:space="preserve">resources </w:t>
      </w:r>
      <w:r w:rsidR="00B76ED1">
        <w:t>and</w:t>
      </w:r>
      <w:r w:rsidR="00BA76AF" w:rsidRPr="0058683A">
        <w:t xml:space="preserve"> therefore</w:t>
      </w:r>
      <w:r w:rsidR="00B65AD5" w:rsidRPr="0058683A">
        <w:t xml:space="preserve"> disproportionately increasing the rates of female-founded ventures</w:t>
      </w:r>
      <w:r w:rsidR="00B73FDA" w:rsidRPr="0058683A">
        <w:t xml:space="preserve">. On the other hand, </w:t>
      </w:r>
      <w:r w:rsidR="009F3E27" w:rsidRPr="0058683A">
        <w:t>such initiatives will</w:t>
      </w:r>
      <w:r w:rsidR="00B73FDA" w:rsidRPr="0058683A">
        <w:t xml:space="preserve"> </w:t>
      </w:r>
      <w:r w:rsidR="00345FC2">
        <w:t>have</w:t>
      </w:r>
      <w:r w:rsidR="00A77632">
        <w:t xml:space="preserve"> </w:t>
      </w:r>
      <w:r w:rsidR="00EA7FC7">
        <w:t>unintended consequences for</w:t>
      </w:r>
      <w:r w:rsidR="00761811" w:rsidRPr="0058683A">
        <w:t xml:space="preserve"> women who stay in paid</w:t>
      </w:r>
      <w:r w:rsidR="00A27FA3" w:rsidRPr="0058683A">
        <w:t xml:space="preserve"> </w:t>
      </w:r>
      <w:r w:rsidR="00761811" w:rsidRPr="0058683A">
        <w:t>employment</w:t>
      </w:r>
      <w:r w:rsidR="00EA7FC7">
        <w:t xml:space="preserve">. </w:t>
      </w:r>
      <w:r w:rsidR="00345FC2">
        <w:t>They</w:t>
      </w:r>
      <w:r w:rsidR="00761811" w:rsidRPr="0058683A">
        <w:t xml:space="preserve"> will </w:t>
      </w:r>
      <w:r w:rsidR="00F274CE">
        <w:t xml:space="preserve">likely suffer losses in productivity </w:t>
      </w:r>
      <w:r w:rsidR="00923778">
        <w:t>and</w:t>
      </w:r>
      <w:r w:rsidR="00F274CE">
        <w:t xml:space="preserve"> bargaining power following their colleagues’ departure to startups</w:t>
      </w:r>
      <w:r w:rsidR="00761811" w:rsidRPr="0058683A">
        <w:t xml:space="preserve">, </w:t>
      </w:r>
      <w:r w:rsidR="00EA7FC7">
        <w:t xml:space="preserve">and such </w:t>
      </w:r>
      <w:r w:rsidR="00B76ED1">
        <w:t>unexpected</w:t>
      </w:r>
      <w:r w:rsidR="00EA7FC7">
        <w:t xml:space="preserve"> effects will</w:t>
      </w:r>
      <w:r w:rsidR="00B73FDA" w:rsidRPr="0058683A">
        <w:t xml:space="preserve"> </w:t>
      </w:r>
      <w:r w:rsidR="002672C0">
        <w:t xml:space="preserve">decrease women’s appropriation of </w:t>
      </w:r>
      <w:r w:rsidR="002672C0" w:rsidRPr="00D25380">
        <w:t>rent</w:t>
      </w:r>
      <w:r w:rsidR="005B1A4F" w:rsidRPr="00D25380">
        <w:t>s</w:t>
      </w:r>
      <w:r w:rsidR="002672C0" w:rsidRPr="001C3F7B">
        <w:t xml:space="preserve">, widening the gender pay gap in </w:t>
      </w:r>
      <w:r w:rsidR="005A66FF">
        <w:t>established firms</w:t>
      </w:r>
      <w:r w:rsidR="00B73FDA" w:rsidRPr="001C3F7B">
        <w:t>.</w:t>
      </w:r>
      <w:r w:rsidR="00A1537F" w:rsidRPr="001C3F7B">
        <w:t xml:space="preserve"> </w:t>
      </w:r>
    </w:p>
    <w:p w14:paraId="7B3F3DC8" w14:textId="26678DF9" w:rsidR="00954A7B" w:rsidRPr="00D25380" w:rsidRDefault="00B73FDA" w:rsidP="00954A7B">
      <w:pPr>
        <w:pStyle w:val="BodyTextIndent"/>
        <w:ind w:firstLine="0"/>
        <w:contextualSpacing/>
        <w:rPr>
          <w:b/>
          <w:sz w:val="24"/>
          <w:szCs w:val="24"/>
        </w:rPr>
      </w:pPr>
      <w:r w:rsidRPr="00D25380">
        <w:rPr>
          <w:b/>
        </w:rPr>
        <w:t xml:space="preserve">The </w:t>
      </w:r>
      <w:r w:rsidR="00D462C9" w:rsidRPr="00D25380">
        <w:rPr>
          <w:b/>
        </w:rPr>
        <w:t xml:space="preserve">“Intended” </w:t>
      </w:r>
      <w:r w:rsidR="00B65AD5" w:rsidRPr="00D25380">
        <w:rPr>
          <w:b/>
        </w:rPr>
        <w:t>Impact of</w:t>
      </w:r>
      <w:r w:rsidR="004C1E3A">
        <w:rPr>
          <w:b/>
        </w:rPr>
        <w:t xml:space="preserve"> Reduction in Barriers to Entrepreneurship</w:t>
      </w:r>
    </w:p>
    <w:p w14:paraId="161C61F9" w14:textId="10D933B4" w:rsidR="004F76B7" w:rsidRPr="00D25380" w:rsidRDefault="00B73FDA" w:rsidP="009D6AC9">
      <w:pPr>
        <w:pStyle w:val="BodyTextIndent"/>
        <w:ind w:firstLine="0"/>
        <w:contextualSpacing/>
      </w:pPr>
      <w:r w:rsidRPr="00D25380">
        <w:t xml:space="preserve">A fundamental notion in entrepreneurship research is that entrepreneurial entry depends on an individual’s ability </w:t>
      </w:r>
      <w:r w:rsidR="006A68C9" w:rsidRPr="00D25380">
        <w:t xml:space="preserve">to </w:t>
      </w:r>
      <w:r w:rsidRPr="00D25380">
        <w:t xml:space="preserve">accumulate resources needed to start a new venture </w:t>
      </w:r>
      <w:r w:rsidR="009E0C36" w:rsidRPr="00D25380">
        <w:fldChar w:fldCharType="begin" w:fldLock="1"/>
      </w:r>
      <w:r w:rsidR="00064CBE" w:rsidRPr="00D25380">
        <w:instrText>ADDIN CSL_CITATION {"citationItems":[{"id":"ITEM-1","itemData":{"ISBN":"0363-7425","PMID":"2791611","abstract":"Examines the phenomenon of entrepreneurship. Factors attributed to the lack of a conceptual framework on entrepreneurship research; Explanation on why organizational researchers should study entrepreneurship; Different modes of exploitation of entrepreneurial opportunities. To date, the phenomenon of entrepreneurship has lacked a conceptual framework. In this note the authors draw upon previous research conducted in the different social science disciplines and applied fields of business to create a conceptual framework for the field. With this framework the authors explain a set of empirical phenomena and predict a set of outcomes not explained or predicted by conceptual frameworks already in existence in other fields.","author":[{"dropping-particle":"","family":"Shane","given":"Scott","non-dropping-particle":"","parse-names":false,"suffix":""},{"dropping-particle":"","family":"Venkataraman","given":"S","non-dropping-particle":"","parse-names":false,"suffix":""}],"container-title":"Academy of Management Review","id":"ITEM-1","issue":"1","issued":{"date-parts":[["2000"]]},"note":"Vol. 25 Issue 1, p217 10p\nPDF Available","page":"217","title":"The Promise of Entrepreneurship as a Field of Research","type":"article-journal","volume":"25"},"uris":["http://www.mendeley.com/documents/?uuid=e17be0d1-605d-4fea-b3c0-32f454fb8ceb"]}],"mendeley":{"formattedCitation":"(Shane and Venkataraman, 2000)","manualFormatting":"(e.g., Shane and Venkataraman 2000)","plainTextFormattedCitation":"(Shane and Venkataraman, 2000)","previouslyFormattedCitation":"(Shane and Venkataraman, 2000)"},"properties":{"noteIndex":0},"schema":"https://github.com/citation-style-language/schema/raw/master/csl-citation.json"}</w:instrText>
      </w:r>
      <w:r w:rsidR="009E0C36" w:rsidRPr="00D25380">
        <w:fldChar w:fldCharType="separate"/>
      </w:r>
      <w:r w:rsidR="009E0C36" w:rsidRPr="00D25380">
        <w:rPr>
          <w:noProof/>
        </w:rPr>
        <w:t>(e.g., Shane and Venkataraman 2000)</w:t>
      </w:r>
      <w:r w:rsidR="009E0C36" w:rsidRPr="00D25380">
        <w:fldChar w:fldCharType="end"/>
      </w:r>
      <w:r w:rsidRPr="00D25380">
        <w:t>. This process is wr</w:t>
      </w:r>
      <w:r w:rsidR="006A68C9" w:rsidRPr="00D25380">
        <w:t>o</w:t>
      </w:r>
      <w:r w:rsidRPr="001C3F7B">
        <w:t>ught with challenges, however, as prospective entrepreneurs</w:t>
      </w:r>
      <w:r w:rsidR="003358FA" w:rsidRPr="001C3F7B">
        <w:t xml:space="preserve">, </w:t>
      </w:r>
      <w:r w:rsidR="004F76B7" w:rsidRPr="001C3F7B">
        <w:t xml:space="preserve">who </w:t>
      </w:r>
      <w:r w:rsidR="003358FA" w:rsidRPr="001C3F7B">
        <w:t>once identified a promising opportunity,</w:t>
      </w:r>
      <w:r w:rsidRPr="00D25380">
        <w:t xml:space="preserve"> need to commit significant time and effort to convince others</w:t>
      </w:r>
      <w:r w:rsidR="00761811" w:rsidRPr="00D25380">
        <w:t xml:space="preserve"> (</w:t>
      </w:r>
      <w:r w:rsidRPr="00D25380">
        <w:t>including family members, friends, and professional investors</w:t>
      </w:r>
      <w:r w:rsidR="00761811" w:rsidRPr="00D25380">
        <w:t>)</w:t>
      </w:r>
      <w:r w:rsidRPr="00D25380">
        <w:t xml:space="preserve"> to fund </w:t>
      </w:r>
      <w:r w:rsidR="00BA76AF" w:rsidRPr="00D25380">
        <w:t xml:space="preserve">a fledgling </w:t>
      </w:r>
      <w:r w:rsidR="00A52A04" w:rsidRPr="00D25380">
        <w:t>venture</w:t>
      </w:r>
      <w:r w:rsidRPr="00D25380">
        <w:t xml:space="preserve">. </w:t>
      </w:r>
      <w:r w:rsidR="00143AEF" w:rsidRPr="00D25380">
        <w:t>And e</w:t>
      </w:r>
      <w:r w:rsidRPr="00D25380">
        <w:t xml:space="preserve">ven when the initial </w:t>
      </w:r>
      <w:r w:rsidR="00ED114E">
        <w:t>obstacles</w:t>
      </w:r>
      <w:r w:rsidRPr="00D25380">
        <w:t xml:space="preserve"> </w:t>
      </w:r>
      <w:r w:rsidR="00F274CE" w:rsidRPr="00D25380">
        <w:t>are</w:t>
      </w:r>
      <w:r w:rsidRPr="00D25380">
        <w:t xml:space="preserve"> </w:t>
      </w:r>
      <w:r w:rsidR="00A77632" w:rsidRPr="00D25380">
        <w:t xml:space="preserve">eventually </w:t>
      </w:r>
      <w:r w:rsidRPr="00D25380">
        <w:t xml:space="preserve">overcome, </w:t>
      </w:r>
      <w:r w:rsidR="00A27C3B" w:rsidRPr="00D25380">
        <w:t>many startups s</w:t>
      </w:r>
      <w:r w:rsidRPr="00D25380">
        <w:t xml:space="preserve">ubsequently fail, given the challenges of operating, managing, and scaling a new venture. </w:t>
      </w:r>
    </w:p>
    <w:p w14:paraId="6F4B3599" w14:textId="0B190620" w:rsidR="00B73FDA" w:rsidRPr="00D25380" w:rsidRDefault="00A52A04" w:rsidP="00471758">
      <w:pPr>
        <w:pStyle w:val="BodyTextIndent"/>
      </w:pPr>
      <w:r w:rsidRPr="00D25380">
        <w:t>The</w:t>
      </w:r>
      <w:r w:rsidR="00143AEF" w:rsidRPr="00D25380">
        <w:t>se</w:t>
      </w:r>
      <w:r w:rsidRPr="00D25380">
        <w:t xml:space="preserve"> </w:t>
      </w:r>
      <w:r w:rsidR="000D42BA" w:rsidRPr="00D25380">
        <w:t xml:space="preserve">challenges associated with becoming an entrepreneur </w:t>
      </w:r>
      <w:r w:rsidRPr="00D25380">
        <w:t xml:space="preserve">are particularly acute for women, who face </w:t>
      </w:r>
      <w:r w:rsidR="000D42BA" w:rsidRPr="00D25380">
        <w:t>systematic obstacles</w:t>
      </w:r>
      <w:r w:rsidRPr="00D25380">
        <w:t xml:space="preserve"> when identifying opportunities </w:t>
      </w:r>
      <w:r w:rsidR="000D42BA" w:rsidRPr="00D25380">
        <w:t>and</w:t>
      </w:r>
      <w:r w:rsidRPr="00D25380">
        <w:t xml:space="preserve"> accumulating resources required to launch and operate a </w:t>
      </w:r>
      <w:r w:rsidR="000D42BA" w:rsidRPr="00D25380">
        <w:t>startup</w:t>
      </w:r>
      <w:r w:rsidR="00303C2B" w:rsidRPr="00D25380">
        <w:t xml:space="preserve"> </w:t>
      </w:r>
      <w:r w:rsidR="00303C2B" w:rsidRPr="001C3F7B">
        <w:fldChar w:fldCharType="begin" w:fldLock="1"/>
      </w:r>
      <w:r w:rsidR="00770C78" w:rsidRPr="00D25380">
        <w:instrText>ADDIN CSL_CITATION {"citationItems":[{"id":"ITEM-1","itemData":{"DOI":"10.2307/146367","ISBN":"0022166X","ISSN":"0022166X","PMID":"557437","abstract":"The offspring of self-employed fathers are more likely than others to become self-employed. Thus the historically low rates of self-employment among African-Americans and Latinos may contribute to their low contemporary rates. National data show that African-Americans and Latinos whose fathers were self-employed have lower rates of self-employment than other men whose fathers were not self-employed. Other aspects of family background explain only a small portion of the self-employment gap between African-Americans and native-born white ancestry groups. Male immigrants who have self-employed fathers overseas are no more likely to be self-employed than other immigrants are.","author":[{"dropping-particle":"","family":"Hout","given":"Michael","non-dropping-particle":"","parse-names":false,"suffix":""},{"dropping-particle":"","family":"Rosen","given":"Harvey","non-dropping-particle":"","parse-names":false,"suffix":""}],"container-title":"The Journal of Human Resources","id":"ITEM-1","issue":"4","issued":{"date-parts":[["2000"]]},"page":"670-692","title":"Self-Employment, Family Background, and Race","type":"article-journal","volume":"35"},"uris":["http://www.mendeley.com/documents/?uuid=eb86bcc6-b0d7-41d0-a304-f6025af83b9e"]},{"id":"ITEM-2","itemData":{"DOI":"10.1146/annurev.soc.26.1.63","ISBN":"03600572","ISSN":"0360-0572","PMID":"1641","abstract":"Wealth ownership in the United States has long been concentrated in the hands of a small minority of the population, yet researchers have paid relatively little attention to the causes and consequences of this inequality. In this essay, we review the literature that does exist on wealth accumulation and distribution. We begin with an examination of the reasons that wealth inequality has received little empirical attention. We then discuss methods of creating empirical estimates of wealth accumulation and distribution, and we present some estimates of recent trends in wealth inequality. We explore a diverse collection of research that explains these trends, covering treatments of aggregate influences and individual and household factors. We conclude the chapter with a review of research on intergenerational processes and wealth mobility. Copyright © 2000 by Annual Reviews. All rights reserved.","author":[{"dropping-particle":"","family":"Keister","given":"Lisa A.","non-dropping-particle":"","parse-names":false,"suffix":""},{"dropping-particle":"","family":"Moller","given":"Stephanie","non-dropping-particle":"","parse-names":false,"suffix":""}],"container-title":"Annual Review of Sociology","id":"ITEM-2","issue":"1","issued":{"date-parts":[["2000"]]},"page":"63-81","title":"Wealth Inequality in the United States","type":"article-journal","volume":"26"},"uris":["http://www.mendeley.com/documents/?uuid=c66e43b0-5393-44de-9861-bec802571f74"]},{"id":"ITEM-3","itemData":{"DOI":"10.1007/s11187-006-0007-x","ISBN":"0921-898X","ISSN":"0921898X","abstract":"Entrepreneurship contributes to business dynamics in all economies, and the individual benefits of starting a business are clear. Nonetheless, access to business start-ups may not be available to all people because of resource constraints. Using a unique new data set for the United States, we examine the relative importance of three forms of resources in pursuing start-up ventures: financial, human, and cultural capital. Our analysis of the Panel Study of Entrepreneurial Dynamics shows that neither financial nor cultural capital resources are necessary conditions for entrepreneurial entry. By contrast, potential entrepreneurs gain significant advantages if they possess high levels of human capital. Specifically, advanced education and managerial experience are significantly positively associated with entrepreneurial entry. Our findings suggest that attempts at entering entrepreneurship, at least in the short-term, may be increasing, as opportunities to acquire human capital are becoming more widespread.","author":[{"dropping-particle":"","family":"Kim","given":"Phillip H.","non-dropping-particle":"","parse-names":false,"suffix":""},{"dropping-particle":"","family":"Aldrich","given":"Howard E.","non-dropping-particle":"","parse-names":false,"suffix":""},{"dropping-particle":"","family":"Keister","given":"Lisa A.","non-dropping-particle":"","parse-names":false,"suffix":""}],"container-title":"Small Business Economics","id":"ITEM-3","issue":"1","issued":{"date-parts":[["2006"]]},"page":"5-22","title":"Access (not) denied: The impact of financial, human, and cultural capital on entrepreneurial entryin the United States","type":"article-journal","volume":"27"},"uris":["http://www.mendeley.com/documents/?uuid=7c268067-bc71-49ee-a63d-8adf08c25071"]}],"mendeley":{"formattedCitation":"(Hout and Rosen, 2000; Keister and Moller, 2000; Kim &lt;i&gt;et al.&lt;/i&gt;, 2006)","manualFormatting":"(e.g., Hout and Rosen 2000, Keister and Moller 2000, Kim et al. 2006)","plainTextFormattedCitation":"(Hout and Rosen, 2000; Keister and Moller, 2000; Kim et al., 2006)","previouslyFormattedCitation":"(Hout and Rosen, 2000; Keister and Moller, 2000; Kim &lt;i&gt;et al.&lt;/i&gt;, 2006)"},"properties":{"noteIndex":0},"schema":"https://github.com/citation-style-language/schema/raw/master/csl-citation.json"}</w:instrText>
      </w:r>
      <w:r w:rsidR="00303C2B" w:rsidRPr="001C3F7B">
        <w:fldChar w:fldCharType="separate"/>
      </w:r>
      <w:r w:rsidR="00303C2B" w:rsidRPr="001C3F7B">
        <w:rPr>
          <w:noProof/>
        </w:rPr>
        <w:t>(e.g., Hout and Rosen 2000, Keister and Moller 2000, Kim et al. 2006)</w:t>
      </w:r>
      <w:r w:rsidR="00303C2B" w:rsidRPr="001C3F7B">
        <w:fldChar w:fldCharType="end"/>
      </w:r>
      <w:r w:rsidRPr="00D25380">
        <w:t xml:space="preserve">. </w:t>
      </w:r>
      <w:r w:rsidR="000D42BA" w:rsidRPr="001C3F7B">
        <w:t>Indeed, e</w:t>
      </w:r>
      <w:r w:rsidR="00B73FDA" w:rsidRPr="001C3F7B">
        <w:t xml:space="preserve">ntrepreneurial outcomes show stark disparities across gender lines, including </w:t>
      </w:r>
      <w:r w:rsidR="00B1232D" w:rsidRPr="001C3F7B">
        <w:t xml:space="preserve">the act of </w:t>
      </w:r>
      <w:r w:rsidR="00B73FDA" w:rsidRPr="001C3F7B">
        <w:t>starting</w:t>
      </w:r>
      <w:r w:rsidR="00B1232D" w:rsidRPr="001C3F7B">
        <w:t xml:space="preserve"> and running</w:t>
      </w:r>
      <w:r w:rsidR="00B73FDA" w:rsidRPr="001C3F7B">
        <w:t xml:space="preserve"> a new venture</w:t>
      </w:r>
      <w:r w:rsidR="00303C2B" w:rsidRPr="001C3F7B">
        <w:t xml:space="preserve"> </w:t>
      </w:r>
      <w:r w:rsidR="00303C2B" w:rsidRPr="001C3F7B">
        <w:fldChar w:fldCharType="begin" w:fldLock="1"/>
      </w:r>
      <w:r w:rsidR="003175A8" w:rsidRPr="00D25380">
        <w:instrText>ADDIN CSL_CITATION {"citationItems":[{"id":"ITEM-1","itemData":{"author":[{"dropping-particle":"","family":"Kacperczyk","given":"Aleksandra “Olenka”","non-dropping-particle":"","parse-names":false,"suffix":""},{"dropping-particle":"","family":"Guzman","given":"Jorge","non-dropping-particle":"","parse-names":false,"suffix":""}],"container-title":"Research Policy","id":"ITEM-1","issue":"7","issued":{"date-parts":[["2019"]]},"page":"1666-1680","title":"Gender Gap in Entrepreneurship","type":"article-journal","volume":"48"},"uris":["http://www.mendeley.com/documents/?uuid=99c57b3a-08cc-40eb-95c5-12812006c7f3"]},{"id":"ITEM-2","itemData":{"DOI":"10.1177/0190272510377882","ISBN":"0190-2725\\r1939-8999","ISSN":"01902725","PMID":"65439382","abstract":"The gender gap in entrepreneurs hip has typically been understood through women's struc tural disadvantages in acquiring the resources relevant for successful business ownership. This study builds on resource-based approaches to investigate how cultural beliefs about gender influence the process by which individuals initially come to identify entrepreneurship as a viable labor-market on status characteristics option. Drawing theory, this study eval uates (1) how cultural beliefs about gender and entrepreneurship influence self-assessments of entrepreneurial ability, and (2) the extent to which such assessments account for the gen der gap in business start-ups. Results suggest that women are significantly less likely to per ceive themselves as able to be an entrepreneur and they hold themselves to a stricter standard of competence when compared to similarly situated men. This gender difference in self-assessments accounts for a significant portion of the gender gap in entrepreneurship after controlling for relevant resources. Additional reveal analyses that significant gender differences in self assessed ability persist among established business owners.","author":[{"dropping-particle":"","family":"Thébaud","given":"Sarah","non-dropping-particle":"","parse-names":false,"suffix":""}],"container-title":"Social Psychology Quarterly","id":"ITEM-2","issue":"3","issued":{"date-parts":[["2010"]]},"page":"288-304","title":"Gender and entrepreneurship as a career choice: Do self-assessments of ability matter?","type":"article-journal","volume":"73"},"uris":["http://www.mendeley.com/documents/?uuid=3deadab5-c255-4bb9-b81b-2f5db23ac1e5"]},{"id":"ITEM-3","itemData":{"DOI":"10.1177/0001839215591627","ISBN":"10.1177/0001839215591627","ISSN":"19303815","abstract":"This article develops and empirically evaluates an institutional theory of gender inequalities in business start-up, ownership, and growth orientation. I argue that in contexts in which institutional arrangements such as paid leave, subsidized childcare, and part-time employment opportunities mitigate work-family conflict, women are less likely to opt for business ownership as a fallback employment strategy. As a result, women in these contexts may be relatively less well represented among entrepreneurs as a whole but more well represented in growth-oriented forms of entrepreneurship. To evaluate this claim, I analyze survey data from 24 countries over the span of eight years. Multilevel analyses show that supportive work-family institutions are associated with larger gender gaps in the odds of early-stage and established business ownership but smaller gender gaps among business owners in terms of their business size, growth aspirations, and propensity to innovate or use new technology. Consistent with my theoretical argument, women business owners are also less likely to report pursuing entrepreneurship because they lacked attractive employment options in contexts in which supportive institutions are in place. Findings suggest that institutional contexts characterized by salient work-family conflict may fuel women's aggregate representation in business activity but reinforce their segregation into less growth-oriented (and thus lower-status) ventures.","author":[{"dropping-particle":"","family":"Thébaud","given":"Sarah","non-dropping-particle":"","parse-names":false,"suffix":""}],"container-title":"Administrative Science Quarterly","id":"ITEM-3","issue":"4","issued":{"date-parts":[["2015"]]},"page":"671-711","title":"Business as Plan B: Institutional Foundations of Gender Inequality in Entrepreneurship across 24 Industrialized Countries","type":"article-journal","volume":"60"},"uris":["http://www.mendeley.com/documents/?uuid=eed07914-95cd-4b9a-a266-053979be094f"]},{"id":"ITEM-4","itemData":{"DOI":"10.15195/v3.a1","ISBN":"2330-6696","ISSN":"23306696","abstract":"Prior work finds mixed evidence of gender bias in lenders’ willingness to approve loans to entrepreneurs during normal macroeconomic conditions. However, various theories predict that gender bias is more likely to manifest when there is greater uncertainty or when decision-makers’ choices are under greater scrutiny from others. Such conditions characterized the lending market in the recent economic downturn. This article draws on an analysis of panel data from the Kauffman Firm Survey to investigate how the Great Recession affected the gender gap in entrepreneurial access to financing, net of individual and firm-level characteristics. Consistent with predictions, we find that women-led firmswere significantly more likely than men-led firms to encounter difficulty in acquiring funding when small-business lending contracted in 2009 and 2010. We assess the consistency of our results with two different theories of bias or discrimination. Our findings shed light on mechanisms that may contribute to disadvantages for women entrepreneurs and, more broadly, highlight how the effects of ascribed status characteristics (e.g., gender) on economic decision-making may vary systematically with macroeconomic conditions.","author":[{"dropping-particle":"","family":"Thébaud","given":"Sarah","non-dropping-particle":"","parse-names":false,"suffix":""},{"dropping-particle":"","family":"Sharkey","given":"Amanda J.","non-dropping-particle":"","parse-names":false,"suffix":""}],"container-title":"Sociological Science","id":"ITEM-4","issue":"3","issued":{"date-parts":[["2016"]]},"page":"1-31","title":"Unequal hard times: The influence of the great recession on gender bias in entrepreneurial financing","type":"article-journal","volume":"1"},"uris":["http://www.mendeley.com/documents/?uuid=27438327-0fee-4a5e-885c-602dc3707732"]},{"id":"ITEM-5","itemData":{"DOI":"10.1177/0149206316685856","ISBN":"0149-2063","ISSN":"0149-2063","PMID":"19461597","abstract":"Drawing on role congruity theory, we examine whether and when women-led ventures are more likely to fail than men-led ventures. We investigate the relationship between the gender of the leading entrepreneur and business failure and three important moderators of this relationship: whether the leadership assignment is consistent with merit, whether the venture operates in a female-dominated industry, and whether the venture is operated by a spousal team. Drawing on a unique, nationally representative data set of entrepreneurial firms sampled from the U.S. population in 2005 and followed yearly until 2011, we demonstrate that female entrepreneurs' businesses are more likely to fail than those of their male counterparts. Regarding the moderating effects, our results show that female entrepreneurs' businesses are more likely to fail when their merit-based competence is inferior to that of their cofounders. However, in the same scenario, male entrepreneurs are still able to lead their businesses successfully. We also find that women entrepreneurs' disadvantages in leading new businesses are amplified in contexts that many have expected to be supportive of women, including in industries dominated by women and within spousal teams. Together, our results suggest that women's disadvantages in leading their businesses may be perpetuated by gender beliefs that discount women's leadership. Based on our findings, we discuss our contributions to theory and practice, and we offer implications for future research.","author":[{"dropping-particle":"","family":"Yang","given":"Tiantde","non-dropping-particle":"","parse-names":false,"suffix":""},{"dropping-particle":"","family":"Carmen Triana","given":"Maria","non-dropping-particle":"del","parse-names":false,"suffix":""}],"container-title":"Journal of Management","id":"ITEM-5","issued":{"date-parts":[["2017"]]},"title":"Set Up to Fail: Explaining When Women-Led Businesses Are More Likely to Fail","type":"article-journal"},"uris":["http://www.mendeley.com/documents/?uuid=48b0a834-c2b7-4e89-b015-c8f626b14a0c"]}],"mendeley":{"formattedCitation":"(Kacperczyk and Guzman, 2019; Thébaud, 2010, 2015; Thébaud and Sharkey, 2016; Yang and del Carmen Triana, 2017)","plainTextFormattedCitation":"(Kacperczyk and Guzman, 2019; Thébaud, 2010, 2015; Thébaud and Sharkey, 2016; Yang and del Carmen Triana, 2017)","previouslyFormattedCitation":"(Kacperczyk and Guzman, 2019; Thébaud, 2010, 2015; Thébaud and Sharkey, 2016; Yang and del Carmen Triana, 2017)"},"properties":{"noteIndex":0},"schema":"https://github.com/citation-style-language/schema/raw/master/csl-citation.json"}</w:instrText>
      </w:r>
      <w:r w:rsidR="00303C2B" w:rsidRPr="001C3F7B">
        <w:fldChar w:fldCharType="separate"/>
      </w:r>
      <w:r w:rsidR="003175A8" w:rsidRPr="001C3F7B">
        <w:rPr>
          <w:noProof/>
        </w:rPr>
        <w:t>(Kacperczyk and Guzman, 2019; Thébaud, 2010, 2015; Thébaud and Sharkey, 2016)</w:t>
      </w:r>
      <w:r w:rsidR="00303C2B" w:rsidRPr="001C3F7B">
        <w:fldChar w:fldCharType="end"/>
      </w:r>
      <w:r w:rsidR="00B73FDA" w:rsidRPr="00D25380">
        <w:t xml:space="preserve">. </w:t>
      </w:r>
      <w:r w:rsidR="000D42BA" w:rsidRPr="001C3F7B">
        <w:t>For example, f</w:t>
      </w:r>
      <w:r w:rsidR="00935589" w:rsidRPr="001C3F7B">
        <w:t>emale</w:t>
      </w:r>
      <w:r w:rsidR="00B1232D" w:rsidRPr="001C3F7B">
        <w:t xml:space="preserve">-founded ventures appear severely </w:t>
      </w:r>
      <w:r w:rsidRPr="00D25380">
        <w:t>underrepresented</w:t>
      </w:r>
      <w:r w:rsidR="00B1232D" w:rsidRPr="00D25380">
        <w:t xml:space="preserve"> amongst new </w:t>
      </w:r>
      <w:r w:rsidR="004F76B7" w:rsidRPr="00D25380">
        <w:t>startups</w:t>
      </w:r>
      <w:r w:rsidR="00935589" w:rsidRPr="00D25380">
        <w:t>,</w:t>
      </w:r>
      <w:r w:rsidR="004F76B7" w:rsidRPr="00D25380">
        <w:t xml:space="preserve"> </w:t>
      </w:r>
      <w:r w:rsidR="00B1232D" w:rsidRPr="00D25380">
        <w:t xml:space="preserve">and </w:t>
      </w:r>
      <w:r w:rsidR="00646199" w:rsidRPr="00D25380">
        <w:t xml:space="preserve">gender </w:t>
      </w:r>
      <w:r w:rsidR="00B73FDA" w:rsidRPr="00D25380">
        <w:t xml:space="preserve">disparities </w:t>
      </w:r>
      <w:r w:rsidR="00B1232D" w:rsidRPr="00D25380">
        <w:t xml:space="preserve">are </w:t>
      </w:r>
      <w:r w:rsidR="00B73FDA" w:rsidRPr="00D25380">
        <w:t xml:space="preserve">stronger </w:t>
      </w:r>
      <w:r w:rsidR="00B1232D" w:rsidRPr="00D25380">
        <w:t xml:space="preserve">among </w:t>
      </w:r>
      <w:r w:rsidR="004F76B7" w:rsidRPr="00D25380">
        <w:t xml:space="preserve">new firms with </w:t>
      </w:r>
      <w:r w:rsidR="00A77632" w:rsidRPr="00D25380">
        <w:t xml:space="preserve">a </w:t>
      </w:r>
      <w:r w:rsidR="004F76B7" w:rsidRPr="00D25380">
        <w:t>high-growth orientation</w:t>
      </w:r>
      <w:r w:rsidR="006A68C9" w:rsidRPr="00D25380">
        <w:t xml:space="preserve">. </w:t>
      </w:r>
      <w:r w:rsidR="00FE60A0" w:rsidRPr="00D25380">
        <w:t>Among companies</w:t>
      </w:r>
      <w:r w:rsidR="00B73FDA" w:rsidRPr="00D25380">
        <w:t xml:space="preserve"> registered in California and </w:t>
      </w:r>
      <w:r w:rsidRPr="00D25380">
        <w:t>Massachusetts</w:t>
      </w:r>
      <w:r w:rsidR="00B73FDA" w:rsidRPr="00D25380">
        <w:t xml:space="preserve">, only </w:t>
      </w:r>
      <w:r w:rsidR="000B3205">
        <w:t>twenty</w:t>
      </w:r>
      <w:r w:rsidR="00471758" w:rsidRPr="00D25380">
        <w:t xml:space="preserve"> </w:t>
      </w:r>
      <w:r w:rsidR="00B73FDA" w:rsidRPr="00D25380">
        <w:t>percent of all new startups are female-founded</w:t>
      </w:r>
      <w:r w:rsidR="00C77F40" w:rsidRPr="00D25380">
        <w:t>,</w:t>
      </w:r>
      <w:r w:rsidR="00B73FDA" w:rsidRPr="00D25380">
        <w:t xml:space="preserve"> and</w:t>
      </w:r>
      <w:r w:rsidR="00C77F40" w:rsidRPr="00D25380">
        <w:t xml:space="preserve"> </w:t>
      </w:r>
      <w:r w:rsidR="00B73FDA" w:rsidRPr="00D25380">
        <w:t xml:space="preserve">less than </w:t>
      </w:r>
      <w:r w:rsidR="004326DF">
        <w:t>ten</w:t>
      </w:r>
      <w:r w:rsidR="00DB061D" w:rsidRPr="00D25380">
        <w:t xml:space="preserve"> </w:t>
      </w:r>
      <w:r w:rsidR="00B73FDA" w:rsidRPr="00D25380">
        <w:t>percent of all startups are both female-founded and have a patent</w:t>
      </w:r>
      <w:r w:rsidR="00FE60A0" w:rsidRPr="00D25380">
        <w:t xml:space="preserve"> (Guzman and Kacperczyk, 201</w:t>
      </w:r>
      <w:r w:rsidR="00F274CE" w:rsidRPr="00D25380">
        <w:t>9</w:t>
      </w:r>
      <w:r w:rsidR="00FE60A0" w:rsidRPr="00D25380">
        <w:t>)</w:t>
      </w:r>
      <w:r w:rsidR="00B73FDA" w:rsidRPr="00D25380">
        <w:t>.</w:t>
      </w:r>
    </w:p>
    <w:p w14:paraId="587DA725" w14:textId="0AF02C9B" w:rsidR="003358FA" w:rsidRDefault="00143AEF" w:rsidP="00790C34">
      <w:pPr>
        <w:pStyle w:val="BodyTextIndent"/>
      </w:pPr>
      <w:r w:rsidRPr="00D25380">
        <w:t>These</w:t>
      </w:r>
      <w:r w:rsidR="00B73FDA" w:rsidRPr="00D25380">
        <w:t xml:space="preserve"> </w:t>
      </w:r>
      <w:r w:rsidR="00A52A04" w:rsidRPr="00D25380">
        <w:t xml:space="preserve">substantial </w:t>
      </w:r>
      <w:r w:rsidRPr="00D25380">
        <w:t>female disadvantage</w:t>
      </w:r>
      <w:r w:rsidR="00900315" w:rsidRPr="00D25380">
        <w:t>s</w:t>
      </w:r>
      <w:r w:rsidRPr="00D25380">
        <w:t xml:space="preserve"> in entrepreneurship reflect, in part,</w:t>
      </w:r>
      <w:r w:rsidR="00B73FDA" w:rsidRPr="00D25380">
        <w:t xml:space="preserve"> a “resource-access problem” – or </w:t>
      </w:r>
      <w:r w:rsidRPr="00D25380">
        <w:t>difficulties that women face in</w:t>
      </w:r>
      <w:r w:rsidR="00B73FDA" w:rsidRPr="00D25380">
        <w:t xml:space="preserve"> </w:t>
      </w:r>
      <w:r w:rsidRPr="00D25380">
        <w:t>mobilizing</w:t>
      </w:r>
      <w:r w:rsidR="00B73FDA" w:rsidRPr="00D25380">
        <w:t xml:space="preserve"> </w:t>
      </w:r>
      <w:r w:rsidR="00814321" w:rsidRPr="00D25380">
        <w:t xml:space="preserve">the </w:t>
      </w:r>
      <w:r w:rsidR="00B73FDA" w:rsidRPr="00D25380">
        <w:t xml:space="preserve">capital </w:t>
      </w:r>
      <w:r w:rsidR="00923778">
        <w:t>and</w:t>
      </w:r>
      <w:r w:rsidR="00B73FDA" w:rsidRPr="00D25380">
        <w:t xml:space="preserve"> time necessary to launch a new venture. </w:t>
      </w:r>
      <w:r w:rsidR="00354B9A">
        <w:t>W</w:t>
      </w:r>
      <w:r w:rsidR="00B73FDA" w:rsidRPr="00D25380">
        <w:t xml:space="preserve">hen entering entrepreneurship, women are subject to discrimination by key resource providers, including investors </w:t>
      </w:r>
      <w:r w:rsidR="00303C2B" w:rsidRPr="001C3F7B">
        <w:fldChar w:fldCharType="begin" w:fldLock="1"/>
      </w:r>
      <w:r w:rsidR="00096173" w:rsidRPr="00D25380">
        <w:instrText>ADDIN CSL_CITATION {"citationItems":[{"id":"ITEM-1","itemData":{"DOI":"10.1162/003465303772815835","ISBN":"0034-6535","ISSN":"00346535","abstract":"We use data from the 1993 and 1998 National Surveys of Small Business Finances to examine the existence of racial discrimination in the small-business credit market. We conduct an econometric analysis of loan outcomes by race and find that black-owned small businesses are about twice as likely to be denied credit even after controlling for differences in creditworthiness and other factors. A series of specification checks indicates that this gap is unlikely to be explained by omitted variable bias. These results indicate that the racial disparity in credit availability is likely caused by discrimination.","author":[{"dropping-particle":"","family":"Blanchflower","given":"David G.","non-dropping-particle":"","parse-names":false,"suffix":""},{"dropping-particle":"","family":"Levine","given":"Phillip B.","non-dropping-particle":"","parse-names":false,"suffix":""},{"dropping-particle":"","family":"Zimmerman","given":"David J.","non-dropping-particle":"","parse-names":false,"suffix":""}],"container-title":"Review of Economics and Statistics","id":"ITEM-1","issue":"4","issued":{"date-parts":[["2003"]]},"page":"930-943","title":"Discrimination in the small-business credit market","type":"article-journal","volume":"85"},"uris":["http://www.mendeley.com/documents/?uuid=417eaf2b-4144-42fa-863e-685052684970"]},{"id":"ITEM-2","itemData":{"DOI":"10.1016/S1053-4822(03)00021-4","ISBN":"1053-4822","ISSN":"10534822","PMID":"20984","abstract":"In this paper, we discuss the experiences that women and minorities encounter in organizational settings that result in frustration and discontent with corporate life and their opportunities for advancement. We suggest that such experiences push many of these individuals out of organizations, attracting them to entrepreneurship as an alternate route to both personal and professional success. Our discussion includes an examination of the issues that give rise to these experiences and a consideration of how entrepreneurship appears to provide a solution to them. It also identifies some of the potential pitfalls of entrepreneurship for women and minorities. In our concluding comments, we urge organizations to recognize the unique problems women and minorities face and the necessity of addressing these problems if they are to retain these potentially valuable members of the workforce. © 2003 Elsevier Science Inc. All rights reserved.","author":[{"dropping-particle":"","family":"Heilman","given":"Madeline E.","non-dropping-particle":"","parse-names":false,"suffix":""},{"dropping-particle":"","family":"Chen","given":"Julie J.","non-dropping-particle":"","parse-names":false,"suffix":""}],"container-title":"Human Resource Management Review","id":"ITEM-2","issue":"2","issued":{"date-parts":[["2003"]]},"page":"347-364","title":"Entrepreneurship as a solution: The allure of self-employment for women and minorities","type":"article-journal","volume":"13"},"uris":["http://www.mendeley.com/documents/?uuid=4dd09939-bedb-49e8-8715-8dea5c8904e7"]},{"id":"ITEM-3","itemData":{"DOI":"10.1177/0190272510377882","ISBN":"0190-2725\\r1939-8999","ISSN":"01902725","PMID":"65439382","abstract":"The gender gap in entrepreneurs hip has typically been understood through women's struc tural disadvantages in acquiring the resources relevant for successful business ownership. This study builds on resource-based approaches to investigate how cultural beliefs about gender influence the process by which individuals initially come to identify entrepreneurship as a viable labor-market on status characteristics option. Drawing theory, this study eval uates (1) how cultural beliefs about gender and entrepreneurship influence self-assessments of entrepreneurial ability, and (2) the extent to which such assessments account for the gen der gap in business start-ups. Results suggest that women are significantly less likely to per ceive themselves as able to be an entrepreneur and they hold themselves to a stricter standard of competence when compared to similarly situated men. This gender difference in self-assessments accounts for a significant portion of the gender gap in entrepreneurship after controlling for relevant resources. Additional reveal analyses that significant gender differences in self assessed ability persist among established business owners.","author":[{"dropping-particle":"","family":"Thébaud","given":"Sarah","non-dropping-particle":"","parse-names":false,"suffix":""}],"container-title":"Social Psychology Quarterly","id":"ITEM-3","issue":"3","issued":{"date-parts":[["2010"]]},"page":"288-304","title":"Gender and entrepreneurship as a career choice: Do self-assessments of ability matter?","type":"article-journal","volume":"73"},"uris":["http://www.mendeley.com/documents/?uuid=3deadab5-c255-4bb9-b81b-2f5db23ac1e5"]},{"id":"ITEM-4","itemData":{"DOI":"10.1177/0001839215591627","ISBN":"10.1177/0001839215591627","ISSN":"19303815","abstract":"This article develops and empirically evaluates an institutional theory of gender inequalities in business start-up, ownership, and growth orientation. I argue that in contexts in which institutional arrangements such as paid leave, subsidized childcare, and part-time employment opportunities mitigate work-family conflict, women are less likely to opt for business ownership as a fallback employment strategy. As a result, women in these contexts may be relatively less well represented among entrepreneurs as a whole but more well represented in growth-oriented forms of entrepreneurship. To evaluate this claim, I analyze survey data from 24 countries over the span of eight years. Multilevel analyses show that supportive work-family institutions are associated with larger gender gaps in the odds of early-stage and established business ownership but smaller gender gaps among business owners in terms of their business size, growth aspirations, and propensity to innovate or use new technology. Consistent with my theoretical argument, women business owners are also less likely to report pursuing entrepreneurship because they lacked attractive employment options in contexts in which supportive institutions are in place. Findings suggest that institutional contexts characterized by salient work-family conflict may fuel women's aggregate representation in business activity but reinforce their segregation into less growth-oriented (and thus lower-status) ventures.","author":[{"dropping-particle":"","family":"Thébaud","given":"Sarah","non-dropping-particle":"","parse-names":false,"suffix":""}],"container-title":"Administrative Science Quarterly","id":"ITEM-4","issue":"4","issued":{"date-parts":[["2015"]]},"page":"671-711","title":"Business as Plan B: Institutional Foundations of Gender Inequality in Entrepreneurship across 24 Industrialized Countries","type":"article-journal","volume":"60"},"uris":["http://www.mendeley.com/documents/?uuid=eed07914-95cd-4b9a-a266-053979be094f"]},{"id":"ITEM-5","itemData":{"DOI":"10.15195/v3.a1","ISBN":"2330-6696","ISSN":"23306696","abstract":"Prior work finds mixed evidence of gender bias in lenders’ willingness to approve loans to entrepreneurs during normal macroeconomic conditions. However, various theories predict that gender bias is more likely to manifest when there is greater uncertainty or when decision-makers’ choices are under greater scrutiny from others. Such conditions characterized the lending market in the recent economic downturn. This article draws on an analysis of panel data from the Kauffman Firm Survey to investigate how the Great Recession affected the gender gap in entrepreneurial access to financing, net of individual and firm-level characteristics. Consistent with predictions, we find that women-led firmswere significantly more likely than men-led firms to encounter difficulty in acquiring funding when small-business lending contracted in 2009 and 2010. We assess the consistency of our results with two different theories of bias or discrimination. Our findings shed light on mechanisms that may contribute to disadvantages for women entrepreneurs and, more broadly, highlight how the effects of ascribed status characteristics (e.g., gender) on economic decision-making may vary systematically with macroeconomic conditions.","author":[{"dropping-particle":"","family":"Thébaud","given":"Sarah","non-dropping-particle":"","parse-names":false,"suffix":""},{"dropping-particle":"","family":"Sharkey","given":"Amanda J.","non-dropping-particle":"","parse-names":false,"suffix":""}],"container-title":"Sociological Science","id":"ITEM-5","issue":"3","issued":{"date-parts":[["2016"]]},"page":"1-31","title":"Unequal hard times: The influence of the great recession on gender bias in entrepreneurial financing","type":"article-journal","volume":"1"},"uris":["http://www.mendeley.com/documents/?uuid=27438327-0fee-4a5e-885c-602dc3707732"]}],"mendeley":{"formattedCitation":"(Blanchflower, Levine, and Zimmerman, 2003; Heilman and Chen, 2003; Thébaud, 2010, 2015; Thébaud and Sharkey, 2016)","plainTextFormattedCitation":"(Blanchflower, Levine, and Zimmerman, 2003; Heilman and Chen, 2003; Thébaud, 2010, 2015; Thébaud and Sharkey, 2016)","previouslyFormattedCitation":"(Blanchflower, Levine, and Zimmerman, 2003; Heilman and Chen, 2003; Thébaud, 2010, 2015; Thébaud and Sharkey, 2016)"},"properties":{"noteIndex":0},"schema":"https://github.com/citation-style-language/schema/raw/master/csl-citation.json"}</w:instrText>
      </w:r>
      <w:r w:rsidR="00303C2B" w:rsidRPr="001C3F7B">
        <w:fldChar w:fldCharType="separate"/>
      </w:r>
      <w:r w:rsidR="00121392" w:rsidRPr="001C3F7B">
        <w:rPr>
          <w:noProof/>
        </w:rPr>
        <w:t>(Blanchflower, Levine, and Zimmerman, 2003; Heilman and Chen, 2003; Thébaud, 2010, 2015</w:t>
      </w:r>
      <w:r w:rsidR="00354B9A">
        <w:rPr>
          <w:noProof/>
        </w:rPr>
        <w:t>)</w:t>
      </w:r>
      <w:r w:rsidR="00303C2B" w:rsidRPr="001C3F7B">
        <w:fldChar w:fldCharType="end"/>
      </w:r>
      <w:r w:rsidR="00B73FDA" w:rsidRPr="00D25380">
        <w:t>, consumers</w:t>
      </w:r>
      <w:r w:rsidR="00303C2B" w:rsidRPr="001C3F7B">
        <w:t xml:space="preserve"> </w:t>
      </w:r>
      <w:r w:rsidR="00303C2B" w:rsidRPr="001C3F7B">
        <w:fldChar w:fldCharType="begin" w:fldLock="1"/>
      </w:r>
      <w:r w:rsidR="00B70018" w:rsidRPr="00D25380">
        <w:instrText>ADDIN CSL_CITATION {"citationItems":[{"id":"ITEM-1","itemData":{"ISBN":"0065-0668","author":[{"dropping-particle":"","family":"Younkin","given":"Peter","non-dropping-particle":"","parse-names":false,"suffix":""},{"dropping-particle":"","family":"Kuppuswamy","given":"Venkat","non-dropping-particle":"","parse-names":false,"suffix":""}],"container-title":"Academy of Management Proceedings","id":"ITEM-1","issue":"1","issued":{"date-parts":[["2017"]]},"page":"12601","title":"Paying for Mirrors or Windows? Consumer Discrimination and Hollywood Films","type":"paper-conference","volume":"2017"},"uris":["http://www.mendeley.com/documents/?uuid=001453f6-3fb1-47cf-987d-56ef5d3d15b0"]},{"id":"ITEM-2","itemData":{"ISSN":"0883-9026","author":[{"dropping-particle":"","family":"Younkin","given":"Peter","non-dropping-particle":"","parse-names":false,"suffix":""},{"dropping-particle":"","family":"Kuppuswamy","given":"Venkat","non-dropping-particle":"","parse-names":false,"suffix":""}],"container-title":"Journal of Business Venturing","id":"ITEM-2","issued":{"date-parts":[["0"]]},"title":"Discounted: The effect of founder race on the price of new products","type":"article-journal"},"uris":["http://www.mendeley.com/documents/?uuid=447bdd3d-b395-46eb-aa98-800342bcf92b"]},{"id":"ITEM-3","itemData":{"ISSN":"0936-9937","author":[{"dropping-particle":"","family":"Coyne","given":"Christopher J","non-dropping-particle":"","parse-names":false,"suffix":""},{"dropping-particle":"","family":"Isaacs","given":"Justin P","non-dropping-particle":"","parse-names":false,"suffix":""},{"dropping-particle":"","family":"Schwartz","given":"Jeremy T","non-dropping-particle":"","parse-names":false,"suffix":""}],"container-title":"Journal of Evolutionary Economics","id":"ITEM-3","issue":"4","issued":{"date-parts":[["2010"]]},"page":"609-627","publisher":"Springer","title":"Entrepreneurship and the taste for discrimination","type":"article-journal","volume":"20"},"uris":["http://www.mendeley.com/documents/?uuid=d7ee366a-0253-4473-a7e4-d5d79ff17753"]}],"mendeley":{"formattedCitation":"(Coyne, Isaacs, and Schwartz, 2010; Younkin and Kuppuswamy, n.d., 2017)","plainTextFormattedCitation":"(Coyne, Isaacs, and Schwartz, 2010; Younkin and Kuppuswamy, n.d., 2017)","previouslyFormattedCitation":"(Coyne, Isaacs, and Schwartz, 2010; Younkin and Kuppuswamy, n.d., 2017)"},"properties":{"noteIndex":0},"schema":"https://github.com/citation-style-language/schema/raw/master/csl-citation.json"}</w:instrText>
      </w:r>
      <w:r w:rsidR="00303C2B" w:rsidRPr="001C3F7B">
        <w:fldChar w:fldCharType="separate"/>
      </w:r>
      <w:r w:rsidR="002C270A" w:rsidRPr="001C3F7B">
        <w:rPr>
          <w:noProof/>
        </w:rPr>
        <w:t>(Coyne, Isaacs, and Schwartz, 2010; Younkin and Kuppuswamy, n.d., 2017)</w:t>
      </w:r>
      <w:r w:rsidR="00303C2B" w:rsidRPr="001C3F7B">
        <w:fldChar w:fldCharType="end"/>
      </w:r>
      <w:r w:rsidR="00B73FDA" w:rsidRPr="00D25380">
        <w:t xml:space="preserve">, </w:t>
      </w:r>
      <w:r w:rsidR="00B06251" w:rsidRPr="001C3F7B">
        <w:t xml:space="preserve">and </w:t>
      </w:r>
      <w:r w:rsidR="00B73FDA" w:rsidRPr="001C3F7B">
        <w:t>employees (Kacperczyk et al.</w:t>
      </w:r>
      <w:r w:rsidR="00494947" w:rsidRPr="001C3F7B">
        <w:t>,</w:t>
      </w:r>
      <w:r w:rsidR="00B73FDA" w:rsidRPr="001C3F7B">
        <w:t xml:space="preserve"> 2018). Investors</w:t>
      </w:r>
      <w:r w:rsidRPr="001C3F7B">
        <w:t>, in particular,</w:t>
      </w:r>
      <w:r w:rsidR="00B73FDA" w:rsidRPr="001C3F7B">
        <w:t xml:space="preserve"> hold an “evaluative bias</w:t>
      </w:r>
      <w:r w:rsidR="00844F57" w:rsidRPr="001C3F7B">
        <w:t>,</w:t>
      </w:r>
      <w:r w:rsidR="00B73FDA" w:rsidRPr="001C3F7B">
        <w:t>” and their assessments of female entrepreneurs are infused with persistent stereotypes and deep cultural biases against historically</w:t>
      </w:r>
      <w:r w:rsidR="00A33C08" w:rsidRPr="001C3F7B">
        <w:t xml:space="preserve"> </w:t>
      </w:r>
      <w:r w:rsidR="00B73FDA" w:rsidRPr="001E5729">
        <w:t>di</w:t>
      </w:r>
      <w:r w:rsidR="00B73FDA" w:rsidRPr="00D21BB5">
        <w:t>sadvantaged individuals</w:t>
      </w:r>
      <w:r w:rsidR="006A4D89" w:rsidRPr="00D21BB5">
        <w:t xml:space="preserve"> </w:t>
      </w:r>
      <w:r w:rsidR="006A4D89" w:rsidRPr="001C3F7B">
        <w:fldChar w:fldCharType="begin" w:fldLock="1"/>
      </w:r>
      <w:r w:rsidR="00770C78" w:rsidRPr="00D25380">
        <w:instrText>ADDIN CSL_CITATION {"citationItems":[{"id":"ITEM-1","itemData":{"DOI":"10.1177/0001839215597270","ISBN":"0001839215597","ISSN":"19303815","PMID":"25246403","abstract":"Using an inductive theory-development study, a field experiment, and a longitu- dinal field test, we examine early-stage entrepreneurial investment decision making under conditions of extreme uncertainty. Building on existing literature on decision making and risk in organizations, intuition, and theories of entrepre- neurial financing, we test the effectiveness of angel investors’ criteria for mak- ing investment decisions. We found that angel investors’ decisions have several characteristics that have not been adequately captured in existing the- ory: angel investors have clear objectives—risking small stakes to find extraor- dinarily profitable investments, fully expecting to lose their entire investment in most cases—and they rely on a combination of expertise-based intuition and formal analysis in which intuition trumps analysis, contrary to reports in other investment contexts. We also found that their reported emphasis on assess- ments of the entrepreneur accurately predicts extraordinarily profitable venture success four years later. We develop this theory by examining situations in which uncertainty is so extreme that it qualifies as unknowable, using the term ‘‘gut feel’’ to describe their dynamic emotion-cognitions in which they blend analysis and intuition in ways that do not impair intuitive processes and that effectively predict extraordinarily profitable investments.","author":[{"dropping-particle":"","family":"Huang","given":"Laura","non-dropping-particle":"","parse-names":false,"suffix":""},{"dropping-particle":"","family":"Pearce","given":"Jone L.","non-dropping-particle":"","parse-names":false,"suffix":""}],"container-title":"Administrative Science Quarterly","id":"ITEM-1","issue":"4","issued":{"date-parts":[["2015"]]},"page":"634-670","title":"Managing the Unknowable: The Effectiveness of Early-stage Investor Gut Feel in Entrepreneurial Investment Decisions","type":"article-journal","volume":"60"},"uris":["http://www.mendeley.com/documents/?uuid=3401f5e0-e01e-4699-8a86-8cd7700ab959"]},{"id":"ITEM-2","itemData":{"DOI":"10.5465/amj.2016.1215","ISBN":"0001-4273","ISSN":"00014273","abstract":"Male entrepreneurs are known to raise higher levels of funding than their female counterparts, but the underlying mechanism for this funding disparity remains contested. Drawing upon regulatory focus theory, we propose that the gap originates with a gender bias in the questions that investors pose to entrepreneurs. A field study conducted on question-and-answer interactions at TechCrunch Disrupt New York City during 2010 through 2016 reveals that investors tend to ask male entrepreneurs promotion-focused questions and female entrepreneurs prevention-focused questions, and that entrepreneurs tend to respond with matching regulatory focus. This distinction in the regulatory focus of investor questions and entrepreneur responses results in divergent funding outcomes for entrepreneurs whereby those asked promotion-focused questions raise significantly higher amounts of funding than those asked prevention-focused questions. We demonstrate that every additional prevention-focused question significantly hinders the entrepreneur's ability to raise capital, fully mediating gender's effect on funding. By experimentally testing an intervention, we find that entrepreneurs can significantly increase funding for their startups when responding to prevention-focused questions with promotion-focused answers. As we offer evidence regarding tactics that can be employed to diminish the gender disadvantage in funding outcomes, this study has practical as well as theoretical implications for entrepreneurship.","author":[{"dropping-particle":"","family":"Kanze","given":"Dana","non-dropping-particle":"","parse-names":false,"suffix":""},{"dropping-particle":"","family":"Huang","given":"Laura","non-dropping-particle":"","parse-names":false,"suffix":""},{"dropping-particle":"","family":"Conley","given":"Mark A.","non-dropping-particle":"","parse-names":false,"suffix":""},{"dropping-particle":"","family":"Tory Higgins","given":"E.","non-dropping-particle":"","parse-names":false,"suffix":""}],"container-title":"Academy of Management Journal","id":"ITEM-2","issue":"2","issued":{"date-parts":[["2018"]]},"page":"586-614","title":"We ask men to win and women not to lose: Closing the gender gap in startup funding","type":"article-journal","volume":"61"},"uris":["http://www.mendeley.com/documents/?uuid=03b6b240-9987-45ef-8326-efffa67218a4"]}],"mendeley":{"formattedCitation":"(Huang and Pearce, 2015; Kanze &lt;i&gt;et al.&lt;/i&gt;, 2018)","plainTextFormattedCitation":"(Huang and Pearce, 2015; Kanze et al., 2018)","previouslyFormattedCitation":"(Huang and Pearce, 2015; Kanze &lt;i&gt;et al.&lt;/i&gt;, 2018)"},"properties":{"noteIndex":0},"schema":"https://github.com/citation-style-language/schema/raw/master/csl-citation.json"}</w:instrText>
      </w:r>
      <w:r w:rsidR="006A4D89" w:rsidRPr="001C3F7B">
        <w:fldChar w:fldCharType="separate"/>
      </w:r>
      <w:r w:rsidR="00121392" w:rsidRPr="001C3F7B">
        <w:rPr>
          <w:noProof/>
        </w:rPr>
        <w:t xml:space="preserve">(Huang and Pearce, 2015; Kanze </w:t>
      </w:r>
      <w:r w:rsidR="00121392" w:rsidRPr="001C3F7B">
        <w:rPr>
          <w:i/>
          <w:noProof/>
        </w:rPr>
        <w:t>et al.</w:t>
      </w:r>
      <w:r w:rsidR="00121392" w:rsidRPr="001C3F7B">
        <w:rPr>
          <w:noProof/>
        </w:rPr>
        <w:t>, 2018)</w:t>
      </w:r>
      <w:r w:rsidR="006A4D89" w:rsidRPr="001C3F7B">
        <w:fldChar w:fldCharType="end"/>
      </w:r>
      <w:r w:rsidR="00B73FDA" w:rsidRPr="00D25380">
        <w:t>. Accordingly, wome</w:t>
      </w:r>
      <w:r w:rsidR="00B73FDA" w:rsidRPr="001C3F7B">
        <w:t>n are considered less qualified and less competent entrepreneurs</w:t>
      </w:r>
      <w:r w:rsidR="005B797C" w:rsidRPr="001C3F7B">
        <w:t xml:space="preserve"> </w:t>
      </w:r>
      <w:r w:rsidR="005B797C" w:rsidRPr="001C3F7B">
        <w:fldChar w:fldCharType="begin" w:fldLock="1"/>
      </w:r>
      <w:r w:rsidR="00096173" w:rsidRPr="00D25380">
        <w:instrText>ADDIN CSL_CITATION {"citationItems":[{"id":"ITEM-1","itemData":{"DOI":"10.1177/0149206312441624","ISBN":"0149-2063","ISSN":"15571211","PMID":"74582645","abstract":"Given that women executives are present in the top management teams of IPO firms in increasing numbers, the lack of female-led IPO firms is a curious fact, especially since women-owned private businesses represent almost half of the new businesses formed in the United States, with patterns of founding similar to male-owned businesses. It hints at a potentially larger problem – a gender-based capital gap for new ventures. Given the empirical evidence suggesting a positive association between the presence of female executives and firm performance, we test whether investor perceptions are aligned with these empirical patterns. Using a sample of MBA students we construct a simulated initial public offering (IPO) manipulating the gender demographics of the top management team. Our results suggest that female CEOs may be disproportionately disadvantaged in their ability to attract growth capital when all other factors are controlled. Despite identical personal qualifications and firm financials, firms led by females were seen as having a poorer strategic position than those led by males, female Founder/CEOs were perceived as less capable then their male counterparts, and IPOs led by female Founder/CEOs were considered less attractive investments.","author":[{"dropping-particle":"","family":"Bigelow","given":"Lyda","non-dropping-particle":"","parse-names":false,"suffix":""},{"dropping-particle":"","family":"Lundmark","given":"Leif","non-dropping-particle":"","parse-names":false,"suffix":""},{"dropping-particle":"","family":"McLean Parks","given":"Judi","non-dropping-particle":"","parse-names":false,"suffix":""},{"dropping-particle":"","family":"Wuebker","given":"Robert","non-dropping-particle":"","parse-names":false,"suffix":""}],"container-title":"Journal of Management","id":"ITEM-1","issue":"6","issued":{"date-parts":[["2014"]]},"page":"1732-1759","title":"Skirting the Issues: Experimental Evidence of Gender Bias in IPO Prospectus Evaluations","type":"article-journal","volume":"40"},"uris":["http://www.mendeley.com/documents/?uuid=4a825de9-3db5-4e5b-95e0-5ba92936e738"]},{"id":"ITEM-2","itemData":{"DOI":"10.1073/pnas.1321202111","ISBN":"1091-6490 (Electronic)\\n0027-8424 (Linking)","ISSN":"0027-8424","PMID":"24616491","abstract":"Entrepreneurship is a central path to job creation, economic growth, and prosperity. In the earliest stages of start-up business creation, the matching of entrepreneurial ventures to investors is critically important. The entrepreneur's business proposition and previous experience are regarded as the main criteria for investment decisions. Our research, however, documents other critical criteria that investors use to make these decisions: the gender and physical attractiveness of the entrepreneurs themselves. Across a field setting (three entrepreneurial pitch competitions in the United States) and two experiments, we identify a profound and consistent gender gap in entrepreneur persuasiveness. Investors prefer pitches presented by male entrepreneurs compared with pitches made by female entrepreneurs, even when the content of the pitch is the same. This effect is moderated by male physical attractiveness: attractive males were particularly persuasive, whereas physical attractiveness did not matter among female entrepreneurs.","author":[{"dropping-particle":"","family":"Brooks","given":"A. W.","non-dropping-particle":"","parse-names":false,"suffix":""},{"dropping-particle":"","family":"Huang","given":"L.","non-dropping-particle":"","parse-names":false,"suffix":""},{"dropping-particle":"","family":"Kearney","given":"S. W.","non-dropping-particle":"","parse-names":false,"suffix":""},{"dropping-particle":"","family":"Murray","given":"F. E.","non-dropping-particle":"","parse-names":false,"suffix":""}],"container-title":"Proceedings of the National Academy of Sciences","id":"ITEM-2","issue":"12","issued":{"date-parts":[["2014"]]},"page":"4427-4431","title":"Investors prefer entrepreneurial ventures pitched by attractive men","type":"article-journal","volume":"111"},"uris":["http://www.mendeley.com/documents/?uuid=3923e5bd-181f-4c7a-8dcf-36fe33b5b8ae"]},{"id":"ITEM-3","itemData":{"DOI":"10.1016/0883-9026(89)90015-3","ISBN":"08839026","ISSN":"08839026","abstract":"Women have been leaving large corporations in increasing numbers in recent years to start their own businesses. However, they have not been succeeding at the same rate as their male counterparts. One potential barrier to a successful new venture is access to startup capital. Anecdotal evidence suggests that women starting their own businesses may have more difficulty obtaining financial support than men. In a loan decision simulation, this study systematically tested the allegations of female entrepreneurs that bank loan officers are more likely to grant loans, to make a counteroffer, and to make larger counteroffers to male entrepreneurs compared to female entrepreneurs under identical circumstances. Loan officers usually make funding decisions on the basis of information gathered from an interview and a business plan, while venture capitalists often screen proposals on the basis of a business plan alone. A second purpose of this study was to determine whether the mode of presentation-business plan versus business plan with interview-increased the male or female entrepreneur's probability of successfully obtaining a loan. A third purpose of this study was to examine the effects of the decision maker's previous experience on funding decisions. The recommendations of (experienced) loan officers versus (inexperienced) undergraduate students were compared in order to determine how experience and accountability influence loan decisions. The study consisted of a 2 × 2 × 2 research design with three independent variables. Loan officers and undergraduate students either read a business plan, or read a business plan and watched a videotape of an interview between a loan officer and a male or female entrepreneur who was seeking a loan to start a business. Participants then indicated the likelihood that they would recommend approval of the loan, make a counteroffer of a smaller amount and the magnitude of the counteroffer. There was no evidence that sex stereotypes influenced business funding decisions. With respect to the amount of counteroffer, a significant three-way interaction was obtained between entrepreneurial gender, presentation format, and participant status. Loan officers made larger counteroffers to the female compared to the male when they read the business plan and watched the interview. Students made larger counteroffers to the male compared to the female when they read the business plan and observed the interview. Loan officers were significantly…","author":[{"dropping-particle":"","family":"Buttner","given":"E. Holly","non-dropping-particle":"","parse-names":false,"suffix":""},{"dropping-particle":"","family":"Rosen","given":"Benson","non-dropping-particle":"","parse-names":false,"suffix":""}],"container-title":"Journal of Business Venturing","id":"ITEM-3","issue":"4","issued":{"date-parts":[["1989"]]},"page":"249-261","title":"Funding new business ventures: Are decision makers biased against women entrepreneurs?","type":"article-journal","volume":"4"},"uris":["http://www.mendeley.com/documents/?uuid=e3b92550-8af0-4fa7-868c-d041ea4f416c"]},{"id":"ITEM-4","itemData":{"DOI":"10.1177/0001839215591627","ISBN":"10.1177/0001839215591627","ISSN":"19303815","abstract":"This article develops and empirically evaluates an institutional theory of gender inequalities in business start-up, ownership, and growth orientation. I argue that in contexts in which institutional arrangements such as paid leave, subsidized childcare, and part-time employment opportunities mitigate work-family conflict, women are less likely to opt for business ownership as a fallback employment strategy. As a result, women in these contexts may be relatively less well represented among entrepreneurs as a whole but more well represented in growth-oriented forms of entrepreneurship. To evaluate this claim, I analyze survey data from 24 countries over the span of eight years. Multilevel analyses show that supportive work-family institutions are associated with larger gender gaps in the odds of early-stage and established business ownership but smaller gender gaps among business owners in terms of their business size, growth aspirations, and propensity to innovate or use new technology. Consistent with my theoretical argument, women business owners are also less likely to report pursuing entrepreneurship because they lacked attractive employment options in contexts in which supportive institutions are in place. Findings suggest that institutional contexts characterized by salient work-family conflict may fuel women's aggregate representation in business activity but reinforce their segregation into less growth-oriented (and thus lower-status) ventures.","author":[{"dropping-particle":"","family":"Thébaud","given":"Sarah","non-dropping-particle":"","parse-names":false,"suffix":""}],"container-title":"Administrative Science Quarterly","id":"ITEM-4","issue":"4","issued":{"date-parts":[["2015"]]},"page":"671-711","title":"Business as Plan B: Institutional Foundations of Gender Inequality in Entrepreneurship across 24 Industrialized Countries","type":"article-journal","volume":"60"},"uris":["http://www.mendeley.com/documents/?uuid=eed07914-95cd-4b9a-a266-053979be094f"]}],"mendeley":{"formattedCitation":"(Bigelow &lt;i&gt;et al.&lt;/i&gt;, 2014; Brooks &lt;i&gt;et al.&lt;/i&gt;, 2014; Buttner and Rosen, 1989; Thébaud, 2015)","plainTextFormattedCitation":"(Bigelow et al., 2014; Brooks et al., 2014; Buttner and Rosen, 1989; Thébaud, 2015)","previouslyFormattedCitation":"(Bigelow &lt;i&gt;et al.&lt;/i&gt;, 2014; Brooks &lt;i&gt;et al.&lt;/i&gt;, 2014; Buttner and Rosen, 1989; Thébaud, 2015)"},"properties":{"noteIndex":0},"schema":"https://github.com/citation-style-language/schema/raw/master/csl-citation.json"}</w:instrText>
      </w:r>
      <w:r w:rsidR="005B797C" w:rsidRPr="001C3F7B">
        <w:fldChar w:fldCharType="separate"/>
      </w:r>
      <w:r w:rsidR="00121392" w:rsidRPr="001C3F7B">
        <w:rPr>
          <w:noProof/>
        </w:rPr>
        <w:t xml:space="preserve">(Bigelow </w:t>
      </w:r>
      <w:r w:rsidR="00121392" w:rsidRPr="001C3F7B">
        <w:rPr>
          <w:i/>
          <w:noProof/>
        </w:rPr>
        <w:t>et al.</w:t>
      </w:r>
      <w:r w:rsidR="00121392" w:rsidRPr="001C3F7B">
        <w:rPr>
          <w:noProof/>
        </w:rPr>
        <w:t xml:space="preserve">, 2014; Brooks </w:t>
      </w:r>
      <w:r w:rsidR="00121392" w:rsidRPr="001C3F7B">
        <w:rPr>
          <w:i/>
          <w:noProof/>
        </w:rPr>
        <w:t>et al.</w:t>
      </w:r>
      <w:r w:rsidR="00121392" w:rsidRPr="001C3F7B">
        <w:rPr>
          <w:noProof/>
        </w:rPr>
        <w:t>, 2014; Thébaud, 2015)</w:t>
      </w:r>
      <w:r w:rsidR="005B797C" w:rsidRPr="001C3F7B">
        <w:fldChar w:fldCharType="end"/>
      </w:r>
      <w:r w:rsidR="00B73FDA" w:rsidRPr="00D25380">
        <w:t xml:space="preserve">, and such inferences about their “fitness” </w:t>
      </w:r>
      <w:r w:rsidR="003B6FFC" w:rsidRPr="001C3F7B">
        <w:t xml:space="preserve">with </w:t>
      </w:r>
      <w:r w:rsidR="00B73FDA" w:rsidRPr="001C3F7B">
        <w:t>entrepreneurial domains tend to reduce investors’ willingness to fund female-founded ventures</w:t>
      </w:r>
      <w:r w:rsidR="005B797C" w:rsidRPr="001C3F7B">
        <w:t xml:space="preserve"> </w:t>
      </w:r>
      <w:r w:rsidR="005B797C" w:rsidRPr="00D25380">
        <w:fldChar w:fldCharType="begin" w:fldLock="1"/>
      </w:r>
      <w:r w:rsidR="00A871B2" w:rsidRPr="00D25380">
        <w:instrText>ADDIN CSL_CITATION {"citationItems":[{"id":"ITEM-1","itemData":{"DOI":"10.1162/003465303772815835","ISBN":"0034-6535","ISSN":"00346535","abstract":"We use data from the 1993 and 1998 National Surveys of Small Business Finances to examine the existence of racial discrimination in the small-business credit market. We conduct an econometric analysis of loan outcomes by race and find that black-owned small businesses are about twice as likely to be denied credit even after controlling for differences in creditworthiness and other factors. A series of specification checks indicates that this gap is unlikely to be explained by omitted variable bias. These results indicate that the racial disparity in credit availability is likely caused by discrimination.","author":[{"dropping-particle":"","family":"Blanchflower","given":"David G.","non-dropping-particle":"","parse-names":false,"suffix":""},{"dropping-particle":"","family":"Levine","given":"Phillip B.","non-dropping-particle":"","parse-names":false,"suffix":""},{"dropping-particle":"","family":"Zimmerman","given":"David J.","non-dropping-particle":"","parse-names":false,"suffix":""}],"container-title":"Review of Economics and Statistics","id":"ITEM-1","issue":"4","issued":{"date-parts":[["2003"]]},"page":"930-943","title":"Discrimination in the small-business credit market","type":"article-journal","volume":"85"},"uris":["http://www.mendeley.com/documents/?uuid=417eaf2b-4144-42fa-863e-685052684970"]}],"mendeley":{"formattedCitation":"(Blanchflower &lt;i&gt;et al.&lt;/i&gt;, 2003)","plainTextFormattedCitation":"(Blanchflower et al., 2003)","previouslyFormattedCitation":"(Blanchflower &lt;i&gt;et al.&lt;/i&gt;, 2003)"},"properties":{"noteIndex":0},"schema":"https://github.com/citation-style-language/schema/raw/master/csl-citation.json"}</w:instrText>
      </w:r>
      <w:r w:rsidR="005B797C" w:rsidRPr="00D25380">
        <w:fldChar w:fldCharType="separate"/>
      </w:r>
      <w:r w:rsidR="00121392" w:rsidRPr="001C3F7B">
        <w:rPr>
          <w:noProof/>
        </w:rPr>
        <w:t xml:space="preserve">(Blanchflower </w:t>
      </w:r>
      <w:r w:rsidR="00121392" w:rsidRPr="001C3F7B">
        <w:rPr>
          <w:i/>
          <w:noProof/>
        </w:rPr>
        <w:t>et al.</w:t>
      </w:r>
      <w:r w:rsidR="00121392" w:rsidRPr="001C3F7B">
        <w:rPr>
          <w:noProof/>
        </w:rPr>
        <w:t>, 2003)</w:t>
      </w:r>
      <w:r w:rsidR="005B797C" w:rsidRPr="00D25380">
        <w:fldChar w:fldCharType="end"/>
      </w:r>
      <w:r w:rsidR="00B73FDA" w:rsidRPr="00D25380">
        <w:t xml:space="preserve">. </w:t>
      </w:r>
      <w:r w:rsidR="00A77632" w:rsidRPr="00D25380">
        <w:t>For example, t</w:t>
      </w:r>
      <w:r w:rsidR="008F63A7" w:rsidRPr="00D25380">
        <w:t xml:space="preserve">he </w:t>
      </w:r>
      <w:r w:rsidR="00B73FDA" w:rsidRPr="00D25380">
        <w:t>odds of receiving credit from suppliers</w:t>
      </w:r>
      <w:r w:rsidR="002E02A2" w:rsidRPr="00D25380">
        <w:t xml:space="preserve"> </w:t>
      </w:r>
      <w:r w:rsidR="002E02A2" w:rsidRPr="00D25380">
        <w:fldChar w:fldCharType="begin" w:fldLock="1"/>
      </w:r>
      <w:r w:rsidR="006D1C0E" w:rsidRPr="00D25380">
        <w:instrText>ADDIN CSL_CITATION {"citationItems":[{"id":"ITEM-1","itemData":{"DOI":"10.1111/jsbm.12138","ISBN":"00472778 (ISSN)","ISSN":"1540627X","abstract":"Does race/ethnicity affect persistence in an immature venture? Using data from the Panel Study of Entrepreneurial Dynamics II, we examine how race/ethnicity, access to supplier credit, and personal financial investment affect three entrepreneurial outcomes: continued engagement, new firm creation, and disengagement. We find that compared with whites, blacks were less likely to receive supplier credit and invest more of their own capital, whereas Hispanics did not significantly differ from whites. Blacks were more likely to persist and remain engaged in an immature venture if they did not achieve success after two years in operation, whereas Hispanics were more likely to disengage.","author":[{"dropping-particle":"","family":"Freeland","given":"Robert E.","non-dropping-particle":"","parse-names":false,"suffix":""},{"dropping-particle":"","family":"Keister","given":"Lisa A.","non-dropping-particle":"","parse-names":false,"suffix":""}],"container-title":"Journal of Small Business Management","id":"ITEM-1","issue":"1","issued":{"date-parts":[["2016"]]},"page":"210-228","title":"How Does Race and Ethnicity Affect Persistence in Immature Ventures?","type":"article-journal","volume":"54"},"uris":["http://www.mendeley.com/documents/?uuid=618a0d86-4894-4e5d-961c-8e6b5b443cd6"]}],"mendeley":{"formattedCitation":"(Freeland and Keister, 2016)","plainTextFormattedCitation":"(Freeland and Keister, 2016)","previouslyFormattedCitation":"(Freeland and Keister, 2016)"},"properties":{"noteIndex":0},"schema":"https://github.com/citation-style-language/schema/raw/master/csl-citation.json"}</w:instrText>
      </w:r>
      <w:r w:rsidR="002E02A2" w:rsidRPr="00D25380">
        <w:fldChar w:fldCharType="separate"/>
      </w:r>
      <w:r w:rsidR="00121392" w:rsidRPr="00D25380">
        <w:rPr>
          <w:noProof/>
        </w:rPr>
        <w:t>(Freeland and Keister, 2016)</w:t>
      </w:r>
      <w:r w:rsidR="002E02A2" w:rsidRPr="00D25380">
        <w:fldChar w:fldCharType="end"/>
      </w:r>
      <w:r w:rsidR="00B73FDA" w:rsidRPr="00D25380">
        <w:t xml:space="preserve">, banks </w:t>
      </w:r>
      <w:r w:rsidR="002E02A2" w:rsidRPr="00D25380">
        <w:fldChar w:fldCharType="begin" w:fldLock="1"/>
      </w:r>
      <w:r w:rsidR="00096173" w:rsidRPr="00D25380">
        <w:instrText>ADDIN CSL_CITATION {"citationItems":[{"id":"ITEM-1","itemData":{"DOI":"10.15195/v3.a1","ISBN":"2330-6696","ISSN":"23306696","abstract":"Prior work finds mixed evidence of gender bias in lenders’ willingness to approve loans to entrepreneurs during normal macroeconomic conditions. However, various theories predict that gender bias is more likely to manifest when there is greater uncertainty or when decision-makers’ choices are under greater scrutiny from others. Such conditions characterized the lending market in the recent economic downturn. This article draws on an analysis of panel data from the Kauffman Firm Survey to investigate how the Great Recession affected the gender gap in entrepreneurial access to financing, net of individual and firm-level characteristics. Consistent with predictions, we find that women-led firmswere significantly more likely than men-led firms to encounter difficulty in acquiring funding when small-business lending contracted in 2009 and 2010. We assess the consistency of our results with two different theories of bias or discrimination. Our findings shed light on mechanisms that may contribute to disadvantages for women entrepreneurs and, more broadly, highlight how the effects of ascribed status characteristics (e.g., gender) on economic decision-making may vary systematically with macroeconomic conditions.","author":[{"dropping-particle":"","family":"Thébaud","given":"Sarah","non-dropping-particle":"","parse-names":false,"suffix":""},{"dropping-particle":"","family":"Sharkey","given":"Amanda J.","non-dropping-particle":"","parse-names":false,"suffix":""}],"container-title":"Sociological Science","id":"ITEM-1","issue":"3","issued":{"date-parts":[["2016"]]},"page":"1-31","title":"Unequal hard times: The influence of the great recession on gender bias in entrepreneurial financing","type":"article-journal","volume":"1"},"uris":["http://www.mendeley.com/documents/?uuid=27438327-0fee-4a5e-885c-602dc3707732"]}],"mendeley":{"formattedCitation":"(Thébaud and Sharkey, 2016)","plainTextFormattedCitation":"(Thébaud and Sharkey, 2016)","previouslyFormattedCitation":"(Thébaud and Sharkey, 2016)"},"properties":{"noteIndex":0},"schema":"https://github.com/citation-style-language/schema/raw/master/csl-citation.json"}</w:instrText>
      </w:r>
      <w:r w:rsidR="002E02A2" w:rsidRPr="00D25380">
        <w:fldChar w:fldCharType="separate"/>
      </w:r>
      <w:r w:rsidR="00121392" w:rsidRPr="00D25380">
        <w:rPr>
          <w:noProof/>
        </w:rPr>
        <w:t>(Thébaud and Sharkey, 2016)</w:t>
      </w:r>
      <w:r w:rsidR="002E02A2" w:rsidRPr="00D25380">
        <w:fldChar w:fldCharType="end"/>
      </w:r>
      <w:r w:rsidR="00B73FDA" w:rsidRPr="00D25380">
        <w:t xml:space="preserve">, or venture capitalists </w:t>
      </w:r>
      <w:r w:rsidR="002E02A2" w:rsidRPr="00D25380">
        <w:fldChar w:fldCharType="begin" w:fldLock="1"/>
      </w:r>
      <w:r w:rsidR="003175A8" w:rsidRPr="00D25380">
        <w:instrText>ADDIN CSL_CITATION {"citationItems":[{"id":"ITEM-1","itemData":{"author":[{"dropping-particle":"","family":"Kacperczyk","given":"Aleksandra “Olenka”","non-dropping-particle":"","parse-names":false,"suffix":""},{"dropping-particle":"","family":"Guzman","given":"Jorge","non-dropping-particle":"","parse-names":false,"suffix":""}],"container-title":"Research Policy","id":"ITEM-1","issue":"7","issued":{"date-parts":[["2019"]]},"page":"1666-1680","title":"Gender Gap in Entrepreneurship","type":"article-journal","volume":"48"},"uris":["http://www.mendeley.com/documents/?uuid=99c57b3a-08cc-40eb-95c5-12812006c7f3"]},{"id":"ITEM-2","itemData":{"author":[{"dropping-particle":"","family":"Canning","given":"J","non-dropping-particle":"","parse-names":false,"suffix":""},{"dropping-particle":"","family":"Haque","given":"M","non-dropping-particle":"","parse-names":false,"suffix":""},{"dropping-particle":"","family":"Wang","given":"Y","non-dropping-particle":"","parse-names":false,"suffix":""}],"container-title":"New York","id":"ITEM-2","issued":{"date-parts":[["2012"]]},"title":"Women at the Wheel","type":"article-journal"},"uris":["http://www.mendeley.com/documents/?uuid=8c1cf75b-d6bd-4988-addc-d41381b08dcf"]},{"id":"ITEM-3","itemData":{"DOI":"10.1080/1369106022000024897","ISBN":"1369-1066","ISSN":"14645343","abstract":"Equity capital fuels growth companies and yields high returns for investors. The process of equity investment and ultimate harvesting of innovative companies has created significant wealth among fund investors, venture capitalists, angels and new entrepreneurs. Extensive research investigates all phases of the venture capital investment process, industry characteristics and returns to investors. Surprisingly absent from current research are studies including women, on both the supply (equity provider) and demand (equity seeker) sides. Women make significant contributions to the US economy in the workforce and as business owners, yet research about women as recipients of equity capital and providers of equity is extremely scarce. This raises a question—are women being left out of the wealth creation process? Our paper addresses this question by exploring women's role in supply and demand of equity capital. We utilize a social capital perspective to develop a conceptual framework and focus our analysis on early stage and angel investment. The paper concludes with directions for future research.","author":[{"dropping-particle":"","family":"Brush","given":"Candida G.","non-dropping-particle":"","parse-names":false,"suffix":""},{"dropping-particle":"","family":"Carter","given":"Nancy M.","non-dropping-particle":"","parse-names":false,"suffix":""},{"dropping-particle":"","family":"Greene","given":"Patricia G.","non-dropping-particle":"","parse-names":false,"suffix":""},{"dropping-particle":"","family":"Hart","given":"Myra M.","non-dropping-particle":"","parse-names":false,"suffix":""},{"dropping-particle":"","family":"Gatewood","given":"Lizabeth","non-dropping-particle":"","parse-names":false,"suffix":""}],"container-title":"Venture Capital","id":"ITEM-3","issue":"4","issued":{"date-parts":[["2002"]]},"page":"305-323","title":"The role of social capital and gender in linking financial suppliers and entrepreneurial firms: A framework for future research","type":"article-journal","volume":"4"},"uris":["http://www.mendeley.com/documents/?uuid=f9f59d6e-7bb3-46da-a55a-14f57aa7bab1"]}],"mendeley":{"formattedCitation":"(Brush &lt;i&gt;et al.&lt;/i&gt;, 2002; Canning, Haque, and Wang, 2012; Kacperczyk and Guzman, 2019)","plainTextFormattedCitation":"(Brush et al., 2002; Canning, Haque, and Wang, 2012; Kacperczyk and Guzman, 2019)","previouslyFormattedCitation":"(Brush &lt;i&gt;et al.&lt;/i&gt;, 2002; Canning, Haque, and Wang, 2012; Kacperczyk and Guzman, 2019)"},"properties":{"noteIndex":0},"schema":"https://github.com/citation-style-language/schema/raw/master/csl-citation.json"}</w:instrText>
      </w:r>
      <w:r w:rsidR="002E02A2" w:rsidRPr="00D25380">
        <w:fldChar w:fldCharType="separate"/>
      </w:r>
      <w:r w:rsidR="003175A8" w:rsidRPr="00D25380">
        <w:rPr>
          <w:noProof/>
        </w:rPr>
        <w:t xml:space="preserve">(Brush </w:t>
      </w:r>
      <w:r w:rsidR="003175A8" w:rsidRPr="00D25380">
        <w:rPr>
          <w:i/>
          <w:noProof/>
        </w:rPr>
        <w:t>et al.</w:t>
      </w:r>
      <w:r w:rsidR="003175A8" w:rsidRPr="00D25380">
        <w:rPr>
          <w:noProof/>
        </w:rPr>
        <w:t xml:space="preserve">, 2002; Canning, Haque, and Wang, 2012; </w:t>
      </w:r>
      <w:r w:rsidR="00443EE4">
        <w:rPr>
          <w:noProof/>
        </w:rPr>
        <w:t xml:space="preserve">Guzman and Kacperczyk, </w:t>
      </w:r>
      <w:r w:rsidR="003175A8" w:rsidRPr="00D25380">
        <w:rPr>
          <w:noProof/>
        </w:rPr>
        <w:t>2019)</w:t>
      </w:r>
      <w:r w:rsidR="002E02A2" w:rsidRPr="00D25380">
        <w:fldChar w:fldCharType="end"/>
      </w:r>
      <w:r w:rsidR="00B73FDA" w:rsidRPr="00D25380">
        <w:t xml:space="preserve"> </w:t>
      </w:r>
      <w:r w:rsidR="00A77632" w:rsidRPr="00D25380">
        <w:t>have been found to be</w:t>
      </w:r>
      <w:r w:rsidR="00B73FDA" w:rsidRPr="00D25380">
        <w:t xml:space="preserve"> significantly lower </w:t>
      </w:r>
      <w:r w:rsidR="00066375" w:rsidRPr="00D25380">
        <w:t xml:space="preserve">for </w:t>
      </w:r>
      <w:r w:rsidR="00B73FDA" w:rsidRPr="00D25380">
        <w:t>women</w:t>
      </w:r>
      <w:r w:rsidR="00A77632" w:rsidRPr="00D25380">
        <w:t xml:space="preserve"> than for observationally equivalent men</w:t>
      </w:r>
      <w:r w:rsidR="003A3A3E" w:rsidRPr="00D25380">
        <w:t>.</w:t>
      </w:r>
      <w:r w:rsidR="00B73FDA" w:rsidRPr="00D25380">
        <w:t xml:space="preserve"> </w:t>
      </w:r>
      <w:r w:rsidR="00A77632" w:rsidRPr="00D25380">
        <w:t>And t</w:t>
      </w:r>
      <w:r w:rsidR="00B73FDA" w:rsidRPr="00D25380">
        <w:t xml:space="preserve">hese disparities </w:t>
      </w:r>
      <w:r w:rsidR="00A77632" w:rsidRPr="00D25380">
        <w:t xml:space="preserve">tend to </w:t>
      </w:r>
      <w:r w:rsidR="00B73FDA" w:rsidRPr="00D25380">
        <w:t>persist even when differences in creditworthiness or other observables, including human capital, industry, and credit histories, are controlled for</w:t>
      </w:r>
      <w:r w:rsidR="001547B1" w:rsidRPr="00D25380">
        <w:t xml:space="preserve"> </w:t>
      </w:r>
      <w:r w:rsidR="001547B1" w:rsidRPr="00D25380">
        <w:fldChar w:fldCharType="begin" w:fldLock="1"/>
      </w:r>
      <w:r w:rsidR="00C84DDA" w:rsidRPr="00D25380">
        <w:instrText>ADDIN CSL_CITATION {"citationItems":[{"id":"ITEM-1","itemData":{"DOI":"10.1162/003465303772815835","ISBN":"0034-6535","ISSN":"00346535","abstract":"We use data from the 1993 and 1998 National Surveys of Small Business Finances to examine the existence of racial discrimination in the small-business credit market. We conduct an econometric analysis of loan outcomes by race and find that black-owned small businesses are about twice as likely to be denied credit even after controlling for differences in creditworthiness and other factors. A series of specification checks indicates that this gap is unlikely to be explained by omitted variable bias. These results indicate that the racial disparity in credit availability is likely caused by discrimination.","author":[{"dropping-particle":"","family":"Blanchflower","given":"David G.","non-dropping-particle":"","parse-names":false,"suffix":""},{"dropping-particle":"","family":"Levine","given":"Phillip B.","non-dropping-particle":"","parse-names":false,"suffix":""},{"dropping-particle":"","family":"Zimmerman","given":"David J.","non-dropping-particle":"","parse-names":false,"suffix":""}],"container-title":"Review of Economics and Statistics","id":"ITEM-1","issue":"4","issued":{"date-parts":[["2003"]]},"page":"930-943","title":"Discrimination in the small-business credit market","type":"article-journal","volume":"85"},"uris":["http://www.mendeley.com/documents/?uuid=417eaf2b-4144-42fa-863e-685052684970"]},{"id":"ITEM-2","itemData":{"ISSN":"0734-306X","author":[{"dropping-particle":"","family":"Fairlie","given":"Robert W","non-dropping-particle":"","parse-names":false,"suffix":""}],"container-title":"Journal of Labor Economics","id":"ITEM-2","issue":"1","issued":{"date-parts":[["1999"]]},"page":"80-108","title":"The absence of the African-American owned business: An analysis of the dynamics of self-employment","type":"article-journal","volume":"17"},"uris":["http://www.mendeley.com/documents/?uuid=0ac1c3b2-be01-47e7-9af8-72bc6b4768d4"]},{"id":"ITEM-3","itemData":{"DOI":"10.2307/146367","ISBN":"0022166X","ISSN":"0022166X","PMID":"557437","abstract":"The offspring of self-employed fathers are more likely than others to become self-employed. Thus the historically low rates of self-employment among African-Americans and Latinos may contribute to their low contemporary rates. National data show that African-Americans and Latinos whose fathers were self-employed have lower rates of self-employment than other men whose fathers were not self-employed. Other aspects of family background explain only a small portion of the self-employment gap between African-Americans and native-born white ancestry groups. Male immigrants who have self-employed fathers overseas are no more likely to be self-employed than other immigrants are.","author":[{"dropping-particle":"","family":"Hout","given":"Michael","non-dropping-particle":"","parse-names":false,"suffix":""},{"dropping-particle":"","family":"Rosen","given":"Harvey","non-dropping-particle":"","parse-names":false,"suffix":""}],"container-title":"The Journal of Human Resources","id":"ITEM-3","issue":"4","issued":{"date-parts":[["2000"]]},"page":"670-692","title":"Self-Employment, Family Background, and Race","type":"article-journal","volume":"35"},"uris":["http://www.mendeley.com/documents/?uuid=eb86bcc6-b0d7-41d0-a304-f6025af83b9e"]}],"mendeley":{"formattedCitation":"(Blanchflower &lt;i&gt;et al.&lt;/i&gt;, 2003; Fairlie, 1999; Hout and Rosen, 2000)","plainTextFormattedCitation":"(Blanchflower et al., 2003; Fairlie, 1999; Hout and Rosen, 2000)","previouslyFormattedCitation":"(Blanchflower &lt;i&gt;et al.&lt;/i&gt;, 2003; Fairlie, 1999; Hout and Rosen, 2000)"},"properties":{"noteIndex":0},"schema":"https://github.com/citation-style-language/schema/raw/master/csl-citation.json"}</w:instrText>
      </w:r>
      <w:r w:rsidR="001547B1" w:rsidRPr="00D25380">
        <w:fldChar w:fldCharType="separate"/>
      </w:r>
      <w:r w:rsidR="00121392" w:rsidRPr="00D25380">
        <w:rPr>
          <w:noProof/>
        </w:rPr>
        <w:t xml:space="preserve">(Blanchflower </w:t>
      </w:r>
      <w:r w:rsidR="00121392" w:rsidRPr="00D25380">
        <w:rPr>
          <w:i/>
          <w:noProof/>
        </w:rPr>
        <w:t>et al.</w:t>
      </w:r>
      <w:r w:rsidR="00121392" w:rsidRPr="00D25380">
        <w:rPr>
          <w:noProof/>
        </w:rPr>
        <w:t>, 2003; Hout and Rosen, 2000)</w:t>
      </w:r>
      <w:r w:rsidR="001547B1" w:rsidRPr="00D25380">
        <w:fldChar w:fldCharType="end"/>
      </w:r>
      <w:r w:rsidR="00B73FDA" w:rsidRPr="00D25380">
        <w:t xml:space="preserve">, or in experimental conditions, wherein gender is randomly assigned </w:t>
      </w:r>
      <w:r w:rsidR="001547B1" w:rsidRPr="00D25380">
        <w:fldChar w:fldCharType="begin" w:fldLock="1"/>
      </w:r>
      <w:r w:rsidR="00096173" w:rsidRPr="00D25380">
        <w:instrText>ADDIN CSL_CITATION {"citationItems":[{"id":"ITEM-1","itemData":{"ISSN":"0021-9398","author":[{"dropping-particle":"","family":"Cavalluzzo","given":"Ken S","non-dropping-particle":"","parse-names":false,"suffix":""},{"dropping-particle":"","family":"Cavalluzzo","given":"Linda C","non-dropping-particle":"","parse-names":false,"suffix":""},{"dropping-particle":"","family":"Wolken","given":"John D","non-dropping-particle":"","parse-names":false,"suffix":""}],"container-title":"The Journal of Business","id":"ITEM-1","issue":"4","issued":{"date-parts":[["2002"]]},"page":"641-679","title":"Competition, small business financing, and discrimination: Evidence from a new survey","type":"article-journal","volume":"75"},"uris":["http://www.mendeley.com/documents/?uuid=ae38a91f-4ba3-4ba6-b8d7-916c2cfbf581"]},{"id":"ITEM-2","itemData":{"DOI":"10.1177/0190272510377882","ISBN":"0190-2725\\r1939-8999","ISSN":"01902725","PMID":"65439382","abstract":"The gender gap in entrepreneurs hip has typically been understood through women's struc tural disadvantages in acquiring the resources relevant for successful business ownership. This study builds on resource-based approaches to investigate how cultural beliefs about gender influence the process by which individuals initially come to identify entrepreneurship as a viable labor-market on status characteristics option. Drawing theory, this study eval uates (1) how cultural beliefs about gender and entrepreneurship influence self-assessments of entrepreneurial ability, and (2) the extent to which such assessments account for the gen der gap in business start-ups. Results suggest that women are significantly less likely to per ceive themselves as able to be an entrepreneur and they hold themselves to a stricter standard of competence when compared to similarly situated men. This gender difference in self-assessments accounts for a significant portion of the gender gap in entrepreneurship after controlling for relevant resources. Additional reveal analyses that significant gender differences in self assessed ability persist among established business owners.","author":[{"dropping-particle":"","family":"Thébaud","given":"Sarah","non-dropping-particle":"","parse-names":false,"suffix":""}],"container-title":"Social Psychology Quarterly","id":"ITEM-2","issue":"3","issued":{"date-parts":[["2010"]]},"page":"288-304","title":"Gender and entrepreneurship as a career choice: Do self-assessments of ability matter?","type":"article-journal","volume":"73"},"uris":["http://www.mendeley.com/documents/?uuid=3deadab5-c255-4bb9-b81b-2f5db23ac1e5"]}],"mendeley":{"formattedCitation":"(Cavalluzzo, Cavalluzzo, and Wolken, 2002; Thébaud, 2010)","plainTextFormattedCitation":"(Cavalluzzo, Cavalluzzo, and Wolken, 2002; Thébaud, 2010)","previouslyFormattedCitation":"(Cavalluzzo, Cavalluzzo, and Wolken, 2002; Thébaud, 2010)"},"properties":{"noteIndex":0},"schema":"https://github.com/citation-style-language/schema/raw/master/csl-citation.json"}</w:instrText>
      </w:r>
      <w:r w:rsidR="001547B1" w:rsidRPr="00D25380">
        <w:fldChar w:fldCharType="separate"/>
      </w:r>
      <w:r w:rsidR="00121392" w:rsidRPr="00D25380">
        <w:rPr>
          <w:noProof/>
        </w:rPr>
        <w:t>(Thébaud, 2010)</w:t>
      </w:r>
      <w:r w:rsidR="001547B1" w:rsidRPr="00D25380">
        <w:fldChar w:fldCharType="end"/>
      </w:r>
      <w:r w:rsidR="00B73FDA" w:rsidRPr="00D25380">
        <w:t xml:space="preserve">. Finally, because of childcare demands that fall disproportionally on women, </w:t>
      </w:r>
      <w:r w:rsidR="00543272" w:rsidRPr="00D25380">
        <w:t xml:space="preserve">the </w:t>
      </w:r>
      <w:r w:rsidR="00B73FDA" w:rsidRPr="00D25380">
        <w:t xml:space="preserve">time needed to start a new venture is a significant barrier to women, hindering again their entry into </w:t>
      </w:r>
      <w:r w:rsidR="00A52A04" w:rsidRPr="00D25380">
        <w:t xml:space="preserve">entrepreneurship </w:t>
      </w:r>
      <w:r w:rsidR="001547B1" w:rsidRPr="00D25380">
        <w:fldChar w:fldCharType="begin" w:fldLock="1"/>
      </w:r>
      <w:r w:rsidR="00C84DDA" w:rsidRPr="00D25380">
        <w:instrText>ADDIN CSL_CITATION {"citationItems":[{"id":"ITEM-1","itemData":{"DOI":"10.1177/0891243206293232","ISBN":"08912432","ISSN":"08912432","abstract":"Using data from the 1979 to 1998 waves of the National Longitudinal Survey of Youth, the author explores how gender, family, and class alter the impact of self-employment on earnings. Fixed-effect regression results show that while self-employment positively influences men's earnings, not all women similarly benefit. Professionals receive the same self-employment earnings premium, regardless of gender. However, self-employment in nonprofessional occupations negatively affects women's earnings, with wives and mothers incurring the greatest penalties. The high concentration of nonprofessional self-employed women in child care accounts for much of these penalties. Results are robust despite inclusion of controls for human capital and labor supply, job characteristics, occupational and industrial gender segregation, and demographic characteristics. The compensating differentials argument, that women with greater family responsibilities trade earnings for the family-friendly aspects of self-employment, is discussed in light of these findings. While this argument may explain women's returns to nonprofessional self-employment, it is less persuasive for interpreting women's returns to professional self-employment. CR - Copyright &amp;169; 2006 Sage Publications, Inc.","author":[{"dropping-particle":"","family":"Budig","given":"Michelle J.","non-dropping-particle":"","parse-names":false,"suffix":""}],"container-title":"Gender and Society","id":"ITEM-1","issue":"6","issued":{"date-parts":[["2006"]]},"page":"725-753","title":"Gender, self-employment, and earnings: The interlocking structures of family and professional status","type":"article-journal","volume":"20"},"uris":["http://www.mendeley.com/documents/?uuid=8b295a92-6bfc-41e0-8c01-11edf0a565a2"]}],"mendeley":{"formattedCitation":"(Budig, 2006)","manualFormatting":"(e.g., Budig 2006)","plainTextFormattedCitation":"(Budig, 2006)","previouslyFormattedCitation":"(Budig, 2006)"},"properties":{"noteIndex":0},"schema":"https://github.com/citation-style-language/schema/raw/master/csl-citation.json"}</w:instrText>
      </w:r>
      <w:r w:rsidR="001547B1" w:rsidRPr="00D25380">
        <w:fldChar w:fldCharType="separate"/>
      </w:r>
      <w:r w:rsidR="001547B1" w:rsidRPr="00D25380">
        <w:rPr>
          <w:noProof/>
        </w:rPr>
        <w:t>(e.g., Budig 2006)</w:t>
      </w:r>
      <w:r w:rsidR="001547B1" w:rsidRPr="00D25380">
        <w:fldChar w:fldCharType="end"/>
      </w:r>
      <w:r w:rsidR="00B73FDA" w:rsidRPr="00D25380">
        <w:t>. Together, the</w:t>
      </w:r>
      <w:r w:rsidR="00016346" w:rsidRPr="00D25380">
        <w:t xml:space="preserve"> previous</w:t>
      </w:r>
      <w:r w:rsidR="00B73FDA" w:rsidRPr="00D25380">
        <w:t xml:space="preserve"> studies provide </w:t>
      </w:r>
      <w:r w:rsidR="00A52A04" w:rsidRPr="00D25380">
        <w:t>consistent</w:t>
      </w:r>
      <w:r w:rsidR="00B73FDA" w:rsidRPr="00D25380">
        <w:t xml:space="preserve"> evidence that obstacles to mobilizing </w:t>
      </w:r>
      <w:r w:rsidR="005A3001" w:rsidRPr="00D25380">
        <w:t xml:space="preserve">the </w:t>
      </w:r>
      <w:r w:rsidR="00A52A04" w:rsidRPr="00D25380">
        <w:t>resources</w:t>
      </w:r>
      <w:r w:rsidR="00B73FDA" w:rsidRPr="00D25380">
        <w:t xml:space="preserve"> on which a successful </w:t>
      </w:r>
      <w:r w:rsidR="00E32C64" w:rsidRPr="00D25380">
        <w:t>launching of a new venture</w:t>
      </w:r>
      <w:r w:rsidR="00D64D3A" w:rsidRPr="00D25380">
        <w:t xml:space="preserve"> </w:t>
      </w:r>
      <w:r w:rsidR="00B73FDA" w:rsidRPr="00D25380">
        <w:t xml:space="preserve">and its subsequent survival depend are systematically higher for </w:t>
      </w:r>
      <w:r w:rsidR="00A52A04" w:rsidRPr="00D25380">
        <w:t>women</w:t>
      </w:r>
      <w:r w:rsidR="00B73FDA" w:rsidRPr="00D25380">
        <w:t xml:space="preserve"> than for men.</w:t>
      </w:r>
    </w:p>
    <w:p w14:paraId="3637EF6C" w14:textId="5C4F1F1D" w:rsidR="009F7C73" w:rsidRPr="0058683A" w:rsidRDefault="00016346" w:rsidP="00040062">
      <w:pPr>
        <w:pStyle w:val="BodyTextIndent"/>
      </w:pPr>
      <w:r w:rsidRPr="0058683A">
        <w:t>It follows that</w:t>
      </w:r>
      <w:r w:rsidR="003358FA" w:rsidRPr="0058683A">
        <w:rPr>
          <w:shd w:val="clear" w:color="auto" w:fill="FFFFFF"/>
        </w:rPr>
        <w:t xml:space="preserve"> </w:t>
      </w:r>
      <w:r w:rsidRPr="0058683A">
        <w:rPr>
          <w:shd w:val="clear" w:color="auto" w:fill="FFFFFF"/>
        </w:rPr>
        <w:t>l</w:t>
      </w:r>
      <w:r w:rsidR="002D2F31" w:rsidRPr="0058683A">
        <w:rPr>
          <w:shd w:val="clear" w:color="auto" w:fill="FFFFFF"/>
        </w:rPr>
        <w:t xml:space="preserve">owering </w:t>
      </w:r>
      <w:r w:rsidR="00D03FED" w:rsidRPr="0058683A">
        <w:rPr>
          <w:shd w:val="clear" w:color="auto" w:fill="FFFFFF"/>
        </w:rPr>
        <w:t xml:space="preserve">the level of </w:t>
      </w:r>
      <w:r w:rsidRPr="0058683A">
        <w:rPr>
          <w:shd w:val="clear" w:color="auto" w:fill="FFFFFF"/>
        </w:rPr>
        <w:t xml:space="preserve">resources </w:t>
      </w:r>
      <w:r w:rsidR="00345FC2">
        <w:rPr>
          <w:shd w:val="clear" w:color="auto" w:fill="FFFFFF"/>
        </w:rPr>
        <w:t xml:space="preserve">needed </w:t>
      </w:r>
      <w:r w:rsidR="00FE60A0">
        <w:rPr>
          <w:shd w:val="clear" w:color="auto" w:fill="FFFFFF"/>
        </w:rPr>
        <w:t>to start</w:t>
      </w:r>
      <w:r w:rsidRPr="0058683A">
        <w:rPr>
          <w:shd w:val="clear" w:color="auto" w:fill="FFFFFF"/>
        </w:rPr>
        <w:t xml:space="preserve"> a new venture will</w:t>
      </w:r>
      <w:r w:rsidR="00A1537F">
        <w:rPr>
          <w:shd w:val="clear" w:color="auto" w:fill="FFFFFF"/>
        </w:rPr>
        <w:t xml:space="preserve"> </w:t>
      </w:r>
      <w:r w:rsidR="00FB0D62" w:rsidRPr="0058683A">
        <w:rPr>
          <w:shd w:val="clear" w:color="auto" w:fill="FFFFFF"/>
        </w:rPr>
        <w:t xml:space="preserve">increase </w:t>
      </w:r>
      <w:r w:rsidR="00281915" w:rsidRPr="0058683A">
        <w:rPr>
          <w:shd w:val="clear" w:color="auto" w:fill="FFFFFF"/>
        </w:rPr>
        <w:t>the rates of entrepreneurial entry</w:t>
      </w:r>
      <w:r w:rsidR="005A2B64" w:rsidRPr="0058683A">
        <w:rPr>
          <w:shd w:val="clear" w:color="auto" w:fill="FFFFFF"/>
        </w:rPr>
        <w:t xml:space="preserve"> in general</w:t>
      </w:r>
      <w:r w:rsidR="00BC389C" w:rsidRPr="0058683A">
        <w:rPr>
          <w:shd w:val="clear" w:color="auto" w:fill="FFFFFF"/>
        </w:rPr>
        <w:t xml:space="preserve"> </w:t>
      </w:r>
      <w:r w:rsidR="001547B1" w:rsidRPr="0058683A">
        <w:rPr>
          <w:shd w:val="clear" w:color="auto" w:fill="FFFFFF"/>
        </w:rPr>
        <w:fldChar w:fldCharType="begin" w:fldLock="1"/>
      </w:r>
      <w:r w:rsidR="00096173" w:rsidRPr="0058683A">
        <w:rPr>
          <w:shd w:val="clear" w:color="auto" w:fill="FFFFFF"/>
        </w:rPr>
        <w:instrText>ADDIN CSL_CITATION {"citationItems":[{"id":"ITEM-1","itemData":{"DOI":"10.1016/j.jbusvent.2009.09.007","ISBN":"08839026","ISSN":"08839026","PMID":"1013","abstract":"Using insights from institutional theory, sociology, and entrepreneurship we develop and test a model of the relationship between centralized and decentralized institutions on entrepreneurial activity. We suggest that both decentralized institutions that are socially determined as well as centralized institutions that are designed by governmental authorities are important in promoting firm foundings in the environmental context. In a sample of the U.S. solar energy sector we find that state-sponsored incentives, environmental consumption norms, and norms of family interdependence are related to new firm entry in this sector. Our findings also suggest that the efficacy of state-level policies in the sponsoring of entrepreneurial growth is dependent upon the social norms that prevail in the entrepreneur's environment. We expand entrepreneurship theory and the study of institutions and the natural environment by demonstrating the integral role that social norms play in influencing the creation of new firms and by illustrating the potential effect social norms have on the effect of policy that seeks to encourage environmentally responsible economic activity. © 2009 Elsevier Inc.","author":[{"dropping-particle":"","family":"Meek","given":"William R.","non-dropping-particle":"","parse-names":false,"suffix":""},{"dropping-particle":"","family":"Pacheco","given":"Desirée F.","non-dropping-particle":"","parse-names":false,"suffix":""},{"dropping-particle":"","family":"York","given":"Jeffrey G.","non-dropping-particle":"","parse-names":false,"suffix":""}],"container-title":"Journal of Business Venturing","id":"ITEM-1","issue":"5","issued":{"date-parts":[["2010"]]},"page":"493-509","title":"The impact of social norms on entrepreneurial action: Evidence from the environmental entrepreneurship context","type":"article-journal","volume":"25"},"uris":["http://www.mendeley.com/documents/?uuid=20376796-e22a-4237-b55d-9e3e2b169e5b"]}],"mendeley":{"formattedCitation":"(Meek, Pacheco, and York, 2010)","plainTextFormattedCitation":"(Meek, Pacheco, and York, 2010)","previouslyFormattedCitation":"(Meek, Pacheco, and York, 2010)"},"properties":{"noteIndex":0},"schema":"https://github.com/citation-style-language/schema/raw/master/csl-citation.json"}</w:instrText>
      </w:r>
      <w:r w:rsidR="001547B1" w:rsidRPr="0058683A">
        <w:rPr>
          <w:shd w:val="clear" w:color="auto" w:fill="FFFFFF"/>
        </w:rPr>
        <w:fldChar w:fldCharType="separate"/>
      </w:r>
      <w:r w:rsidR="00121392" w:rsidRPr="0058683A">
        <w:rPr>
          <w:noProof/>
          <w:shd w:val="clear" w:color="auto" w:fill="FFFFFF"/>
        </w:rPr>
        <w:t>(Meek, Pacheco, and York, 2010)</w:t>
      </w:r>
      <w:r w:rsidR="001547B1" w:rsidRPr="0058683A">
        <w:rPr>
          <w:shd w:val="clear" w:color="auto" w:fill="FFFFFF"/>
        </w:rPr>
        <w:fldChar w:fldCharType="end"/>
      </w:r>
      <w:r w:rsidR="00BC389C" w:rsidRPr="0058683A">
        <w:rPr>
          <w:shd w:val="clear" w:color="auto" w:fill="FFFFFF"/>
        </w:rPr>
        <w:t>,</w:t>
      </w:r>
      <w:r w:rsidR="00281915" w:rsidRPr="0058683A">
        <w:rPr>
          <w:shd w:val="clear" w:color="auto" w:fill="FFFFFF"/>
        </w:rPr>
        <w:t xml:space="preserve"> </w:t>
      </w:r>
      <w:r w:rsidRPr="0058683A">
        <w:rPr>
          <w:shd w:val="clear" w:color="auto" w:fill="FFFFFF"/>
        </w:rPr>
        <w:t>but</w:t>
      </w:r>
      <w:r w:rsidR="00FB0D62" w:rsidRPr="0058683A">
        <w:rPr>
          <w:shd w:val="clear" w:color="auto" w:fill="FFFFFF"/>
        </w:rPr>
        <w:t xml:space="preserve"> </w:t>
      </w:r>
      <w:r w:rsidR="006D1723" w:rsidRPr="0058683A">
        <w:rPr>
          <w:shd w:val="clear" w:color="auto" w:fill="FFFFFF"/>
        </w:rPr>
        <w:t>th</w:t>
      </w:r>
      <w:r w:rsidR="00E32C64" w:rsidRPr="0058683A">
        <w:rPr>
          <w:shd w:val="clear" w:color="auto" w:fill="FFFFFF"/>
        </w:rPr>
        <w:t xml:space="preserve">e impact </w:t>
      </w:r>
      <w:r w:rsidR="006D1723" w:rsidRPr="0058683A">
        <w:rPr>
          <w:shd w:val="clear" w:color="auto" w:fill="FFFFFF"/>
        </w:rPr>
        <w:t>wil</w:t>
      </w:r>
      <w:r w:rsidR="00E32C64" w:rsidRPr="0058683A">
        <w:rPr>
          <w:shd w:val="clear" w:color="auto" w:fill="FFFFFF"/>
        </w:rPr>
        <w:t xml:space="preserve">l likely be stronger among women, </w:t>
      </w:r>
      <w:r w:rsidR="00F274CE">
        <w:rPr>
          <w:shd w:val="clear" w:color="auto" w:fill="FFFFFF"/>
        </w:rPr>
        <w:t xml:space="preserve">given the systematic </w:t>
      </w:r>
      <w:r w:rsidR="00D03FED" w:rsidRPr="0058683A">
        <w:rPr>
          <w:shd w:val="clear" w:color="auto" w:fill="FFFFFF"/>
        </w:rPr>
        <w:t>obstacles</w:t>
      </w:r>
      <w:r w:rsidR="00F274CE">
        <w:rPr>
          <w:shd w:val="clear" w:color="auto" w:fill="FFFFFF"/>
        </w:rPr>
        <w:t xml:space="preserve"> they face</w:t>
      </w:r>
      <w:r w:rsidR="00D03FED" w:rsidRPr="0058683A">
        <w:rPr>
          <w:shd w:val="clear" w:color="auto" w:fill="FFFFFF"/>
        </w:rPr>
        <w:t xml:space="preserve"> when</w:t>
      </w:r>
      <w:r w:rsidR="00DC7FF6" w:rsidRPr="0058683A">
        <w:rPr>
          <w:shd w:val="clear" w:color="auto" w:fill="FFFFFF"/>
        </w:rPr>
        <w:t xml:space="preserve"> mobilizing</w:t>
      </w:r>
      <w:r w:rsidR="00417733">
        <w:rPr>
          <w:shd w:val="clear" w:color="auto" w:fill="FFFFFF"/>
        </w:rPr>
        <w:t xml:space="preserve"> the needed</w:t>
      </w:r>
      <w:r w:rsidR="00DC7FF6" w:rsidRPr="0058683A">
        <w:rPr>
          <w:shd w:val="clear" w:color="auto" w:fill="FFFFFF"/>
        </w:rPr>
        <w:t xml:space="preserve"> </w:t>
      </w:r>
      <w:r w:rsidR="00417733">
        <w:rPr>
          <w:shd w:val="clear" w:color="auto" w:fill="FFFFFF"/>
        </w:rPr>
        <w:t xml:space="preserve">financial </w:t>
      </w:r>
      <w:r w:rsidR="00DC7FF6" w:rsidRPr="0058683A">
        <w:rPr>
          <w:shd w:val="clear" w:color="auto" w:fill="FFFFFF"/>
        </w:rPr>
        <w:t>resources</w:t>
      </w:r>
      <w:r w:rsidR="00417733">
        <w:rPr>
          <w:shd w:val="clear" w:color="auto" w:fill="FFFFFF"/>
        </w:rPr>
        <w:t xml:space="preserve"> or finding time</w:t>
      </w:r>
      <w:r w:rsidR="00DC7FF6" w:rsidRPr="0058683A">
        <w:rPr>
          <w:shd w:val="clear" w:color="auto" w:fill="FFFFFF"/>
        </w:rPr>
        <w:t xml:space="preserve"> </w:t>
      </w:r>
      <w:r w:rsidR="001547B1" w:rsidRPr="0058683A">
        <w:rPr>
          <w:shd w:val="clear" w:color="auto" w:fill="FFFFFF"/>
        </w:rPr>
        <w:fldChar w:fldCharType="begin" w:fldLock="1"/>
      </w:r>
      <w:r w:rsidR="00A871B2" w:rsidRPr="0058683A">
        <w:rPr>
          <w:shd w:val="clear" w:color="auto" w:fill="FFFFFF"/>
        </w:rPr>
        <w:instrText>ADDIN CSL_CITATION {"citationItems":[{"id":"ITEM-1","itemData":{"DOI":"10.1002/smj.2575","ISBN":"1097-0266","ISSN":"10970266","PMID":"31767271","abstract":"Research Summary: Governments in emerging economies often use institutional intermediaries to promote entrepreneurship, and bridge the void between ventures and public funding. While prior literature describes what institutional intermediaries do, it leaves open how intermediaries support different types of entrepreneurs. By comparing science park and non-science park firms in Beijing and across China, we distinguish which entrepreneurs benefit from certification v. capability-building through the introduction of two new constructs: skill adequacy and context relevance. Broadly, our study adds insights at the nexus of emerging economies and entrepreneurship research, and to the tie formation and institutional intermediaries literatures. Managerial Summary: A key dilemma facing entrepreneurs is how to finance their ventures. While entrepreneurs in developed economies can seek VC or angel investment, entrepreneurs in emerging economies often need to pursue potential government funding opportunities. Our study highlights three strategies for acquiring government funding. Well-connected entrepreneurs can leverage their political ties to acquire such funding. Less-connected entrepreneurs can leverage science parks that in emerging markets are designed to help governments to identify promising ventures. For returnees whose ample experience abroad may not fit with local ways of doing business, gaining science park admission can certify quality and so ease the path to government funding. For technically skilled local entrepreneurs who lack business skills, science parks can help build such skills which then ease the path to government funding.","author":[{"dropping-particle":"","family":"Armanios","given":"Daniel Erian","non-dropping-particle":"","parse-names":false,"suffix":""},{"dropping-particle":"","family":"Eesley","given":"Charles E.","non-dropping-particle":"","parse-names":false,"suffix":""},{"dropping-particle":"","family":"Li","given":"Jizhen","non-dropping-particle":"","parse-names":false,"suffix":""},{"dropping-particle":"","family":"Eisenhardt","given":"Kathleen M.","non-dropping-particle":"","parse-names":false,"suffix":""}],"container-title":"Strategic Management Journal","id":"ITEM-1","issue":"7","issued":{"date-parts":[["2017"]]},"page":"1373-1390","title":"How entrepreneurs leverage institutional intermediaries in emerging economies to acquire public resources","type":"article-journal","volume":"38"},"uris":["http://www.mendeley.com/documents/?uuid=4540f3b6-32e5-4352-8204-480ec3ed1bee"]},{"id":"ITEM-2","itemData":{"ISSN":"1047-7039","author":[{"dropping-particle":"","family":"Eesley","given":"Charles","non-dropping-particle":"","parse-names":false,"suffix":""}],"container-title":"Organization Science","id":"ITEM-2","issue":"5","issued":{"date-parts":[["2016"]]},"page":"1290-1306","publisher":"Informs","title":"Institutional barriers to growth: Entrepreneurship, human capital and institutional change","type":"article-journal","volume":"27"},"uris":["http://www.mendeley.com/documents/?uuid=75415807-5100-44a0-9897-4b993ce3cc36"]}],"mendeley":{"formattedCitation":"(Armanios &lt;i&gt;et al.&lt;/i&gt;, 2017; Eesley, 2016)","plainTextFormattedCitation":"(Armanios et al., 2017; Eesley, 2016)","previouslyFormattedCitation":"(Armanios &lt;i&gt;et al.&lt;/i&gt;, 2017; Eesley, 2016)"},"properties":{"noteIndex":0},"schema":"https://github.com/citation-style-language/schema/raw/master/csl-citation.json"}</w:instrText>
      </w:r>
      <w:r w:rsidR="001547B1" w:rsidRPr="0058683A">
        <w:rPr>
          <w:shd w:val="clear" w:color="auto" w:fill="FFFFFF"/>
        </w:rPr>
        <w:fldChar w:fldCharType="separate"/>
      </w:r>
      <w:r w:rsidR="00121392" w:rsidRPr="0058683A">
        <w:rPr>
          <w:noProof/>
          <w:shd w:val="clear" w:color="auto" w:fill="FFFFFF"/>
        </w:rPr>
        <w:t xml:space="preserve">(Armanios </w:t>
      </w:r>
      <w:r w:rsidR="00121392" w:rsidRPr="00D25380">
        <w:rPr>
          <w:noProof/>
          <w:shd w:val="clear" w:color="auto" w:fill="FFFFFF"/>
        </w:rPr>
        <w:t>et al</w:t>
      </w:r>
      <w:r w:rsidR="00121392" w:rsidRPr="0058683A">
        <w:rPr>
          <w:i/>
          <w:noProof/>
          <w:shd w:val="clear" w:color="auto" w:fill="FFFFFF"/>
        </w:rPr>
        <w:t>.</w:t>
      </w:r>
      <w:r w:rsidR="00121392" w:rsidRPr="0058683A">
        <w:rPr>
          <w:noProof/>
          <w:shd w:val="clear" w:color="auto" w:fill="FFFFFF"/>
        </w:rPr>
        <w:t>, 2017; Eesley, 2016)</w:t>
      </w:r>
      <w:r w:rsidR="001547B1" w:rsidRPr="0058683A">
        <w:rPr>
          <w:shd w:val="clear" w:color="auto" w:fill="FFFFFF"/>
        </w:rPr>
        <w:fldChar w:fldCharType="end"/>
      </w:r>
      <w:r w:rsidR="005A2B64" w:rsidRPr="0058683A">
        <w:rPr>
          <w:shd w:val="clear" w:color="auto" w:fill="FFFFFF"/>
        </w:rPr>
        <w:t xml:space="preserve">. </w:t>
      </w:r>
      <w:r w:rsidR="00D03FED" w:rsidRPr="0058683A">
        <w:t>Hence</w:t>
      </w:r>
      <w:r w:rsidR="003358FA" w:rsidRPr="0058683A">
        <w:t xml:space="preserve">, </w:t>
      </w:r>
      <w:r w:rsidR="003358FA" w:rsidRPr="0058683A">
        <w:rPr>
          <w:shd w:val="clear" w:color="auto" w:fill="FFFFFF"/>
        </w:rPr>
        <w:t>following the regulatory shift that reduces barriers</w:t>
      </w:r>
      <w:r w:rsidR="00EC1A66">
        <w:rPr>
          <w:shd w:val="clear" w:color="auto" w:fill="FFFFFF"/>
        </w:rPr>
        <w:t xml:space="preserve"> to venture formation</w:t>
      </w:r>
      <w:r w:rsidR="003358FA" w:rsidRPr="0058683A">
        <w:rPr>
          <w:shd w:val="clear" w:color="auto" w:fill="FFFFFF"/>
        </w:rPr>
        <w:t xml:space="preserve">, </w:t>
      </w:r>
      <w:r w:rsidR="003358FA" w:rsidRPr="0058683A">
        <w:t xml:space="preserve">gender disparities in entrepreneurial rates will decline, with </w:t>
      </w:r>
      <w:r w:rsidR="00F274CE">
        <w:t xml:space="preserve">disproportionately </w:t>
      </w:r>
      <w:r w:rsidR="003358FA" w:rsidRPr="0058683A">
        <w:t xml:space="preserve">higher rates of females choosing to pursue entrepreneurship relative to their male counterparts. </w:t>
      </w:r>
    </w:p>
    <w:p w14:paraId="74373936" w14:textId="429D748D" w:rsidR="00B73FDA" w:rsidRPr="0058683A" w:rsidRDefault="00B73FDA" w:rsidP="00A43CB6">
      <w:pPr>
        <w:pStyle w:val="Hypothesis"/>
        <w:ind w:left="0"/>
      </w:pPr>
      <w:r w:rsidRPr="0058683A">
        <w:t xml:space="preserve">H1: Following </w:t>
      </w:r>
      <w:r w:rsidR="007C6995">
        <w:t>a</w:t>
      </w:r>
      <w:r w:rsidR="007C6995" w:rsidRPr="0058683A">
        <w:t xml:space="preserve"> </w:t>
      </w:r>
      <w:r w:rsidR="00412346" w:rsidRPr="0058683A">
        <w:t>reduction in barriers to entry</w:t>
      </w:r>
      <w:r w:rsidRPr="0058683A">
        <w:t xml:space="preserve">, </w:t>
      </w:r>
      <w:r w:rsidR="00412346" w:rsidRPr="0058683A">
        <w:t>gender disparit</w:t>
      </w:r>
      <w:r w:rsidR="00655934" w:rsidRPr="0058683A">
        <w:t>ies</w:t>
      </w:r>
      <w:r w:rsidR="00412346" w:rsidRPr="0058683A">
        <w:t xml:space="preserve"> </w:t>
      </w:r>
      <w:r w:rsidR="00655934" w:rsidRPr="0058683A">
        <w:t>in entrepreneur</w:t>
      </w:r>
      <w:r w:rsidR="00D9323D">
        <w:t>ship</w:t>
      </w:r>
      <w:r w:rsidR="00412346" w:rsidRPr="0058683A">
        <w:t xml:space="preserve"> will decrease</w:t>
      </w:r>
      <w:r w:rsidR="00655934" w:rsidRPr="0058683A">
        <w:t>,</w:t>
      </w:r>
      <w:r w:rsidR="00412346" w:rsidRPr="0058683A">
        <w:t xml:space="preserve"> </w:t>
      </w:r>
      <w:r w:rsidR="00642C55" w:rsidRPr="0058683A">
        <w:t>as</w:t>
      </w:r>
      <w:r w:rsidRPr="0058683A">
        <w:t xml:space="preserve"> </w:t>
      </w:r>
      <w:r w:rsidR="00642C55" w:rsidRPr="0058683A">
        <w:t>entrepreneurial foundings</w:t>
      </w:r>
      <w:r w:rsidR="00387EDC">
        <w:t xml:space="preserve"> will</w:t>
      </w:r>
      <w:r w:rsidR="00642C55" w:rsidRPr="0058683A">
        <w:t xml:space="preserve"> </w:t>
      </w:r>
      <w:r w:rsidR="00412346" w:rsidRPr="0058683A">
        <w:t>increas</w:t>
      </w:r>
      <w:r w:rsidR="00642C55" w:rsidRPr="0058683A">
        <w:t>e</w:t>
      </w:r>
      <w:r w:rsidR="00412346" w:rsidRPr="0058683A">
        <w:t xml:space="preserve"> at a higher rate for women than for men</w:t>
      </w:r>
      <w:r w:rsidRPr="0058683A">
        <w:t>.</w:t>
      </w:r>
      <w:r w:rsidR="00A1537F">
        <w:t xml:space="preserve"> </w:t>
      </w:r>
    </w:p>
    <w:p w14:paraId="0423DABB" w14:textId="3AEBFC84" w:rsidR="00D63A3B" w:rsidRDefault="006307C6">
      <w:pPr>
        <w:spacing w:line="480" w:lineRule="auto"/>
        <w:ind w:firstLine="720"/>
        <w:rPr>
          <w:sz w:val="22"/>
          <w:szCs w:val="22"/>
        </w:rPr>
      </w:pPr>
      <w:r w:rsidRPr="00F274CE">
        <w:rPr>
          <w:sz w:val="22"/>
          <w:szCs w:val="22"/>
        </w:rPr>
        <w:t>Our argument further suggests that the</w:t>
      </w:r>
      <w:r w:rsidR="001254A5">
        <w:rPr>
          <w:sz w:val="22"/>
          <w:szCs w:val="22"/>
        </w:rPr>
        <w:t xml:space="preserve"> </w:t>
      </w:r>
      <w:r w:rsidR="00DA02E6">
        <w:rPr>
          <w:sz w:val="22"/>
          <w:szCs w:val="22"/>
        </w:rPr>
        <w:t>intended effect</w:t>
      </w:r>
      <w:r w:rsidRPr="00F274CE">
        <w:rPr>
          <w:sz w:val="22"/>
          <w:szCs w:val="22"/>
        </w:rPr>
        <w:t xml:space="preserve"> of regulatory changes will be </w:t>
      </w:r>
      <w:r w:rsidR="00450C49" w:rsidRPr="00F274CE">
        <w:rPr>
          <w:sz w:val="22"/>
          <w:szCs w:val="22"/>
        </w:rPr>
        <w:t>heterogen</w:t>
      </w:r>
      <w:r w:rsidR="00DC7FF6" w:rsidRPr="00F274CE">
        <w:rPr>
          <w:sz w:val="22"/>
          <w:szCs w:val="22"/>
        </w:rPr>
        <w:t>e</w:t>
      </w:r>
      <w:r w:rsidR="00450C49" w:rsidRPr="00F274CE">
        <w:rPr>
          <w:sz w:val="22"/>
          <w:szCs w:val="22"/>
        </w:rPr>
        <w:t>ous</w:t>
      </w:r>
      <w:r w:rsidR="005252A8">
        <w:rPr>
          <w:sz w:val="22"/>
          <w:szCs w:val="22"/>
        </w:rPr>
        <w:t xml:space="preserve"> across firm workers, </w:t>
      </w:r>
      <w:r w:rsidR="00086594">
        <w:rPr>
          <w:sz w:val="22"/>
          <w:szCs w:val="22"/>
        </w:rPr>
        <w:t xml:space="preserve">varying </w:t>
      </w:r>
      <w:r w:rsidR="00E30902">
        <w:rPr>
          <w:sz w:val="22"/>
          <w:szCs w:val="22"/>
        </w:rPr>
        <w:t xml:space="preserve">not only with their gender but also </w:t>
      </w:r>
      <w:r w:rsidR="00086594">
        <w:rPr>
          <w:sz w:val="22"/>
          <w:szCs w:val="22"/>
        </w:rPr>
        <w:t>with their</w:t>
      </w:r>
      <w:r w:rsidR="005252A8">
        <w:rPr>
          <w:sz w:val="22"/>
          <w:szCs w:val="22"/>
        </w:rPr>
        <w:t xml:space="preserve"> hierarchical position</w:t>
      </w:r>
      <w:r w:rsidR="00D5445F">
        <w:rPr>
          <w:sz w:val="22"/>
          <w:szCs w:val="22"/>
        </w:rPr>
        <w:t xml:space="preserve"> within the organization</w:t>
      </w:r>
      <w:r w:rsidR="009E3009">
        <w:rPr>
          <w:sz w:val="22"/>
          <w:szCs w:val="22"/>
        </w:rPr>
        <w:t xml:space="preserve">. </w:t>
      </w:r>
      <w:r w:rsidR="00626E51">
        <w:rPr>
          <w:sz w:val="22"/>
          <w:szCs w:val="22"/>
        </w:rPr>
        <w:t xml:space="preserve">A </w:t>
      </w:r>
      <w:r w:rsidR="0054662F" w:rsidRPr="00F274CE">
        <w:rPr>
          <w:sz w:val="22"/>
          <w:szCs w:val="22"/>
        </w:rPr>
        <w:t>decline</w:t>
      </w:r>
      <w:r w:rsidR="005A09D3" w:rsidRPr="00F274CE">
        <w:rPr>
          <w:sz w:val="22"/>
          <w:szCs w:val="22"/>
        </w:rPr>
        <w:t xml:space="preserve"> in entry barriers </w:t>
      </w:r>
      <w:r w:rsidR="00A90C34" w:rsidRPr="00F274CE">
        <w:rPr>
          <w:sz w:val="22"/>
          <w:szCs w:val="22"/>
        </w:rPr>
        <w:t>will determine</w:t>
      </w:r>
      <w:r w:rsidR="005A09D3" w:rsidRPr="00F274CE">
        <w:rPr>
          <w:sz w:val="22"/>
          <w:szCs w:val="22"/>
        </w:rPr>
        <w:t xml:space="preserve"> an </w:t>
      </w:r>
      <w:r w:rsidR="005A09D3" w:rsidRPr="00F274CE">
        <w:rPr>
          <w:i/>
          <w:sz w:val="22"/>
          <w:szCs w:val="22"/>
        </w:rPr>
        <w:t xml:space="preserve">objective </w:t>
      </w:r>
      <w:r w:rsidR="005A09D3" w:rsidRPr="00F274CE">
        <w:rPr>
          <w:sz w:val="22"/>
          <w:szCs w:val="22"/>
        </w:rPr>
        <w:t>reduction in the resources need</w:t>
      </w:r>
      <w:r w:rsidR="00A90C34" w:rsidRPr="00F274CE">
        <w:rPr>
          <w:sz w:val="22"/>
          <w:szCs w:val="22"/>
        </w:rPr>
        <w:t xml:space="preserve">ed </w:t>
      </w:r>
      <w:r w:rsidR="00417733">
        <w:rPr>
          <w:sz w:val="22"/>
          <w:szCs w:val="22"/>
        </w:rPr>
        <w:t>to</w:t>
      </w:r>
      <w:r w:rsidR="00F274CE" w:rsidRPr="00F274CE">
        <w:rPr>
          <w:sz w:val="22"/>
          <w:szCs w:val="22"/>
        </w:rPr>
        <w:t xml:space="preserve"> found</w:t>
      </w:r>
      <w:r w:rsidR="00A90C34" w:rsidRPr="00F274CE">
        <w:rPr>
          <w:sz w:val="22"/>
          <w:szCs w:val="22"/>
        </w:rPr>
        <w:t xml:space="preserve"> a </w:t>
      </w:r>
      <w:r w:rsidR="00417733">
        <w:rPr>
          <w:sz w:val="22"/>
          <w:szCs w:val="22"/>
        </w:rPr>
        <w:t>startup</w:t>
      </w:r>
      <w:r w:rsidR="00A90C34" w:rsidRPr="00F274CE">
        <w:rPr>
          <w:sz w:val="22"/>
          <w:szCs w:val="22"/>
        </w:rPr>
        <w:t xml:space="preserve">, </w:t>
      </w:r>
      <w:r w:rsidR="004A3511">
        <w:rPr>
          <w:sz w:val="22"/>
          <w:szCs w:val="22"/>
        </w:rPr>
        <w:t xml:space="preserve">but </w:t>
      </w:r>
      <w:r w:rsidR="00F274CE" w:rsidRPr="00F274CE">
        <w:rPr>
          <w:sz w:val="22"/>
          <w:szCs w:val="22"/>
        </w:rPr>
        <w:t xml:space="preserve">becoming a founder </w:t>
      </w:r>
      <w:r w:rsidR="00417733">
        <w:rPr>
          <w:sz w:val="22"/>
          <w:szCs w:val="22"/>
        </w:rPr>
        <w:t xml:space="preserve">also </w:t>
      </w:r>
      <w:r w:rsidR="00626E51">
        <w:rPr>
          <w:sz w:val="22"/>
          <w:szCs w:val="22"/>
        </w:rPr>
        <w:t xml:space="preserve">critically </w:t>
      </w:r>
      <w:r w:rsidR="00417733">
        <w:rPr>
          <w:sz w:val="22"/>
          <w:szCs w:val="22"/>
        </w:rPr>
        <w:t>depends</w:t>
      </w:r>
      <w:r w:rsidR="00F274CE" w:rsidRPr="00F274CE">
        <w:rPr>
          <w:sz w:val="22"/>
          <w:szCs w:val="22"/>
        </w:rPr>
        <w:t xml:space="preserve"> on</w:t>
      </w:r>
      <w:r w:rsidR="008C238A" w:rsidRPr="00F274CE">
        <w:rPr>
          <w:sz w:val="22"/>
          <w:szCs w:val="22"/>
        </w:rPr>
        <w:t xml:space="preserve"> </w:t>
      </w:r>
      <w:r w:rsidR="00F274CE" w:rsidRPr="00F274CE">
        <w:rPr>
          <w:sz w:val="22"/>
          <w:szCs w:val="22"/>
        </w:rPr>
        <w:t xml:space="preserve">an </w:t>
      </w:r>
      <w:r w:rsidR="00EF5C3E">
        <w:rPr>
          <w:sz w:val="22"/>
          <w:szCs w:val="22"/>
        </w:rPr>
        <w:t>individual</w:t>
      </w:r>
      <w:r w:rsidR="00345FC2" w:rsidRPr="00F274CE">
        <w:rPr>
          <w:sz w:val="22"/>
          <w:szCs w:val="22"/>
        </w:rPr>
        <w:t>’</w:t>
      </w:r>
      <w:r w:rsidR="00345FC2">
        <w:rPr>
          <w:sz w:val="22"/>
          <w:szCs w:val="22"/>
        </w:rPr>
        <w:t>s</w:t>
      </w:r>
      <w:r w:rsidR="00EF5C3E">
        <w:rPr>
          <w:sz w:val="22"/>
          <w:szCs w:val="22"/>
        </w:rPr>
        <w:t xml:space="preserve"> </w:t>
      </w:r>
      <w:r w:rsidR="00EF5C3E">
        <w:rPr>
          <w:i/>
          <w:sz w:val="22"/>
          <w:szCs w:val="22"/>
        </w:rPr>
        <w:t xml:space="preserve">subjective </w:t>
      </w:r>
      <w:r w:rsidR="00F274CE" w:rsidRPr="00F274CE">
        <w:rPr>
          <w:sz w:val="22"/>
          <w:szCs w:val="22"/>
        </w:rPr>
        <w:t>motivation and willingness</w:t>
      </w:r>
      <w:r w:rsidR="00A90C34" w:rsidRPr="00F274CE">
        <w:rPr>
          <w:sz w:val="22"/>
          <w:szCs w:val="22"/>
        </w:rPr>
        <w:t xml:space="preserve"> to </w:t>
      </w:r>
      <w:r w:rsidR="00F274CE" w:rsidRPr="00F274CE">
        <w:rPr>
          <w:sz w:val="22"/>
          <w:szCs w:val="22"/>
        </w:rPr>
        <w:t>pursue an entrepreneurial career</w:t>
      </w:r>
      <w:r w:rsidR="00417733">
        <w:rPr>
          <w:sz w:val="22"/>
          <w:szCs w:val="22"/>
        </w:rPr>
        <w:t xml:space="preserve"> in the first place</w:t>
      </w:r>
      <w:r w:rsidR="00364AA9">
        <w:rPr>
          <w:sz w:val="22"/>
          <w:szCs w:val="22"/>
        </w:rPr>
        <w:t xml:space="preserve"> (e.g., Sørensen and Fasiotto, 2011)</w:t>
      </w:r>
      <w:r w:rsidR="00A90C34" w:rsidRPr="00F274CE">
        <w:rPr>
          <w:sz w:val="22"/>
          <w:szCs w:val="22"/>
        </w:rPr>
        <w:t>.</w:t>
      </w:r>
      <w:r w:rsidR="00F274CE" w:rsidRPr="00F274CE">
        <w:rPr>
          <w:sz w:val="22"/>
          <w:szCs w:val="22"/>
        </w:rPr>
        <w:t xml:space="preserve"> </w:t>
      </w:r>
      <w:r w:rsidR="001E1656">
        <w:rPr>
          <w:sz w:val="22"/>
          <w:szCs w:val="22"/>
        </w:rPr>
        <w:t>Indeed</w:t>
      </w:r>
      <w:r w:rsidR="00417733">
        <w:rPr>
          <w:sz w:val="22"/>
          <w:szCs w:val="22"/>
        </w:rPr>
        <w:t xml:space="preserve">, </w:t>
      </w:r>
      <w:r w:rsidR="001E1656">
        <w:rPr>
          <w:sz w:val="22"/>
          <w:szCs w:val="22"/>
        </w:rPr>
        <w:t xml:space="preserve">a </w:t>
      </w:r>
      <w:r w:rsidR="00417733">
        <w:rPr>
          <w:sz w:val="22"/>
          <w:szCs w:val="22"/>
        </w:rPr>
        <w:t xml:space="preserve">successful entry </w:t>
      </w:r>
      <w:r w:rsidR="00270763">
        <w:rPr>
          <w:sz w:val="22"/>
          <w:szCs w:val="22"/>
        </w:rPr>
        <w:t xml:space="preserve">requires combining </w:t>
      </w:r>
      <w:r w:rsidR="00417733">
        <w:rPr>
          <w:sz w:val="22"/>
          <w:szCs w:val="22"/>
        </w:rPr>
        <w:t>resources</w:t>
      </w:r>
      <w:r w:rsidR="00A12721">
        <w:rPr>
          <w:sz w:val="22"/>
          <w:szCs w:val="22"/>
        </w:rPr>
        <w:t xml:space="preserve"> to pursue opportunities</w:t>
      </w:r>
      <w:r w:rsidR="00270763">
        <w:rPr>
          <w:sz w:val="22"/>
          <w:szCs w:val="22"/>
        </w:rPr>
        <w:t xml:space="preserve">, on one hand, and </w:t>
      </w:r>
      <w:r w:rsidR="00F274CE" w:rsidRPr="00F274CE">
        <w:rPr>
          <w:sz w:val="22"/>
          <w:szCs w:val="22"/>
        </w:rPr>
        <w:t>an individual’s motivation and willingness</w:t>
      </w:r>
      <w:r w:rsidR="00235B5C">
        <w:rPr>
          <w:sz w:val="22"/>
          <w:szCs w:val="22"/>
        </w:rPr>
        <w:t xml:space="preserve"> to</w:t>
      </w:r>
      <w:r w:rsidR="00F274CE" w:rsidRPr="00F274CE">
        <w:rPr>
          <w:sz w:val="22"/>
          <w:szCs w:val="22"/>
        </w:rPr>
        <w:t xml:space="preserve"> </w:t>
      </w:r>
      <w:r w:rsidR="00270763">
        <w:rPr>
          <w:sz w:val="22"/>
          <w:szCs w:val="22"/>
        </w:rPr>
        <w:t>become a founder, on the other hand</w:t>
      </w:r>
      <w:r w:rsidR="00417733">
        <w:rPr>
          <w:sz w:val="22"/>
          <w:szCs w:val="22"/>
        </w:rPr>
        <w:t xml:space="preserve"> </w:t>
      </w:r>
      <w:r w:rsidR="0062493A">
        <w:rPr>
          <w:sz w:val="22"/>
          <w:szCs w:val="22"/>
        </w:rPr>
        <w:fldChar w:fldCharType="begin" w:fldLock="1"/>
      </w:r>
      <w:r w:rsidR="0062493A">
        <w:rPr>
          <w:sz w:val="22"/>
          <w:szCs w:val="22"/>
        </w:rPr>
        <w:instrText>ADDIN CSL_CITATION {"citationItems":[{"id":"ITEM-1","itemData":{"ISBN":"1781007993","author":[{"dropping-particle":"","family":"Shane","given":"Scott Andrew","non-dropping-particle":"","parse-names":false,"suffix":""}],"id":"ITEM-1","issued":{"date-parts":[["2003"]]},"publisher":"Edward Elgar Publishing","title":"A general theory of entrepreneurship: The individual-opportunity nexus","type":"book"},"uris":["http://www.mendeley.com/documents/?uuid=ac6a8a54-c620-49ad-86da-7fc21a86c099"]},{"id":"ITEM-2","itemData":{"ISSN":"0883-9026","author":[{"dropping-particle":"","family":"Amit","given":"Raphael","non-dropping-particle":"","parse-names":false,"suffix":""},{"dropping-particle":"","family":"Muller","given":"Eitan","non-dropping-particle":"","parse-names":false,"suffix":""},{"dropping-particle":"","family":"Cockburn","given":"Iain","non-dropping-particle":"","parse-names":false,"suffix":""}],"container-title":"Journal of business venturing","id":"ITEM-2","issue":"2","issued":{"date-parts":[["1995"]]},"page":"95-106","publisher":"Elsevier","title":"Opportunity costs and entrepreneurial activity","type":"article-journal","volume":"10"},"uris":["http://www.mendeley.com/documents/?uuid=5bdeb843-e802-4bf0-a4b5-6bed782ccf87"]},{"id":"ITEM-3","itemData":{"ISSN":"0921-898X","author":[{"dropping-particle":"","family":"Evans","given":"David S","non-dropping-particle":"","parse-names":false,"suffix":""},{"dropping-particle":"","family":"Leighton","given":"Linda S","non-dropping-particle":"","parse-names":false,"suffix":""}],"container-title":"Small Business Economics","id":"ITEM-3","issue":"2","issued":{"date-parts":[["1989"]]},"page":"111-119","publisher":"Springer","title":"The determinants of changes in US self-employment, 1968–1987","type":"article-journal","volume":"1"},"uris":["http://www.mendeley.com/documents/?uuid=c8643db8-3ed8-4969-9866-839190b02def"]},{"id":"ITEM-4","itemData":{"ISBN":"0363-7425","PMID":"2791611","abstract":"Examines the phenomenon of entrepreneurship. Factors attributed to the lack of a conceptual framework on entrepreneurship research; Explanation on why organizational researchers should study entrepreneurship; Different modes of exploitation of entrepreneurial opportunities. To date, the phenomenon of entrepreneurship has lacked a conceptual framework. In this note the authors draw upon previous research conducted in the different social science disciplines and applied fields of business to create a conceptual framework for the field. With this framework the authors explain a set of empirical phenomena and predict a set of outcomes not explained or predicted by conceptual frameworks already in existence in other fields.","author":[{"dropping-particle":"","family":"Shane","given":"Scott","non-dropping-particle":"","parse-names":false,"suffix":""},{"dropping-particle":"","family":"Venkataraman","given":"S","non-dropping-particle":"","parse-names":false,"suffix":""}],"container-title":"Academy of Management Review","id":"ITEM-4","issue":"1","issued":{"date-parts":[["2000"]]},"note":"Vol. 25 Issue 1, p217 10p\nPDF Available","page":"217","title":"The Promise of Entrepreneurship as a Field of Research","type":"article-journal","volume":"25"},"uris":["http://www.mendeley.com/documents/?uuid=e17be0d1-605d-4fea-b3c0-32f454fb8ceb"]}],"mendeley":{"formattedCitation":"(Amit, Muller, and Cockburn, 1995; Evans and Leighton, 1989; Shane and Venkataraman, 2000; Shane, 2003)","manualFormatting":"(e.g., Amit, Muller, and Cockburn, 1995; Evans and Leighton, 1989; Shane and Venkataraman, 2000; Shane, 2003)","plainTextFormattedCitation":"(Amit, Muller, and Cockburn, 1995; Evans and Leighton, 1989; Shane and Venkataraman, 2000; Shane, 2003)","previouslyFormattedCitation":"(Amit, Muller, and Cockburn, 1995; Evans and Leighton, 1989; Shane and Venkataraman, 2000; Shane, 2003)"},"properties":{"noteIndex":0},"schema":"https://github.com/citation-style-language/schema/raw/master/csl-citation.json"}</w:instrText>
      </w:r>
      <w:r w:rsidR="0062493A">
        <w:rPr>
          <w:sz w:val="22"/>
          <w:szCs w:val="22"/>
        </w:rPr>
        <w:fldChar w:fldCharType="separate"/>
      </w:r>
      <w:r w:rsidR="0062493A" w:rsidRPr="0062493A">
        <w:rPr>
          <w:noProof/>
          <w:sz w:val="22"/>
          <w:szCs w:val="22"/>
        </w:rPr>
        <w:t>(</w:t>
      </w:r>
      <w:r w:rsidR="0062493A">
        <w:rPr>
          <w:noProof/>
          <w:sz w:val="22"/>
          <w:szCs w:val="22"/>
        </w:rPr>
        <w:t xml:space="preserve">e.g., </w:t>
      </w:r>
      <w:r w:rsidR="0062493A" w:rsidRPr="0062493A">
        <w:rPr>
          <w:noProof/>
          <w:sz w:val="22"/>
          <w:szCs w:val="22"/>
        </w:rPr>
        <w:t>Amit, Muller, and Cockburn, 1995; Evans and Leighton, 1989; Shane and Venkataraman, 2000)</w:t>
      </w:r>
      <w:r w:rsidR="0062493A">
        <w:rPr>
          <w:sz w:val="22"/>
          <w:szCs w:val="22"/>
        </w:rPr>
        <w:fldChar w:fldCharType="end"/>
      </w:r>
      <w:r w:rsidR="00F274CE" w:rsidRPr="00F274CE">
        <w:rPr>
          <w:sz w:val="22"/>
          <w:szCs w:val="22"/>
        </w:rPr>
        <w:t>.</w:t>
      </w:r>
      <w:r w:rsidR="003653FF">
        <w:rPr>
          <w:sz w:val="22"/>
          <w:szCs w:val="22"/>
        </w:rPr>
        <w:t xml:space="preserve"> </w:t>
      </w:r>
      <w:r w:rsidR="008B2586">
        <w:rPr>
          <w:sz w:val="22"/>
          <w:szCs w:val="22"/>
        </w:rPr>
        <w:t xml:space="preserve"> </w:t>
      </w:r>
    </w:p>
    <w:p w14:paraId="0E4D7BCE" w14:textId="2403C3B5" w:rsidR="00470C7B" w:rsidRPr="00A43CB6" w:rsidRDefault="00D013B4" w:rsidP="00A43CB6">
      <w:pPr>
        <w:snapToGrid w:val="0"/>
        <w:spacing w:line="480" w:lineRule="auto"/>
        <w:ind w:firstLine="720"/>
        <w:contextualSpacing/>
        <w:rPr>
          <w:color w:val="000000"/>
          <w:sz w:val="22"/>
          <w:szCs w:val="22"/>
        </w:rPr>
      </w:pPr>
      <w:r>
        <w:rPr>
          <w:sz w:val="22"/>
          <w:szCs w:val="22"/>
        </w:rPr>
        <w:t>T</w:t>
      </w:r>
      <w:r w:rsidR="002A2F57">
        <w:rPr>
          <w:sz w:val="22"/>
          <w:szCs w:val="22"/>
        </w:rPr>
        <w:t xml:space="preserve">he motivation to pursue entrepreneurial opportunities </w:t>
      </w:r>
      <w:r>
        <w:rPr>
          <w:sz w:val="22"/>
          <w:szCs w:val="22"/>
        </w:rPr>
        <w:t>might be higher for women</w:t>
      </w:r>
      <w:r w:rsidR="002A2F57">
        <w:rPr>
          <w:sz w:val="22"/>
          <w:szCs w:val="22"/>
        </w:rPr>
        <w:t xml:space="preserve"> </w:t>
      </w:r>
      <w:r>
        <w:rPr>
          <w:sz w:val="22"/>
          <w:szCs w:val="22"/>
        </w:rPr>
        <w:t>occupying</w:t>
      </w:r>
      <w:r w:rsidR="002A2F57">
        <w:rPr>
          <w:sz w:val="22"/>
          <w:szCs w:val="22"/>
        </w:rPr>
        <w:t xml:space="preserve"> managerial position</w:t>
      </w:r>
      <w:r w:rsidR="00553CDD">
        <w:rPr>
          <w:sz w:val="22"/>
          <w:szCs w:val="22"/>
        </w:rPr>
        <w:t>s</w:t>
      </w:r>
      <w:r w:rsidR="002A2F57">
        <w:rPr>
          <w:sz w:val="22"/>
          <w:szCs w:val="22"/>
        </w:rPr>
        <w:t xml:space="preserve">, </w:t>
      </w:r>
      <w:r>
        <w:rPr>
          <w:sz w:val="22"/>
          <w:szCs w:val="22"/>
        </w:rPr>
        <w:t>since gender disparities</w:t>
      </w:r>
      <w:r w:rsidR="00065CEA">
        <w:rPr>
          <w:sz w:val="22"/>
          <w:szCs w:val="22"/>
        </w:rPr>
        <w:t xml:space="preserve"> and</w:t>
      </w:r>
      <w:r w:rsidR="00FA55B1">
        <w:rPr>
          <w:sz w:val="22"/>
          <w:szCs w:val="22"/>
        </w:rPr>
        <w:t xml:space="preserve"> discriminatory behavio</w:t>
      </w:r>
      <w:r w:rsidR="00065CEA">
        <w:rPr>
          <w:sz w:val="22"/>
          <w:szCs w:val="22"/>
        </w:rPr>
        <w:t>rs</w:t>
      </w:r>
      <w:r>
        <w:rPr>
          <w:sz w:val="22"/>
          <w:szCs w:val="22"/>
        </w:rPr>
        <w:t xml:space="preserve"> might be more salient at higher organizational ranks</w:t>
      </w:r>
      <w:r w:rsidR="002A2F57">
        <w:rPr>
          <w:sz w:val="22"/>
          <w:szCs w:val="22"/>
        </w:rPr>
        <w:t>.</w:t>
      </w:r>
      <w:r>
        <w:rPr>
          <w:sz w:val="22"/>
          <w:szCs w:val="22"/>
        </w:rPr>
        <w:t xml:space="preserve"> First,</w:t>
      </w:r>
      <w:r w:rsidR="002A2F57">
        <w:rPr>
          <w:sz w:val="22"/>
          <w:szCs w:val="22"/>
        </w:rPr>
        <w:t xml:space="preserve"> </w:t>
      </w:r>
      <w:r w:rsidR="00FC4EE0">
        <w:rPr>
          <w:sz w:val="22"/>
          <w:szCs w:val="22"/>
        </w:rPr>
        <w:t>stereotypes</w:t>
      </w:r>
      <w:r w:rsidR="00065CEA">
        <w:rPr>
          <w:sz w:val="22"/>
          <w:szCs w:val="22"/>
        </w:rPr>
        <w:t xml:space="preserve"> </w:t>
      </w:r>
      <w:r w:rsidR="00FC4EE0">
        <w:rPr>
          <w:sz w:val="22"/>
          <w:szCs w:val="22"/>
        </w:rPr>
        <w:t>about gender</w:t>
      </w:r>
      <w:r w:rsidR="00065CEA">
        <w:rPr>
          <w:sz w:val="22"/>
          <w:szCs w:val="22"/>
        </w:rPr>
        <w:t>—and the resulting discriminatory practices</w:t>
      </w:r>
      <w:r w:rsidR="002872E1">
        <w:rPr>
          <w:sz w:val="22"/>
          <w:szCs w:val="22"/>
        </w:rPr>
        <w:t xml:space="preserve"> against female employees</w:t>
      </w:r>
      <w:r w:rsidR="00065CEA">
        <w:rPr>
          <w:sz w:val="22"/>
          <w:szCs w:val="22"/>
        </w:rPr>
        <w:t>—</w:t>
      </w:r>
      <w:r w:rsidR="00354B9A">
        <w:rPr>
          <w:sz w:val="22"/>
          <w:szCs w:val="22"/>
        </w:rPr>
        <w:t xml:space="preserve">tend to be </w:t>
      </w:r>
      <w:r w:rsidR="002A2F57">
        <w:rPr>
          <w:sz w:val="22"/>
          <w:szCs w:val="22"/>
        </w:rPr>
        <w:t>stronger at the managerial level</w:t>
      </w:r>
      <w:r w:rsidR="002872E1">
        <w:rPr>
          <w:sz w:val="22"/>
          <w:szCs w:val="22"/>
        </w:rPr>
        <w:t>s</w:t>
      </w:r>
      <w:r>
        <w:rPr>
          <w:sz w:val="22"/>
          <w:szCs w:val="22"/>
        </w:rPr>
        <w:t>, which are usually</w:t>
      </w:r>
      <w:r w:rsidR="002A2F57">
        <w:rPr>
          <w:sz w:val="22"/>
          <w:szCs w:val="22"/>
        </w:rPr>
        <w:t xml:space="preserve"> associated with masculine qualities</w:t>
      </w:r>
      <w:r w:rsidR="002E2188">
        <w:rPr>
          <w:sz w:val="22"/>
          <w:szCs w:val="22"/>
        </w:rPr>
        <w:t xml:space="preserve"> (</w:t>
      </w:r>
      <w:r w:rsidR="00A04F57" w:rsidRPr="007F065D">
        <w:rPr>
          <w:noProof/>
          <w:sz w:val="22"/>
          <w:szCs w:val="22"/>
        </w:rPr>
        <w:t xml:space="preserve">Eagly et al. </w:t>
      </w:r>
      <w:r w:rsidR="00A04F57" w:rsidRPr="00D95F9F">
        <w:rPr>
          <w:noProof/>
          <w:sz w:val="22"/>
          <w:szCs w:val="22"/>
        </w:rPr>
        <w:t>1992</w:t>
      </w:r>
      <w:r w:rsidR="00A04F57">
        <w:rPr>
          <w:noProof/>
          <w:sz w:val="22"/>
          <w:szCs w:val="22"/>
        </w:rPr>
        <w:t>, Cotter et al. 2001</w:t>
      </w:r>
      <w:r w:rsidR="002E2188">
        <w:rPr>
          <w:noProof/>
          <w:sz w:val="22"/>
          <w:szCs w:val="22"/>
        </w:rPr>
        <w:t>)</w:t>
      </w:r>
      <w:r>
        <w:rPr>
          <w:noProof/>
          <w:sz w:val="22"/>
          <w:szCs w:val="22"/>
        </w:rPr>
        <w:t>.</w:t>
      </w:r>
      <w:r w:rsidR="00FC4EE0" w:rsidRPr="003E148C">
        <w:rPr>
          <w:noProof/>
          <w:sz w:val="22"/>
          <w:szCs w:val="22"/>
        </w:rPr>
        <w:t xml:space="preserve"> </w:t>
      </w:r>
      <w:r w:rsidR="00615C9B" w:rsidRPr="003E148C">
        <w:rPr>
          <w:noProof/>
          <w:sz w:val="22"/>
          <w:szCs w:val="22"/>
        </w:rPr>
        <w:t>In addition, precisely because</w:t>
      </w:r>
      <w:r>
        <w:rPr>
          <w:noProof/>
          <w:sz w:val="22"/>
          <w:szCs w:val="22"/>
        </w:rPr>
        <w:t xml:space="preserve"> of those</w:t>
      </w:r>
      <w:r w:rsidR="00615C9B" w:rsidRPr="003E148C">
        <w:rPr>
          <w:noProof/>
          <w:sz w:val="22"/>
          <w:szCs w:val="22"/>
        </w:rPr>
        <w:t xml:space="preserve"> gender stere</w:t>
      </w:r>
      <w:r>
        <w:rPr>
          <w:noProof/>
          <w:sz w:val="22"/>
          <w:szCs w:val="22"/>
        </w:rPr>
        <w:t>o</w:t>
      </w:r>
      <w:r w:rsidR="00615C9B" w:rsidRPr="003E148C">
        <w:rPr>
          <w:noProof/>
          <w:sz w:val="22"/>
          <w:szCs w:val="22"/>
        </w:rPr>
        <w:t>t</w:t>
      </w:r>
      <w:r>
        <w:rPr>
          <w:noProof/>
          <w:sz w:val="22"/>
          <w:szCs w:val="22"/>
        </w:rPr>
        <w:t>y</w:t>
      </w:r>
      <w:r w:rsidR="00615C9B" w:rsidRPr="003E148C">
        <w:rPr>
          <w:noProof/>
          <w:sz w:val="22"/>
          <w:szCs w:val="22"/>
        </w:rPr>
        <w:t>pes</w:t>
      </w:r>
      <w:r w:rsidR="00615C9B" w:rsidRPr="003E148C">
        <w:rPr>
          <w:sz w:val="22"/>
          <w:szCs w:val="22"/>
        </w:rPr>
        <w:t xml:space="preserve">, </w:t>
      </w:r>
      <w:r w:rsidR="00615C9B">
        <w:rPr>
          <w:sz w:val="22"/>
          <w:szCs w:val="22"/>
        </w:rPr>
        <w:t xml:space="preserve">female </w:t>
      </w:r>
      <w:r w:rsidR="002A2F57">
        <w:rPr>
          <w:sz w:val="22"/>
          <w:szCs w:val="22"/>
        </w:rPr>
        <w:t>workers</w:t>
      </w:r>
      <w:r w:rsidR="00615C9B" w:rsidRPr="003E148C">
        <w:rPr>
          <w:color w:val="000000"/>
          <w:sz w:val="22"/>
          <w:szCs w:val="22"/>
        </w:rPr>
        <w:t xml:space="preserve"> </w:t>
      </w:r>
      <w:r>
        <w:rPr>
          <w:color w:val="000000"/>
          <w:sz w:val="22"/>
          <w:szCs w:val="22"/>
        </w:rPr>
        <w:t>might</w:t>
      </w:r>
      <w:r w:rsidR="00553CDD">
        <w:rPr>
          <w:color w:val="000000"/>
          <w:sz w:val="22"/>
          <w:szCs w:val="22"/>
        </w:rPr>
        <w:t xml:space="preserve"> </w:t>
      </w:r>
      <w:r w:rsidR="00615C9B" w:rsidRPr="003E148C">
        <w:rPr>
          <w:color w:val="000000"/>
          <w:sz w:val="22"/>
          <w:szCs w:val="22"/>
        </w:rPr>
        <w:t xml:space="preserve">face stricter standards </w:t>
      </w:r>
      <w:r w:rsidR="00615C9B">
        <w:rPr>
          <w:color w:val="000000"/>
          <w:sz w:val="22"/>
          <w:szCs w:val="22"/>
        </w:rPr>
        <w:t>when</w:t>
      </w:r>
      <w:r w:rsidR="00615C9B" w:rsidRPr="003E148C">
        <w:rPr>
          <w:color w:val="000000"/>
          <w:sz w:val="22"/>
          <w:szCs w:val="22"/>
        </w:rPr>
        <w:t xml:space="preserve"> </w:t>
      </w:r>
      <w:r w:rsidR="002A2F57">
        <w:rPr>
          <w:color w:val="000000"/>
          <w:sz w:val="22"/>
          <w:szCs w:val="22"/>
        </w:rPr>
        <w:t xml:space="preserve">being </w:t>
      </w:r>
      <w:r w:rsidR="00615C9B" w:rsidRPr="003E148C">
        <w:rPr>
          <w:color w:val="000000"/>
          <w:sz w:val="22"/>
          <w:szCs w:val="22"/>
        </w:rPr>
        <w:t xml:space="preserve">evaluated </w:t>
      </w:r>
      <w:r w:rsidR="002A2F57">
        <w:rPr>
          <w:color w:val="000000"/>
          <w:sz w:val="22"/>
          <w:szCs w:val="22"/>
        </w:rPr>
        <w:t xml:space="preserve">as candidates </w:t>
      </w:r>
      <w:r w:rsidR="00615C9B">
        <w:rPr>
          <w:color w:val="000000"/>
          <w:sz w:val="22"/>
          <w:szCs w:val="22"/>
        </w:rPr>
        <w:t>for managerial positions</w:t>
      </w:r>
      <w:r w:rsidR="00615C9B" w:rsidRPr="003E148C">
        <w:rPr>
          <w:color w:val="000000"/>
          <w:sz w:val="22"/>
          <w:szCs w:val="22"/>
        </w:rPr>
        <w:t xml:space="preserve"> </w:t>
      </w:r>
      <w:r w:rsidR="00615C9B" w:rsidRPr="003E148C">
        <w:rPr>
          <w:noProof/>
          <w:color w:val="000000"/>
          <w:sz w:val="22"/>
          <w:szCs w:val="22"/>
        </w:rPr>
        <w:t>(Ridgeway</w:t>
      </w:r>
      <w:r w:rsidR="009E49A3">
        <w:rPr>
          <w:noProof/>
          <w:color w:val="000000"/>
          <w:sz w:val="22"/>
          <w:szCs w:val="22"/>
        </w:rPr>
        <w:t xml:space="preserve"> and Correll</w:t>
      </w:r>
      <w:r w:rsidR="00615C9B" w:rsidRPr="003E148C">
        <w:rPr>
          <w:noProof/>
          <w:color w:val="000000"/>
          <w:sz w:val="22"/>
          <w:szCs w:val="22"/>
        </w:rPr>
        <w:t xml:space="preserve"> 2006)</w:t>
      </w:r>
      <w:r>
        <w:rPr>
          <w:noProof/>
          <w:color w:val="000000"/>
          <w:sz w:val="22"/>
          <w:szCs w:val="22"/>
        </w:rPr>
        <w:t>—such that</w:t>
      </w:r>
      <w:r w:rsidR="002A2F57">
        <w:rPr>
          <w:noProof/>
          <w:color w:val="000000"/>
          <w:sz w:val="22"/>
          <w:szCs w:val="22"/>
        </w:rPr>
        <w:t xml:space="preserve">, those eventally appointed to managerial roles will </w:t>
      </w:r>
      <w:r w:rsidR="00A04F57">
        <w:rPr>
          <w:noProof/>
          <w:color w:val="000000"/>
          <w:sz w:val="22"/>
          <w:szCs w:val="22"/>
        </w:rPr>
        <w:t>be higher-quality compared to</w:t>
      </w:r>
      <w:r w:rsidR="00615C9B">
        <w:rPr>
          <w:noProof/>
          <w:color w:val="000000"/>
          <w:sz w:val="22"/>
          <w:szCs w:val="22"/>
        </w:rPr>
        <w:t xml:space="preserve"> </w:t>
      </w:r>
      <w:r>
        <w:rPr>
          <w:noProof/>
          <w:color w:val="000000"/>
          <w:sz w:val="22"/>
          <w:szCs w:val="22"/>
        </w:rPr>
        <w:t>their male counterparts</w:t>
      </w:r>
      <w:r w:rsidR="00065CEA">
        <w:rPr>
          <w:noProof/>
          <w:color w:val="000000"/>
          <w:sz w:val="22"/>
          <w:szCs w:val="22"/>
        </w:rPr>
        <w:t>, despite receiving a similar or even lower compensation</w:t>
      </w:r>
      <w:r w:rsidR="00553CDD">
        <w:rPr>
          <w:noProof/>
          <w:color w:val="000000"/>
          <w:sz w:val="22"/>
          <w:szCs w:val="22"/>
        </w:rPr>
        <w:t>.</w:t>
      </w:r>
      <w:r w:rsidR="00065CEA">
        <w:rPr>
          <w:noProof/>
          <w:color w:val="000000"/>
          <w:sz w:val="22"/>
          <w:szCs w:val="22"/>
        </w:rPr>
        <w:t xml:space="preserve"> </w:t>
      </w:r>
      <w:r w:rsidR="00065CEA">
        <w:rPr>
          <w:sz w:val="22"/>
          <w:szCs w:val="22"/>
        </w:rPr>
        <w:t xml:space="preserve">Therefore, </w:t>
      </w:r>
      <w:r w:rsidR="002A2F57">
        <w:rPr>
          <w:color w:val="000000"/>
          <w:sz w:val="22"/>
          <w:szCs w:val="22"/>
        </w:rPr>
        <w:t xml:space="preserve">female managers </w:t>
      </w:r>
      <w:r w:rsidR="00065CEA">
        <w:rPr>
          <w:color w:val="000000"/>
          <w:sz w:val="22"/>
          <w:szCs w:val="22"/>
        </w:rPr>
        <w:t>might see</w:t>
      </w:r>
      <w:r w:rsidR="00B337B9">
        <w:rPr>
          <w:color w:val="000000"/>
          <w:sz w:val="22"/>
          <w:szCs w:val="22"/>
        </w:rPr>
        <w:t xml:space="preserve"> entrepreneurship </w:t>
      </w:r>
      <w:r w:rsidR="002A2F57">
        <w:rPr>
          <w:color w:val="000000"/>
          <w:sz w:val="22"/>
          <w:szCs w:val="22"/>
        </w:rPr>
        <w:t xml:space="preserve">as a way to </w:t>
      </w:r>
      <w:r w:rsidR="00B337B9">
        <w:rPr>
          <w:color w:val="000000"/>
          <w:sz w:val="22"/>
          <w:szCs w:val="22"/>
        </w:rPr>
        <w:t>overcome</w:t>
      </w:r>
      <w:r w:rsidR="00E94CC0">
        <w:rPr>
          <w:color w:val="000000"/>
          <w:sz w:val="22"/>
          <w:szCs w:val="22"/>
        </w:rPr>
        <w:t xml:space="preserve"> </w:t>
      </w:r>
      <w:r w:rsidR="00065CEA">
        <w:rPr>
          <w:color w:val="000000"/>
          <w:sz w:val="22"/>
          <w:szCs w:val="22"/>
        </w:rPr>
        <w:t>discriminatory practices</w:t>
      </w:r>
      <w:r w:rsidR="00FA55B1">
        <w:rPr>
          <w:color w:val="000000"/>
          <w:sz w:val="22"/>
          <w:szCs w:val="22"/>
        </w:rPr>
        <w:t xml:space="preserve"> and possibly achieve a more equitable compensation</w:t>
      </w:r>
      <w:r w:rsidR="00B337B9">
        <w:rPr>
          <w:sz w:val="22"/>
          <w:szCs w:val="22"/>
        </w:rPr>
        <w:t xml:space="preserve">. </w:t>
      </w:r>
      <w:r w:rsidR="00E94CC0">
        <w:rPr>
          <w:sz w:val="22"/>
          <w:szCs w:val="22"/>
        </w:rPr>
        <w:t>Indeed</w:t>
      </w:r>
      <w:r w:rsidR="00B337B9">
        <w:rPr>
          <w:sz w:val="22"/>
          <w:szCs w:val="22"/>
        </w:rPr>
        <w:t>, past studies have found that</w:t>
      </w:r>
      <w:r w:rsidR="00615C9B" w:rsidRPr="00403F3C">
        <w:rPr>
          <w:sz w:val="22"/>
          <w:szCs w:val="22"/>
        </w:rPr>
        <w:t xml:space="preserve"> </w:t>
      </w:r>
      <w:r>
        <w:rPr>
          <w:sz w:val="22"/>
          <w:szCs w:val="22"/>
        </w:rPr>
        <w:t>perceived disparities</w:t>
      </w:r>
      <w:r w:rsidR="002872E1">
        <w:rPr>
          <w:sz w:val="22"/>
          <w:szCs w:val="22"/>
        </w:rPr>
        <w:t xml:space="preserve"> and discrimination at the workplace</w:t>
      </w:r>
      <w:r>
        <w:rPr>
          <w:sz w:val="22"/>
          <w:szCs w:val="22"/>
        </w:rPr>
        <w:t xml:space="preserve"> might be</w:t>
      </w:r>
      <w:r w:rsidR="00E94CC0">
        <w:rPr>
          <w:sz w:val="22"/>
          <w:szCs w:val="22"/>
        </w:rPr>
        <w:t xml:space="preserve"> an important predictor of entrepreneurial entry </w:t>
      </w:r>
      <w:r w:rsidR="00553CDD">
        <w:rPr>
          <w:sz w:val="22"/>
          <w:szCs w:val="22"/>
        </w:rPr>
        <w:t>(</w:t>
      </w:r>
      <w:r w:rsidR="00E94CC0" w:rsidRPr="00403F3C">
        <w:rPr>
          <w:sz w:val="22"/>
          <w:szCs w:val="22"/>
        </w:rPr>
        <w:fldChar w:fldCharType="begin"/>
      </w:r>
      <w:r w:rsidR="00E94CC0" w:rsidRPr="00403F3C">
        <w:rPr>
          <w:sz w:val="22"/>
          <w:szCs w:val="22"/>
        </w:rPr>
        <w:instrText xml:space="preserve"> ADDIN EN.CITE &lt;EndNote&gt;&lt;Cite&gt;&lt;Author&gt;Carnahan&lt;/Author&gt;&lt;Year&gt;2012&lt;/Year&gt;&lt;RecNum&gt;5867&lt;/RecNum&gt;&lt;DisplayText&gt;(Carnahan et al. 2012, Sørensen and Sharkey 2014)&lt;/DisplayText&gt;&lt;record&gt;&lt;rec-number&gt;5867&lt;/rec-number&gt;&lt;foreign-keys&gt;&lt;key app="EN" db-id="9zxdaxv03darx6e5vwc5xwsefzazfzxx2far" timestamp="0"&gt;5867&lt;/key&gt;&lt;/foreign-keys&gt;&lt;ref-type name="Journal Article"&gt;17&lt;/ref-type&gt;&lt;contributors&gt;&lt;authors&gt;&lt;author&gt;Carnahan, Seth&lt;/author&gt;&lt;author&gt;Agarwal, Rajshree&lt;/author&gt;&lt;author&gt;Campbell, Benjamin A&lt;/author&gt;&lt;/authors&gt;&lt;/contributors&gt;&lt;titles&gt;&lt;title&gt;Heterogeneity in turnover: The effect of relative compensation dispersion of firms on the mobility and entrepreneurship of extreme performers&lt;/title&gt;&lt;secondary-title&gt;Strategic Management Journal&lt;/secondary-title&gt;&lt;/titles&gt;&lt;periodical&gt;&lt;full-title&gt;Strategic Management Journal&lt;/full-title&gt;&lt;/periodical&gt;&lt;pages&gt;1411-1430&lt;/pages&gt;&lt;volume&gt;33&lt;/volume&gt;&lt;number&gt;12&lt;/number&gt;&lt;dates&gt;&lt;year&gt;2012&lt;/year&gt;&lt;/dates&gt;&lt;isbn&gt;1097-0266&lt;/isbn&gt;&lt;urls&gt;&lt;/urls&gt;&lt;/record&gt;&lt;/Cite&gt;&lt;Cite&gt;&lt;Author&gt;Sørensen&lt;/Author&gt;&lt;Year&gt;2014&lt;/Year&gt;&lt;RecNum&gt;3428&lt;/RecNum&gt;&lt;record&gt;&lt;rec-number&gt;3428&lt;/rec-number&gt;&lt;foreign-keys&gt;&lt;key app="EN" db-id="9zxdaxv03darx6e5vwc5xwsefzazfzxx2far" timestamp="0"&gt;3428&lt;/key&gt;&lt;/foreign-keys&gt;&lt;ref-type name="Journal Article"&gt;17&lt;/ref-type&gt;&lt;contributors&gt;&lt;authors&gt;&lt;author&gt;Sørensen, Jesper B.&lt;/author&gt;&lt;author&gt;Sharkey, Amanda J.&lt;/author&gt;&lt;/authors&gt;&lt;/contributors&gt;&lt;titles&gt;&lt;title&gt;Entrepreneurship as a Mobility Process&lt;/title&gt;&lt;secondary-title&gt;American Sociological Review&lt;/secondary-title&gt;&lt;/titles&gt;&lt;periodical&gt;&lt;full-title&gt;American Sociological Review&lt;/full-title&gt;&lt;/periodical&gt;&lt;pages&gt;328-349&lt;/pages&gt;&lt;volume&gt;79&lt;/volume&gt;&lt;number&gt;2&lt;/number&gt;&lt;dates&gt;&lt;year&gt;2014&lt;/year&gt;&lt;pub-dates&gt;&lt;date&gt;April 1, 2014&lt;/date&gt;&lt;/pub-dates&gt;&lt;/dates&gt;&lt;urls&gt;&lt;related-urls&gt;&lt;url&gt;http://asr.sagepub.com/content/79/2/328.abstract&lt;/url&gt;&lt;/related-urls&gt;&lt;/urls&gt;&lt;electronic-resource-num&gt;10.1177/0003122414521810&lt;/electronic-resource-num&gt;&lt;/record&gt;&lt;/Cite&gt;&lt;/EndNote&gt;</w:instrText>
      </w:r>
      <w:r w:rsidR="00E94CC0" w:rsidRPr="00403F3C">
        <w:rPr>
          <w:sz w:val="22"/>
          <w:szCs w:val="22"/>
        </w:rPr>
        <w:fldChar w:fldCharType="separate"/>
      </w:r>
      <w:r w:rsidR="00E94CC0">
        <w:rPr>
          <w:noProof/>
          <w:sz w:val="22"/>
          <w:szCs w:val="22"/>
        </w:rPr>
        <w:t>Conti, Kacperczyk, and Valentini, 2019</w:t>
      </w:r>
      <w:r w:rsidR="00E94CC0" w:rsidRPr="00403F3C">
        <w:rPr>
          <w:sz w:val="22"/>
          <w:szCs w:val="22"/>
        </w:rPr>
        <w:fldChar w:fldCharType="end"/>
      </w:r>
      <w:r w:rsidR="00E27DCC">
        <w:rPr>
          <w:sz w:val="22"/>
          <w:szCs w:val="22"/>
        </w:rPr>
        <w:t>), especially for women (</w:t>
      </w:r>
      <w:r w:rsidR="00615C9B" w:rsidRPr="00403F3C">
        <w:rPr>
          <w:sz w:val="22"/>
          <w:szCs w:val="22"/>
        </w:rPr>
        <w:t>Yang, Kacperczyk, and Naldi, 2019).</w:t>
      </w:r>
    </w:p>
    <w:p w14:paraId="15306E5B" w14:textId="219937BF" w:rsidR="005A2B64" w:rsidRPr="002672C0" w:rsidRDefault="00C1431C" w:rsidP="006756E9">
      <w:pPr>
        <w:pStyle w:val="BodyTextIndent"/>
      </w:pPr>
      <w:r w:rsidRPr="002672C0">
        <w:t>Overall</w:t>
      </w:r>
      <w:r w:rsidR="00835EAC" w:rsidRPr="002672C0">
        <w:t xml:space="preserve">, we </w:t>
      </w:r>
      <w:r w:rsidR="00230036" w:rsidRPr="002672C0">
        <w:t xml:space="preserve">therefore </w:t>
      </w:r>
      <w:r w:rsidR="00835EAC" w:rsidRPr="002672C0">
        <w:t>expect th</w:t>
      </w:r>
      <w:r w:rsidR="00B4066C">
        <w:t>at</w:t>
      </w:r>
      <w:r w:rsidR="00FE4D4A">
        <w:t xml:space="preserve">, as </w:t>
      </w:r>
      <w:r w:rsidR="005A2B64" w:rsidRPr="002672C0">
        <w:t xml:space="preserve">entry </w:t>
      </w:r>
      <w:r w:rsidR="004620AE" w:rsidRPr="002672C0">
        <w:t>barriers</w:t>
      </w:r>
      <w:r w:rsidR="001C3F7B">
        <w:t xml:space="preserve"> </w:t>
      </w:r>
      <w:r w:rsidR="00FE4D4A">
        <w:t>fall,</w:t>
      </w:r>
      <w:r w:rsidR="009A7912">
        <w:t xml:space="preserve"> making resources to form new ventures more easily available,</w:t>
      </w:r>
      <w:r w:rsidR="00FE4D4A">
        <w:t xml:space="preserve"> they</w:t>
      </w:r>
      <w:r w:rsidR="004620AE" w:rsidRPr="002672C0">
        <w:t xml:space="preserve"> </w:t>
      </w:r>
      <w:r w:rsidR="00B4066C">
        <w:t xml:space="preserve">will </w:t>
      </w:r>
      <w:r w:rsidR="0052211A">
        <w:t xml:space="preserve">disproportionally </w:t>
      </w:r>
      <w:r w:rsidR="00752A2D">
        <w:t xml:space="preserve">encourage </w:t>
      </w:r>
      <w:r w:rsidR="0052211A">
        <w:t>women</w:t>
      </w:r>
      <w:r w:rsidR="009A7912">
        <w:t>, who tend to lack access to such reso</w:t>
      </w:r>
      <w:r w:rsidR="007F065D">
        <w:t>urces</w:t>
      </w:r>
      <w:r w:rsidR="009A7912">
        <w:t>,</w:t>
      </w:r>
      <w:r w:rsidR="0052211A">
        <w:t xml:space="preserve"> to enter entrepreneurship</w:t>
      </w:r>
      <w:r w:rsidR="00EB30BE">
        <w:t xml:space="preserve">. </w:t>
      </w:r>
      <w:r w:rsidR="007F065D">
        <w:t>This</w:t>
      </w:r>
      <w:r w:rsidR="0052211A">
        <w:t xml:space="preserve"> </w:t>
      </w:r>
      <w:r w:rsidR="00EB30BE">
        <w:t xml:space="preserve">relative </w:t>
      </w:r>
      <w:r w:rsidR="0052211A">
        <w:t>increase</w:t>
      </w:r>
      <w:r w:rsidR="00EB30BE">
        <w:t xml:space="preserve"> </w:t>
      </w:r>
      <w:r w:rsidR="00A404E3">
        <w:t>in the rates of female entry</w:t>
      </w:r>
      <w:r w:rsidR="004D0532">
        <w:t xml:space="preserve"> </w:t>
      </w:r>
      <w:r w:rsidR="0052211A">
        <w:t xml:space="preserve">will be amplified </w:t>
      </w:r>
      <w:r w:rsidR="00A80FCB">
        <w:t>a</w:t>
      </w:r>
      <w:r w:rsidR="004A3511">
        <w:t>t managerial levels</w:t>
      </w:r>
      <w:r w:rsidR="00D013B4">
        <w:t xml:space="preserve">, where </w:t>
      </w:r>
      <w:r w:rsidR="00065CEA">
        <w:t>the negative effect</w:t>
      </w:r>
      <w:r w:rsidR="002872E1">
        <w:t>s</w:t>
      </w:r>
      <w:r w:rsidR="00065CEA">
        <w:t xml:space="preserve"> of </w:t>
      </w:r>
      <w:r w:rsidR="00E94CC0">
        <w:t xml:space="preserve">gender </w:t>
      </w:r>
      <w:r w:rsidR="00065CEA">
        <w:t xml:space="preserve">stereotypes on female workers </w:t>
      </w:r>
      <w:r w:rsidR="00D013B4">
        <w:t xml:space="preserve">might be </w:t>
      </w:r>
      <w:r w:rsidR="002872E1">
        <w:t>especially</w:t>
      </w:r>
      <w:r w:rsidR="00D013B4">
        <w:t xml:space="preserve"> salient</w:t>
      </w:r>
      <w:r w:rsidR="00065CEA">
        <w:t>.</w:t>
      </w:r>
    </w:p>
    <w:p w14:paraId="059ACFAC" w14:textId="6734EF10" w:rsidR="00B73FDA" w:rsidRPr="0058683A" w:rsidRDefault="005A2B64" w:rsidP="00A43CB6">
      <w:pPr>
        <w:pStyle w:val="Hypothesis"/>
        <w:ind w:left="0"/>
      </w:pPr>
      <w:r w:rsidRPr="0058683A">
        <w:t xml:space="preserve">H2: </w:t>
      </w:r>
      <w:r w:rsidR="003104A4">
        <w:t>A</w:t>
      </w:r>
      <w:r w:rsidR="003104A4" w:rsidRPr="0058683A">
        <w:t xml:space="preserve"> </w:t>
      </w:r>
      <w:r w:rsidR="003104A4">
        <w:t>decrease</w:t>
      </w:r>
      <w:r w:rsidR="003104A4" w:rsidRPr="0058683A">
        <w:t xml:space="preserve"> in gender</w:t>
      </w:r>
      <w:r w:rsidR="003104A4">
        <w:t xml:space="preserve"> </w:t>
      </w:r>
      <w:r w:rsidR="008B5223">
        <w:t>disparities</w:t>
      </w:r>
      <w:r w:rsidR="00D9323D">
        <w:t xml:space="preserve"> in entrepreneurship</w:t>
      </w:r>
      <w:r w:rsidR="008B5223" w:rsidRPr="0058683A">
        <w:t xml:space="preserve"> </w:t>
      </w:r>
      <w:r w:rsidR="003104A4" w:rsidRPr="0058683A">
        <w:t xml:space="preserve">following </w:t>
      </w:r>
      <w:r w:rsidR="007C6995">
        <w:t>a</w:t>
      </w:r>
      <w:r w:rsidR="007C6995" w:rsidRPr="0058683A">
        <w:t xml:space="preserve"> </w:t>
      </w:r>
      <w:r w:rsidR="003104A4" w:rsidRPr="0058683A">
        <w:t xml:space="preserve">reduction in barriers to entry will be greater among </w:t>
      </w:r>
      <w:r w:rsidR="003104A4">
        <w:t>employees</w:t>
      </w:r>
      <w:r w:rsidR="003104A4" w:rsidRPr="0058683A">
        <w:t xml:space="preserve"> in </w:t>
      </w:r>
      <w:r w:rsidR="004A3511">
        <w:t>managerial</w:t>
      </w:r>
      <w:r w:rsidR="003104A4" w:rsidRPr="0058683A">
        <w:t xml:space="preserve"> positions.</w:t>
      </w:r>
      <w:r w:rsidR="003104A4">
        <w:t xml:space="preserve"> </w:t>
      </w:r>
    </w:p>
    <w:p w14:paraId="2378BDD3" w14:textId="57468CE1" w:rsidR="004C1E3A" w:rsidRPr="004C1E3A" w:rsidRDefault="004C1E3A" w:rsidP="004C1E3A">
      <w:pPr>
        <w:pStyle w:val="BodyTextIndent"/>
        <w:ind w:firstLine="0"/>
        <w:contextualSpacing/>
        <w:rPr>
          <w:b/>
          <w:sz w:val="24"/>
          <w:szCs w:val="24"/>
        </w:rPr>
      </w:pPr>
      <w:r w:rsidRPr="00D25380">
        <w:rPr>
          <w:b/>
        </w:rPr>
        <w:t>The “</w:t>
      </w:r>
      <w:r>
        <w:rPr>
          <w:b/>
        </w:rPr>
        <w:t>Uni</w:t>
      </w:r>
      <w:r w:rsidRPr="00D25380">
        <w:rPr>
          <w:b/>
        </w:rPr>
        <w:t>ntended” Impact of</w:t>
      </w:r>
      <w:r>
        <w:rPr>
          <w:b/>
        </w:rPr>
        <w:t xml:space="preserve"> Reduction in Barriers to Entrepreneurship</w:t>
      </w:r>
    </w:p>
    <w:p w14:paraId="31315175" w14:textId="0DFC6F95" w:rsidR="008C238A" w:rsidRPr="0058683A" w:rsidRDefault="00976D7E" w:rsidP="004C1E3A">
      <w:pPr>
        <w:pStyle w:val="BodyText"/>
        <w:ind w:firstLine="720"/>
      </w:pPr>
      <w:r>
        <w:t>Regulations that decrease</w:t>
      </w:r>
      <w:r w:rsidR="00412346" w:rsidRPr="0058683A">
        <w:t xml:space="preserve"> entry barriers</w:t>
      </w:r>
      <w:r w:rsidR="001C3F7B">
        <w:t xml:space="preserve"> </w:t>
      </w:r>
      <w:r w:rsidR="00412346" w:rsidRPr="0058683A">
        <w:t xml:space="preserve">will </w:t>
      </w:r>
      <w:r w:rsidR="002672C0">
        <w:t>generate the</w:t>
      </w:r>
      <w:r w:rsidR="00A3212F">
        <w:t xml:space="preserve"> </w:t>
      </w:r>
      <w:r w:rsidR="002672C0">
        <w:t xml:space="preserve">intended effects, by facilitating </w:t>
      </w:r>
      <w:r w:rsidR="00200608">
        <w:t>entrepreneurial entry among women</w:t>
      </w:r>
      <w:r w:rsidR="00E452E9" w:rsidRPr="0058683A">
        <w:t>,</w:t>
      </w:r>
      <w:r w:rsidR="002672C0">
        <w:t xml:space="preserve"> </w:t>
      </w:r>
      <w:r w:rsidR="004A3511">
        <w:t xml:space="preserve">but </w:t>
      </w:r>
      <w:r w:rsidR="002672C0">
        <w:t xml:space="preserve">they will also lead to unintended </w:t>
      </w:r>
      <w:r w:rsidR="00D355F2">
        <w:t>effects</w:t>
      </w:r>
      <w:r w:rsidR="002672C0">
        <w:t xml:space="preserve">, by </w:t>
      </w:r>
      <w:r w:rsidR="00200608">
        <w:t xml:space="preserve">reducing the value </w:t>
      </w:r>
      <w:r w:rsidR="00C62008">
        <w:t xml:space="preserve">creation and </w:t>
      </w:r>
      <w:r>
        <w:t xml:space="preserve">value </w:t>
      </w:r>
      <w:r w:rsidR="00200608">
        <w:t xml:space="preserve">capture </w:t>
      </w:r>
      <w:r w:rsidR="004A3511">
        <w:t>by</w:t>
      </w:r>
      <w:r w:rsidR="00200608">
        <w:t xml:space="preserve"> women who stay </w:t>
      </w:r>
      <w:r w:rsidR="00D355F2">
        <w:t>behind</w:t>
      </w:r>
      <w:r>
        <w:t>, subsequently decreasing their rent appropriation</w:t>
      </w:r>
      <w:r w:rsidR="00200608">
        <w:t>.</w:t>
      </w:r>
      <w:r w:rsidR="00F7464C" w:rsidRPr="0058683A">
        <w:t xml:space="preserve"> </w:t>
      </w:r>
      <w:r w:rsidR="00FE4D4A">
        <w:t>W</w:t>
      </w:r>
      <w:r w:rsidR="00C91242" w:rsidRPr="0058683A">
        <w:t>omen’s wages will d</w:t>
      </w:r>
      <w:r w:rsidR="00737A67" w:rsidRPr="0058683A">
        <w:t xml:space="preserve">ecrease </w:t>
      </w:r>
      <w:r w:rsidR="00DE77F4">
        <w:t xml:space="preserve">relative to men’s </w:t>
      </w:r>
      <w:r w:rsidR="00C91242" w:rsidRPr="0058683A">
        <w:t xml:space="preserve">because </w:t>
      </w:r>
      <w:r w:rsidR="00394D92">
        <w:t>lowering entry barriers</w:t>
      </w:r>
      <w:r w:rsidR="00DE77F4">
        <w:t xml:space="preserve"> will</w:t>
      </w:r>
      <w:r w:rsidR="00C91242" w:rsidRPr="0058683A">
        <w:t xml:space="preserve"> disproportionately </w:t>
      </w:r>
      <w:r w:rsidR="006F6AFB" w:rsidRPr="0058683A">
        <w:t xml:space="preserve">increase turnover among female workers </w:t>
      </w:r>
      <w:r w:rsidR="002F519B">
        <w:t>at</w:t>
      </w:r>
      <w:r w:rsidR="006376F9">
        <w:t xml:space="preserve"> incumbent firms</w:t>
      </w:r>
      <w:r w:rsidR="00C91242" w:rsidRPr="0058683A">
        <w:t xml:space="preserve">. </w:t>
      </w:r>
      <w:r w:rsidR="005C3C39" w:rsidRPr="0058683A">
        <w:t>Th</w:t>
      </w:r>
      <w:r w:rsidR="003522F3" w:rsidRPr="0058683A">
        <w:t>is</w:t>
      </w:r>
      <w:r w:rsidR="005C3C39" w:rsidRPr="0058683A">
        <w:t xml:space="preserve"> disproportionate </w:t>
      </w:r>
      <w:r w:rsidR="003522F3" w:rsidRPr="0058683A">
        <w:t xml:space="preserve">entrepreneurial mobility </w:t>
      </w:r>
      <w:r w:rsidR="006F6AFB" w:rsidRPr="0058683A">
        <w:t>will</w:t>
      </w:r>
      <w:r w:rsidR="00353E98">
        <w:t>,</w:t>
      </w:r>
      <w:r w:rsidR="00D70D7C">
        <w:t xml:space="preserve"> in turn</w:t>
      </w:r>
      <w:r w:rsidR="00353E98">
        <w:t>,</w:t>
      </w:r>
      <w:r w:rsidR="00D70D7C">
        <w:t xml:space="preserve"> </w:t>
      </w:r>
      <w:r w:rsidR="006F6AFB" w:rsidRPr="0058683A">
        <w:t>lead to</w:t>
      </w:r>
      <w:r w:rsidR="00353E98">
        <w:t xml:space="preserve"> a </w:t>
      </w:r>
      <w:r w:rsidR="00DE77F4">
        <w:t>shortfall</w:t>
      </w:r>
      <w:r w:rsidR="00DE77F4" w:rsidRPr="0058683A">
        <w:t xml:space="preserve"> </w:t>
      </w:r>
      <w:r w:rsidR="006F6AFB" w:rsidRPr="0058683A">
        <w:t>in</w:t>
      </w:r>
      <w:r w:rsidR="00C91242" w:rsidRPr="0058683A">
        <w:t xml:space="preserve"> </w:t>
      </w:r>
      <w:r w:rsidR="005C3C39" w:rsidRPr="0058683A">
        <w:t xml:space="preserve">women’s </w:t>
      </w:r>
      <w:r w:rsidR="00C91242" w:rsidRPr="0058683A">
        <w:t>relative wages</w:t>
      </w:r>
      <w:r w:rsidR="00CE1DD3" w:rsidRPr="0058683A">
        <w:t>,</w:t>
      </w:r>
      <w:r w:rsidR="00C91242" w:rsidRPr="0058683A">
        <w:t xml:space="preserve"> for two interrelated reasons. </w:t>
      </w:r>
    </w:p>
    <w:p w14:paraId="01838948" w14:textId="3F77BDB6" w:rsidR="00B81EF9" w:rsidRPr="00535CCB" w:rsidRDefault="00D70D7C" w:rsidP="00FD41E6">
      <w:pPr>
        <w:pStyle w:val="BodyTextIndent"/>
      </w:pPr>
      <w:r>
        <w:t>First</w:t>
      </w:r>
      <w:r w:rsidR="002C127A" w:rsidRPr="0058683A">
        <w:t xml:space="preserve">, </w:t>
      </w:r>
      <w:r w:rsidR="00520B84" w:rsidRPr="0058683A">
        <w:t>high</w:t>
      </w:r>
      <w:r w:rsidR="00CE1DD3" w:rsidRPr="0058683A">
        <w:t>er</w:t>
      </w:r>
      <w:r w:rsidR="002C127A" w:rsidRPr="0058683A">
        <w:t xml:space="preserve"> </w:t>
      </w:r>
      <w:r w:rsidR="00C54750">
        <w:t xml:space="preserve">entrepreneurial </w:t>
      </w:r>
      <w:r w:rsidR="002C127A" w:rsidRPr="0058683A">
        <w:t xml:space="preserve">mobility among </w:t>
      </w:r>
      <w:r w:rsidR="00C54750">
        <w:t>women in paid employment</w:t>
      </w:r>
      <w:r w:rsidR="002C127A" w:rsidRPr="0058683A">
        <w:t xml:space="preserve"> </w:t>
      </w:r>
      <w:r w:rsidR="00DE77F4">
        <w:t>will</w:t>
      </w:r>
      <w:r w:rsidR="00DE77F4" w:rsidRPr="0058683A">
        <w:t xml:space="preserve"> </w:t>
      </w:r>
      <w:r w:rsidR="00CE1DD3" w:rsidRPr="0058683A">
        <w:t xml:space="preserve">lead to productivity losses </w:t>
      </w:r>
      <w:r w:rsidR="002C127A" w:rsidRPr="0058683A">
        <w:t xml:space="preserve">among </w:t>
      </w:r>
      <w:r w:rsidR="00CE1DD3" w:rsidRPr="0058683A">
        <w:t>the remaining female workers</w:t>
      </w:r>
      <w:r w:rsidR="00DE77F4">
        <w:t>. D</w:t>
      </w:r>
      <w:r>
        <w:t>isproportiona</w:t>
      </w:r>
      <w:r w:rsidR="00DE77F4">
        <w:t>l</w:t>
      </w:r>
      <w:r>
        <w:t xml:space="preserve"> </w:t>
      </w:r>
      <w:r w:rsidR="00BD05B5">
        <w:t xml:space="preserve">female </w:t>
      </w:r>
      <w:r w:rsidR="00976D7E">
        <w:t xml:space="preserve">mobility into entrepreneurship </w:t>
      </w:r>
      <w:r w:rsidR="00DE77F4">
        <w:t xml:space="preserve">will </w:t>
      </w:r>
      <w:r w:rsidR="00353E98">
        <w:t>trigger</w:t>
      </w:r>
      <w:r w:rsidR="00DE77F4">
        <w:t xml:space="preserve"> </w:t>
      </w:r>
      <w:r w:rsidR="00353E98">
        <w:t xml:space="preserve">change in </w:t>
      </w:r>
      <w:r w:rsidR="002F4AD9">
        <w:t>relationships and organizational culture</w:t>
      </w:r>
      <w:r w:rsidR="003363D2">
        <w:t xml:space="preserve">, </w:t>
      </w:r>
      <w:r w:rsidR="00D355F2">
        <w:t>fostering</w:t>
      </w:r>
      <w:r w:rsidR="003363D2">
        <w:t xml:space="preserve"> less female-friendly</w:t>
      </w:r>
      <w:r w:rsidR="00036536">
        <w:t xml:space="preserve"> or female-oriented</w:t>
      </w:r>
      <w:r w:rsidR="00D355F2">
        <w:t xml:space="preserve"> environment</w:t>
      </w:r>
      <w:r w:rsidR="002F4AD9">
        <w:t xml:space="preserve"> (Kanter, 1977)</w:t>
      </w:r>
      <w:r w:rsidR="003363D2">
        <w:t xml:space="preserve">. </w:t>
      </w:r>
      <w:r w:rsidR="004A3511">
        <w:t>It has been well established</w:t>
      </w:r>
      <w:r w:rsidR="00976D7E">
        <w:t>, for example,</w:t>
      </w:r>
      <w:r w:rsidR="004A3511">
        <w:t xml:space="preserve"> that</w:t>
      </w:r>
      <w:r w:rsidR="003363D2" w:rsidRPr="0058683A">
        <w:t xml:space="preserve"> </w:t>
      </w:r>
      <w:r w:rsidR="00FD41E6">
        <w:t>individuals, and especially minorities such as women, tend to</w:t>
      </w:r>
      <w:r w:rsidR="003363D2">
        <w:t xml:space="preserve"> rely</w:t>
      </w:r>
      <w:r w:rsidR="00976D7E">
        <w:t xml:space="preserve"> heavily</w:t>
      </w:r>
      <w:r w:rsidR="003363D2">
        <w:t xml:space="preserve"> on</w:t>
      </w:r>
      <w:r w:rsidR="003363D2" w:rsidRPr="0058683A">
        <w:t xml:space="preserve"> demographically </w:t>
      </w:r>
      <w:r w:rsidR="003363D2" w:rsidRPr="00535CCB">
        <w:t>similar others</w:t>
      </w:r>
      <w:r w:rsidR="00976D7E" w:rsidRPr="00535CCB">
        <w:t xml:space="preserve"> </w:t>
      </w:r>
      <w:r w:rsidR="00976D7E" w:rsidRPr="00535CCB">
        <w:fldChar w:fldCharType="begin" w:fldLock="1"/>
      </w:r>
      <w:r w:rsidR="00976D7E" w:rsidRPr="00E9760F">
        <w:instrText>ADDIN CSL_CITATION {"citationItems":[{"id":"ITEM-1","itemData":{"DOI":"10.1093/sf/56.2.576","ISBN":"00377732","ISSN":"15347605","PMID":"5285424","abstract":"This paper examines bias toward status-similarity in adult friendships in Detroit and a West German city. Principles of meeting and \"mating,\" by which strangers are converted to acquaintances and acquaintances to friends, are stated. One of these, the proximity principle, claims that the more similar people are, the more likely they will meet and become friends. This principle is tested in matrices of friendship choice for twelve social characteristics. Two statistical measures of bias are used (odds ratio and marginal ratio) and their properties discussed. Compared to a random-choice model, adult friendships show strong bias toward status similarity for all social characteristics. Bias is strongest for \"edge\" categories of ranked statuses and for \"best\" friends. The less similar two people are in social characteristics, the less likely they are to be close friends. Demographic characteristics tend to show more bias toward homogeneous choices than other characteristics. These findings are explained and further analyses of adult friendship structure and dynamics are discussed","author":[{"dropping-particle":"","family":"Verbrugge","given":"Lois M.","non-dropping-particle":"","parse-names":false,"suffix":""}],"container-title":"Social Forces","id":"ITEM-1","issue":"2","issued":{"date-parts":[["1977"]]},"page":"576-597","title":"The structure of adult friendship choices","type":"article-journal","volume":"56"},"uris":["http://www.mendeley.com/documents/?uuid=a6c6239b-5ab7-4e94-a15d-ee04db63b653"]},{"id":"ITEM-2","itemData":{"DOI":"10.5465/amr.2005.15281546","ISBN":"03637425","ISSN":"03637425","PMID":"15281546","abstract":"A review is presented of the book \"Social Networks and Organizations,\"\\nby Martin Kilduff and Wenpin Tsai.","author":[{"dropping-particle":"","family":"Merton","given":"Robert K.","non-dropping-particle":"","parse-names":false,"suffix":""},{"dropping-particle":"","family":"Lazarsfeld","given":"Paul","non-dropping-particle":"","parse-names":false,"suffix":""}],"container-title":"Freedom and Control in Modern Society","id":"ITEM-2","issued":{"date-parts":[["1954"]]},"title":"Friendship as a Social Process: A Substantive and Methodological Analysis","type":"chapter"},"uris":["http://www.mendeley.com/documents/?uuid=a034e85f-be9b-426e-9382-80dd50a7f801"]},{"id":"ITEM-3","itemData":{"DOI":"10.2189/asqu.52.4.558","ISBN":"0001-8392","ISSN":"0001-8392","PMID":"31389304","abstract":"We used electronic name tags to conduct a fine-grained analysis of the pattern of socializing dynamics at a mixer attended by about 100 business people, to examine whether individuals in such minimally structured social events can initiate new and different contacts, despite the tendency to interact with those they already know or who are similar to them. The results show that guests did not mix as much as might be expected in terms of making new contacts. They were much more likely to encounter their pre-mixer friends, even though they overwhelmingly stated before the event that their goal was to meet new people. At the same time, guests did mix in the sense of encountering others who were different from themselves in terms of sex, race, education, and job. There was no evidence of homophily (attraction to similar others) in the average encounter, although it did operate for some guests at some points in the mixer. Results also revealed a phenomenon that we call \"associative homophily,\" in which guests were more likely to join and continue engagement with a group as long as it contained at least one other person of the same race as them. We consider the implications of these results for organizations and individuals seeking to develop their networks and for theories of network dynamics. [ABSTRACT FROM AUTHOR]","author":[{"dropping-particle":"","family":"Ingram","given":"Paul","non-dropping-particle":"","parse-names":false,"suffix":""},{"dropping-particle":"","family":"Morris","given":"Michael W.","non-dropping-particle":"","parse-names":false,"suffix":""}],"container-title":"Administrative Science Quarterly","id":"ITEM-3","issue":"4","issued":{"date-parts":[["2007"]]},"page":"558-585","title":"Do People Mix at Mixers? Structure, Homophily, and the “Life of the Party”","type":"article-journal","volume":"52"},"uris":["http://www.mendeley.com/documents/?uuid=033b8292-42cf-4ab0-a37c-0bbb0d1bedb6"]}],"mendeley":{"formattedCitation":"(Ingram and Morris, 2007; Merton and Lazarsfeld, 1954; Verbrugge, 1977)","manualFormatting":"(e.g., Ingram and Morris 2007, Merton and Lazarsfeld 1954, Verbrugge 1977)","plainTextFormattedCitation":"(Ingram and Morris, 2007; Merton and Lazarsfeld, 1954; Verbrugge, 1977)","previouslyFormattedCitation":"(Ingram and Morris, 2007; Merton and Lazarsfeld, 1954; Verbrugge, 1977)"},"properties":{"noteIndex":0},"schema":"https://github.com/citation-style-language/schema/raw/master/csl-citation.json"}</w:instrText>
      </w:r>
      <w:r w:rsidR="00976D7E" w:rsidRPr="00535CCB">
        <w:fldChar w:fldCharType="separate"/>
      </w:r>
      <w:r w:rsidR="00976D7E" w:rsidRPr="00535CCB">
        <w:rPr>
          <w:noProof/>
        </w:rPr>
        <w:t>(e.g., Ingram and Morris 2007, Verbrugge 1977)</w:t>
      </w:r>
      <w:r w:rsidR="00976D7E" w:rsidRPr="00535CCB">
        <w:fldChar w:fldCharType="end"/>
      </w:r>
      <w:r w:rsidR="003363D2" w:rsidRPr="00535CCB">
        <w:t>, exhibiting a strong preference for homophilous groups</w:t>
      </w:r>
      <w:r w:rsidR="00FD41E6" w:rsidRPr="00535CCB">
        <w:t xml:space="preserve"> in general</w:t>
      </w:r>
      <w:r w:rsidR="00976D7E" w:rsidRPr="00535CCB">
        <w:t>,</w:t>
      </w:r>
      <w:r w:rsidR="00FD41E6" w:rsidRPr="00535CCB">
        <w:t xml:space="preserve"> and within the work context in particular</w:t>
      </w:r>
      <w:r w:rsidR="003363D2" w:rsidRPr="00535CCB">
        <w:t xml:space="preserve"> </w:t>
      </w:r>
      <w:r w:rsidR="003363D2" w:rsidRPr="00535CCB">
        <w:fldChar w:fldCharType="begin" w:fldLock="1"/>
      </w:r>
      <w:r w:rsidR="003363D2" w:rsidRPr="00E9760F">
        <w:instrText>ADDIN CSL_CITATION {"citationItems":[{"id":"ITEM-1","itemData":{"DOI":"10.1111/j.2044-8325.1996.tb00613.x","ISBN":"09631798","ISSN":"09631798","PMID":"9671","abstract":"Using structural equation modelling, the present study examined the effect of sex simi-larity on interviewers\" evaluations of actual applicants and assessed whether interview quality mediated this eftecc. It was hypothesized that sex similarity would positively affect interview quality, which, in turn, would affect interview outcomes. Interviewers were expected to view interactions with same-sex applicants as higher in quality than interactions with opposite-sex applicants. As a result, same-sex applicants were expected to receive more favourable outcomes than opposite-sex applicants. Analysis of data from 680 interviews provided partial support for this hypothesis. Sex similarity did not affect male recruiters' perceptions of interview quality or evaluations of applicants. However, as hypothesized, female recruiters reported better interview experiences with female applicants than male appiicants and, in turn, evaluated them more favourably. Gender differences in recruiters' communication styles, social identification processes, and re-actions to organizational equal opportunity policies are offered as possible explanations for the disparate results for male and female recruiters.","author":[{"dropping-particle":"","family":"Graves","given":"Laura M.","non-dropping-particle":"","parse-names":false,"suffix":""},{"dropping-particle":"","family":"Powell","given":"Gary N.","non-dropping-particle":"","parse-names":false,"suffix":""}],"container-title":"Journal of Occupational and Organizational Psychology","id":"ITEM-1","issue":"3","issued":{"date-parts":[["1996"]]},"page":"243-261","title":"Sex similarity, quality of the employment interview and recruiters' evaluation of actual applicants","type":"article-journal","volume":"69"},"uris":["http://www.mendeley.com/documents/?uuid=2475c632-5c66-4db6-91fb-ba4c9f4132f1"]},{"id":"ITEM-2","itemData":{"DOI":"10.1093/icc/dtp050","ISBN":"0960-6491\\n1464-3650","ISSN":"09606491","PMID":"50986446","abstract":"To many, the principal-agent model is the obvious lens through which executive pay should be viewed. Such a sentiment sits uncomfortably with a large number of empirical studies suggesting that the process of determining executive pay seems to be more readily explained by recourse to arguments of managerial power and influence. This article investigates the micro-underpinnings of boardroom behavior in order to explain this departure from principal-agency theory’s argument that executive compensation serves to align interests between the owners of the company and its senior managers. We find that there are strong interaction effects among social influence variables and the social setting of boardroom activity. Generous pay awards, bearing only a weak connection to corporate performance, are explained in the context of the social psychology of the boardroom. These results and a review of the empirical research, suggest the need for a more comprehensive model of executive compensation that incorporates both economic and psychological determinants.","author":[{"dropping-particle":"","family":"O'Reilly","given":"Charles A.","non-dropping-particle":"","parse-names":false,"suffix":""},{"dropping-particle":"","family":"Main","given":"Brian G.M.","non-dropping-particle":"","parse-names":false,"suffix":""}],"container-title":"Industrial and Corporate Change","id":"ITEM-2","issue":"3","issued":{"date-parts":[["2010"]]},"page":"675-712","title":"Economic and psychological perspectives on CEO compensation: A review and synthesis","type":"article-journal","volume":"19"},"uris":["http://www.mendeley.com/documents/?uuid=bbce6885-bd61-4f61-9899-5f9cfb85d0fe"]},{"id":"ITEM-3","itemData":{"ISSN":"0001-8392","author":[{"dropping-particle":"","family":"Westphal","given":"James D","non-dropping-particle":"","parse-names":false,"suffix":""},{"dropping-particle":"","family":"Zajac","given":"Edward J","non-dropping-particle":"","parse-names":false,"suffix":""}],"container-title":"Administrative science quarterly","id":"ITEM-3","issue":"1","issued":{"date-parts":[["1995"]]},"page":"60-83","title":"Who shall govern? CEO/board power, demographic similarity, and new director selection","type":"article-journal","volume":"40"},"uris":["http://www.mendeley.com/documents/?uuid=82a32ae4-5869-44c3-aaee-64f7a21cbaab"]}],"mendeley":{"formattedCitation":"(Graves and Powell, 1996; O’Reilly and Main, 2010; Westphal and Zajac, 1995)","plainTextFormattedCitation":"(Graves and Powell, 1996; O’Reilly and Main, 2010; Westphal and Zajac, 1995)","previouslyFormattedCitation":"(Graves and Powell, 1996; O’Reilly and Main, 2010; Westphal and Zajac, 1995)"},"properties":{"noteIndex":0},"schema":"https://github.com/citation-style-language/schema/raw/master/csl-citation.json"}</w:instrText>
      </w:r>
      <w:r w:rsidR="003363D2" w:rsidRPr="00535CCB">
        <w:fldChar w:fldCharType="separate"/>
      </w:r>
      <w:r w:rsidR="003363D2" w:rsidRPr="00535CCB">
        <w:rPr>
          <w:noProof/>
        </w:rPr>
        <w:t>(Graves and Powell, 1996; Westphal and Zajac, 1995)</w:t>
      </w:r>
      <w:r w:rsidR="003363D2" w:rsidRPr="00535CCB">
        <w:fldChar w:fldCharType="end"/>
      </w:r>
      <w:r w:rsidR="003363D2" w:rsidRPr="00535CCB">
        <w:t xml:space="preserve">. </w:t>
      </w:r>
      <w:r w:rsidR="00FD41E6" w:rsidRPr="00535CCB">
        <w:t>Thus,</w:t>
      </w:r>
      <w:r w:rsidR="003363D2" w:rsidRPr="00535CCB">
        <w:t xml:space="preserve"> </w:t>
      </w:r>
      <w:r w:rsidR="00FD41E6" w:rsidRPr="00535CCB">
        <w:t xml:space="preserve">following the </w:t>
      </w:r>
      <w:r w:rsidR="00535CCB">
        <w:t xml:space="preserve">disproportionally higher </w:t>
      </w:r>
      <w:r w:rsidR="00FD41E6" w:rsidRPr="00535CCB">
        <w:t xml:space="preserve">departure of female colleagues to entrepreneurship, </w:t>
      </w:r>
      <w:r w:rsidR="003363D2" w:rsidRPr="00535CCB">
        <w:t xml:space="preserve">the remaining female employees will lose </w:t>
      </w:r>
      <w:r w:rsidR="00D34F8D">
        <w:t xml:space="preserve">the </w:t>
      </w:r>
      <w:r w:rsidR="00FD41E6" w:rsidRPr="00535CCB">
        <w:t>support, mentorship</w:t>
      </w:r>
      <w:r w:rsidR="00D34F8D">
        <w:t>,</w:t>
      </w:r>
      <w:r w:rsidR="00FD41E6" w:rsidRPr="00535CCB">
        <w:t xml:space="preserve"> </w:t>
      </w:r>
      <w:r w:rsidR="00D34F8D">
        <w:t>and</w:t>
      </w:r>
      <w:r w:rsidR="00D34F8D" w:rsidRPr="00535CCB">
        <w:t xml:space="preserve"> </w:t>
      </w:r>
      <w:r w:rsidR="00FD41E6" w:rsidRPr="00535CCB">
        <w:t>help of</w:t>
      </w:r>
      <w:r w:rsidR="00D34F8D">
        <w:t xml:space="preserve"> some of</w:t>
      </w:r>
      <w:r w:rsidR="00FD41E6" w:rsidRPr="00535CCB">
        <w:t xml:space="preserve"> their socially proximate peers</w:t>
      </w:r>
      <w:r w:rsidR="00535CCB" w:rsidRPr="00535CCB">
        <w:t xml:space="preserve">. </w:t>
      </w:r>
      <w:r w:rsidR="00553C07" w:rsidRPr="00535CCB">
        <w:t xml:space="preserve">This may subsequently decrease the productivity of </w:t>
      </w:r>
      <w:r w:rsidR="00D650BF">
        <w:t xml:space="preserve">staying </w:t>
      </w:r>
      <w:r w:rsidR="00553C07" w:rsidRPr="00535CCB">
        <w:t>female employees</w:t>
      </w:r>
      <w:r w:rsidR="002B3326">
        <w:t>,</w:t>
      </w:r>
      <w:r w:rsidR="00553C07" w:rsidRPr="00535CCB">
        <w:t xml:space="preserve"> </w:t>
      </w:r>
      <w:r w:rsidR="00FE4D4A">
        <w:t xml:space="preserve">reducing their rent appropriation within an </w:t>
      </w:r>
      <w:r w:rsidR="00451171">
        <w:t>employer firm</w:t>
      </w:r>
      <w:r w:rsidR="00553C07">
        <w:t>.</w:t>
      </w:r>
    </w:p>
    <w:p w14:paraId="753401B0" w14:textId="4C2DBF43" w:rsidR="000F161E" w:rsidRDefault="00D70D7C" w:rsidP="00485378">
      <w:pPr>
        <w:pStyle w:val="BodyTextIndent"/>
      </w:pPr>
      <w:r>
        <w:t>Second</w:t>
      </w:r>
      <w:r w:rsidRPr="0058683A">
        <w:t>,</w:t>
      </w:r>
      <w:r w:rsidR="004B6FD5">
        <w:t xml:space="preserve"> the</w:t>
      </w:r>
      <w:r w:rsidRPr="0058683A">
        <w:t xml:space="preserve"> bargaining power </w:t>
      </w:r>
      <w:r w:rsidR="006E3002">
        <w:t xml:space="preserve">of women as a group </w:t>
      </w:r>
      <w:r w:rsidRPr="0058683A">
        <w:t>vis-à-vis the</w:t>
      </w:r>
      <w:r w:rsidR="006E3002">
        <w:t>ir</w:t>
      </w:r>
      <w:r w:rsidRPr="0058683A">
        <w:t xml:space="preserve"> employer will </w:t>
      </w:r>
      <w:r w:rsidR="002F519B">
        <w:t xml:space="preserve">also likely </w:t>
      </w:r>
      <w:r>
        <w:t>decline</w:t>
      </w:r>
      <w:r w:rsidR="000F161E">
        <w:t>,</w:t>
      </w:r>
      <w:r w:rsidR="00976D7E">
        <w:t xml:space="preserve"> </w:t>
      </w:r>
      <w:r w:rsidR="004B6FD5">
        <w:t>as female</w:t>
      </w:r>
      <w:r w:rsidR="000F161E">
        <w:t>s’</w:t>
      </w:r>
      <w:r w:rsidR="004B6FD5">
        <w:t xml:space="preserve"> mobility</w:t>
      </w:r>
      <w:r w:rsidR="00976D7E">
        <w:t xml:space="preserve"> </w:t>
      </w:r>
      <w:r w:rsidR="004B6FD5">
        <w:t>in</w:t>
      </w:r>
      <w:r w:rsidR="00976D7E">
        <w:t>to entrepreneurship</w:t>
      </w:r>
      <w:r w:rsidR="004B6FD5">
        <w:t xml:space="preserve"> increases</w:t>
      </w:r>
      <w:r w:rsidRPr="0058683A">
        <w:t xml:space="preserve">. </w:t>
      </w:r>
      <w:r w:rsidR="006E3002">
        <w:t>S</w:t>
      </w:r>
      <w:r w:rsidRPr="0058683A">
        <w:t>everal strands of research suggest that</w:t>
      </w:r>
      <w:r w:rsidR="000F161E">
        <w:t>,</w:t>
      </w:r>
      <w:r w:rsidRPr="0058683A">
        <w:t xml:space="preserve"> as </w:t>
      </w:r>
      <w:r w:rsidR="00367AEC">
        <w:t>disadvantaged or</w:t>
      </w:r>
      <w:r w:rsidR="002074E6">
        <w:t xml:space="preserve"> </w:t>
      </w:r>
      <w:r>
        <w:t xml:space="preserve">minority groups </w:t>
      </w:r>
      <w:r w:rsidR="002074E6">
        <w:t>(</w:t>
      </w:r>
      <w:r>
        <w:t>such as women or non-</w:t>
      </w:r>
      <w:r w:rsidR="003F20B8">
        <w:t>w</w:t>
      </w:r>
      <w:r>
        <w:t>hites</w:t>
      </w:r>
      <w:r w:rsidR="002074E6">
        <w:t>)</w:t>
      </w:r>
      <w:r w:rsidR="0096492C">
        <w:t xml:space="preserve"> </w:t>
      </w:r>
      <w:r w:rsidRPr="0058683A">
        <w:t xml:space="preserve">become </w:t>
      </w:r>
      <w:r w:rsidR="006E3002">
        <w:t xml:space="preserve">less </w:t>
      </w:r>
      <w:r w:rsidRPr="0058683A">
        <w:t>represented in the firm</w:t>
      </w:r>
      <w:r w:rsidR="002074E6">
        <w:t>,</w:t>
      </w:r>
      <w:r w:rsidRPr="0058683A">
        <w:t xml:space="preserve"> their influence over other </w:t>
      </w:r>
      <w:r w:rsidR="006E3002">
        <w:t>organizational members</w:t>
      </w:r>
      <w:r w:rsidRPr="0058683A">
        <w:t xml:space="preserve"> or important organizational-level outcomes </w:t>
      </w:r>
      <w:r>
        <w:t>decreases</w:t>
      </w:r>
      <w:r w:rsidR="000F161E">
        <w:t xml:space="preserve"> dramatically</w:t>
      </w:r>
      <w:r w:rsidR="0096492C">
        <w:t>,</w:t>
      </w:r>
      <w:r w:rsidRPr="0058683A">
        <w:t xml:space="preserve"> </w:t>
      </w:r>
      <w:r w:rsidR="002F4AD9">
        <w:t xml:space="preserve">partly </w:t>
      </w:r>
      <w:r w:rsidRPr="0058683A">
        <w:t>because forming coalitions</w:t>
      </w:r>
      <w:r>
        <w:t xml:space="preserve"> with </w:t>
      </w:r>
      <w:r w:rsidR="006E3002">
        <w:t>socially proximate peers</w:t>
      </w:r>
      <w:r w:rsidRPr="0058683A">
        <w:t xml:space="preserve"> becomes more challenging </w:t>
      </w:r>
      <w:r w:rsidRPr="0058683A">
        <w:fldChar w:fldCharType="begin" w:fldLock="1"/>
      </w:r>
      <w:r w:rsidR="00B70018">
        <w:instrText>ADDIN CSL_CITATION {"citationItems":[{"id":"ITEM-1","itemData":{"DOI":"10.1007/s10551-011-0815-z","ISBN":"0167-4544","ISSN":"01674544","PMID":"63899439","abstract":"Academic debate on the strategic importance of women corporate directors is widely recognized and still open. However, most corporate boards have only one woman director or a small minority of women directors. Therefore they can still be considered as tokens. This article addresses the following question: does an increased number of women corporate boards result in a build up of critical mass that substantially contributes to firm innovation? The aim is to test if 'at least three women' could constitute the desired critical mass by identifying different minorities of women directors (one woman, two women and at least three women). Tests are conducted on a sample of 317 Norwegian firms. The results suggest that attaining critical mass - going from one or two women (a few tokens) to at least three women (consistent minority) - makes it possible to enhance the level of firm innovation. Moreover, the results show that the relationship between the critical mass of women directors and the level of firm innovation is mediated by board strategic tasks. Implications for both theory and practice, and future research directions are discussed.","author":[{"dropping-particle":"","family":"Torchia","given":"Mariateresa","non-dropping-particle":"","parse-names":false,"suffix":""},{"dropping-particle":"","family":"Calabrò","given":"Andrea","non-dropping-particle":"","parse-names":false,"suffix":""},{"dropping-particle":"","family":"Huse","given":"Morten","non-dropping-particle":"","parse-names":false,"suffix":""}],"container-title":"Journal of Business Ethics","id":"ITEM-1","issue":"2","issued":{"date-parts":[["2011"]]},"page":"299-317","title":"Women Directors on Corporate Boards: From Tokenism to Critical Mass","type":"article-journal","volume":"102"},"uris":["http://www.mendeley.com/documents/?uuid=10f3488c-d9fa-460f-836b-b48823f68618"]},{"id":"ITEM-2","itemData":{"DOI":"10.2139/ssrn.236441","ISBN":"00018392","ISSN":"00018392","PMID":"3468178","abstract":"This study examines how the influence of directors who are demographic minorities on corporate boards is contingent on the prior experience of board members and the larger social structural context in which demographic differences are embedded. We assess the effects of minority status according to functional background, industry background, education, race, and gender for a large sample of corporate outside directors at Fortune/Forbes 500 companies. The results show that (1) the prior experience of minority directors in a minority role on other boards can enhance their ability to exert influence on the focal board, while the prior experience of minority directors in a majority role can reduce their influence; (2) the prior experience of majority directors in a minority role on other boards can enhance the influence of minority directors on the focal board, and (3) minority directors are more influential if they have direct or indirect social network ties to majority directors through common memberships on other boards. Results suggest that demographic minorities can avoid out-group biases that would otherwise minimize their influence when they have prior experience on other boards or social network ties to other directors that enable them to create the perception of similarity with the majority.","author":[{"dropping-particle":"","family":"Westphal","given":"James D.","non-dropping-particle":"","parse-names":false,"suffix":""},{"dropping-particle":"","family":"Milton","given":"Laurie P.","non-dropping-particle":"","parse-names":false,"suffix":""}],"container-title":"Administrative Science Quarterly","id":"ITEM-2","issue":"2","issued":{"date-parts":[["2000"]]},"page":"366-398","title":"How Experience and Network Ties Affect the Influence of Demographic Minorities on Corporate Boards","type":"article-journal","volume":"45"},"uris":["http://www.mendeley.com/documents/?uuid=068344dd-71fd-4329-9222-2f666a6ec297"]},{"id":"ITEM-3","itemData":{"abstract":"Contends that in most studies comparing majority and minority influence, there is an emphasis on influence in the sense of prevailing. Within this context, evidence exists that majorities exert more public influence and that minority influence, when it occurs, tends to operate primarily at the latent level. In the present formulation, it is proposed that the differences between majority and minority influence are more extensive once influence is considered in a broader context and that exposure to persistent minority views fosters greater thought about the issue. Furthermore, this thought tends to be divergent rather than convergent, so that people tend to be better decision makers because they attend to more aspects of the situation and reexamine premises. By contrast, it is proposed that exposure to persistent majority views fosters convergent thinking and leads to an unreflective acceptance of the majority position. Three studies by the author (1976) and by the author and J. Kwan (1985) that directly tested some of the propositions are reviewed, and the formulation is linked to available knowledge in the areas of social cognition, creativity, and problem solving both at the individual and group levels. (64 ref) ((c) 1999 APA/PsycINFO, all rights reserved)","author":[{"dropping-particle":"","family":"Nemeth","given":"Charlan J","non-dropping-particle":"","parse-names":false,"suffix":""}],"container-title":"Psychological Review","id":"ITEM-3","issue":"1","issued":{"date-parts":[["1986"]]},"note":"___Mortensen___\nNemeth, Charlan Jeanne, (1986) - &amp;quot;Differential Contributions of Majority and Minority Influence&amp;quot;.\n\n--------------------------------------------------------------------------------\nAuthor's Key Points: \nExposure to persistent minority foster great thought about the issues and divergent thinking, and therefore results in better decision making, while exposure to persistent majority foster convergent thinking and leads to unreflective acceptance of the majority position. \nTheoretical strain\nNemeth builds on research that has explored the differences between the influence process of majorities and minorities in persuasion. Building on the distinction made between public movement and private influence, Moscovici et al. (1969) detected that movement to the minority view is often detected at the latent level even when manifest movement is not found. Moscovic (1980) argued that majorities induce compliance behavior whereas minorities induce conversion behavior. The influence exerted by minorities tend to be underestimated and may be deeper than it seems. \nNemeth addresses the issue of &amp;quot;how they think about the issues and the consequences of such thought processes for the quality of the solutions they find and the decisions they make&amp;quot;. She is interested in the ways these processes affect attention and problem solving and she argue that persons exposed to opposing minority views exert more cognitive effort, and will tend to think in divergent ways. Three mechanisms are suggested to explain this argument. The first mechanism is based on the evidence that individuals exposed to majority opposing views are under much more stress than individuals exposed to minority influence. The moderate stress experienced by the former group could be best suited for complex decision making. The second mechanism is based on the evidence that the majority position is assumed to be correct, while the minority position is quickly dismissed. Overtime the persistence of the minority group will stimulate a reappraisal of the entire situation. The third mechanism focus on conflict and states that individuals in the majority condition resolve the adoption conflict pretty quickly, and therefore don't think much about it. \n\nMethods and Findings\nNemeth conducted 3 experiments to test her hypotheses. \nIn experiment 1, the subjects in group of six were shown 8 slides with some drawings that shared some features with a standard, and were asked to name all of the comparison figures that contained the standard. In the majority condition, 4 out of the 6 people were paid confederates who said that the standard was embedded in both the easy figure and in another one (correct or incorrect). The same in the minority condition, where 2 out 6 were confederates. Majorities exerted more influence than minorities, as expected, but subjects in the minority condition were more likely to find novel correct solutions than those in the majority condition. Subject in the minority condition reported lower levels of stress. \n\nIn experiment 2, the author conducted a similar experiment with a word recognition task. The subjects in the minority condition found more correct words. \n\nIn experiment 3, subjects were asked to judge 20 slides for color and perceived brightness, and were told that the majority of people (or the minority) perceive the color blue, while the minority (or the majority) perceives the color green. Subjects were then asked for word association to the words green and blue. The subjects in the minority condition reported more original associations. \n\nStrengths and Weaknesses\nThe article is interesting and the implications important for many areas of research (group decision-making, creativity, problem solving). The experiments are briefly described, and therefore it is difficult to identify methodological issues. It' s not very clear how much leeway for inter-personal active influence was given to the subjects. In the last experiment for instance they were only told that the majority had a certain position, but the majority was not physically present and the decision was individual.","page":"23-32","title":"Differential contributions of majority and minority influence","type":"article-journal","volume":"93"},"uris":["http://www.mendeley.com/documents/?uuid=6037b830-adf5-415f-90b4-64f8edd1f9a9"]},{"id":"ITEM-4","itemData":{"author":[{"dropping-particle":"","family":"O'Reilly","given":"C A","non-dropping-particle":"","parse-names":false,"suffix":""},{"dropping-particle":"","family":"Caldwell","given":"D F","non-dropping-particle":"","parse-names":false,"suffix":""},{"dropping-particle":"","family":"Barnett","given":"W P","non-dropping-particle":"","parse-names":false,"suffix":""}],"container-title":"Administrative Science Quarterly","id":"ITEM-4","issue":"1","issued":{"date-parts":[["1989"]]},"note":"___Mortensen___\n\nMain result: \nHeterogeneity in a group tenure ---&amp;gt; lower levels of group social integration ---&amp;gt; individual turnover. \n\nThe same model, measuring integration in the individual level, is not significant (only group level integration (cohesiveness) moderates the relationship between group demography and individual turnover). This means that there are processes in the group level that matter to the decision to leave or stay in an organization. \n\nHeterogeneity in group age ---&amp;gt; more individual turnover. \n\nThis is a direct effect, not moderated by social integration. This effect was found for both individual and group level of age.. \n\nThe more distant members of the group (in age or tenure) are more likely to leave. \n\n*** relates to the issue of multi-level analysis \n\n*** relates to homophily \n\n*** for turnover, see also March blue book, p. 42","page":"21-37","title":"Work Group Demography, Social Integration, and Turnover","type":"article-journal","volume":"34"},"uris":["http://www.mendeley.com/documents/?uuid=cbac59c1-4231-4cf4-b8ac-3e67c5f8c972"]}],"mendeley":{"formattedCitation":"(Nemeth, 1986; O’Reilly, Caldwell, and Barnett, 1989; Torchia, Calabrò, and Huse, 2011; Westphal and Milton, 2000)","manualFormatting":"(Nemeth, 1986; O’Reilly, Caldwell, and Barnett, 1989; Torchia, Calabrò, and Huse, 2011; Westphal and Milton, 2000; Ely, 1990)","plainTextFormattedCitation":"(Nemeth, 1986; O’Reilly, Caldwell, and Barnett, 1989; Torchia, Calabrò, and Huse, 2011; Westphal and Milton, 2000)","previouslyFormattedCitation":"(Nemeth, 1986; O’Reilly, Caldwell, and Barnett, 1989; Torchia, Calabrò, and Huse, 2011; Westphal and Milton, 2000)"},"properties":{"noteIndex":0},"schema":"https://github.com/citation-style-language/schema/raw/master/csl-citation.json"}</w:instrText>
      </w:r>
      <w:r w:rsidRPr="0058683A">
        <w:fldChar w:fldCharType="separate"/>
      </w:r>
      <w:r w:rsidRPr="0058683A">
        <w:rPr>
          <w:noProof/>
        </w:rPr>
        <w:t>(Torchia, Calabrò, and Huse, 2011; Westphal and Milton, 2000</w:t>
      </w:r>
      <w:r w:rsidR="002F4AD9">
        <w:rPr>
          <w:noProof/>
        </w:rPr>
        <w:t>; Ely, 1990</w:t>
      </w:r>
      <w:r w:rsidRPr="0058683A">
        <w:rPr>
          <w:noProof/>
        </w:rPr>
        <w:t>)</w:t>
      </w:r>
      <w:r w:rsidRPr="0058683A">
        <w:fldChar w:fldCharType="end"/>
      </w:r>
      <w:r w:rsidRPr="0058683A">
        <w:t>.</w:t>
      </w:r>
      <w:r w:rsidR="00B81EF9">
        <w:t xml:space="preserve"> </w:t>
      </w:r>
      <w:r w:rsidR="00FE4D4A">
        <w:t>These theories suggest that</w:t>
      </w:r>
      <w:r w:rsidR="00B81EF9" w:rsidRPr="0058683A">
        <w:t xml:space="preserve">, </w:t>
      </w:r>
      <w:r w:rsidR="00FE4D4A">
        <w:t xml:space="preserve">in some cases, </w:t>
      </w:r>
      <w:r w:rsidR="00D650BF">
        <w:t>female transition into entrepreneurship may lead the staying women to experience</w:t>
      </w:r>
      <w:r w:rsidR="0066420C">
        <w:t xml:space="preserve"> </w:t>
      </w:r>
      <w:r w:rsidR="00B81EF9" w:rsidRPr="0058683A">
        <w:t>greater stigmatization, discrimination, and pressures to accept the outcomes imposed by more powerful groups, given that minorities tend to lose power</w:t>
      </w:r>
      <w:r w:rsidR="00B81EF9">
        <w:t xml:space="preserve"> when socially proximate peers are in shorter supply</w:t>
      </w:r>
      <w:r w:rsidR="00B81EF9" w:rsidRPr="0058683A">
        <w:t xml:space="preserve"> </w:t>
      </w:r>
      <w:r w:rsidR="00B81EF9" w:rsidRPr="0058683A">
        <w:fldChar w:fldCharType="begin" w:fldLock="1"/>
      </w:r>
      <w:r w:rsidR="00B81EF9" w:rsidRPr="0058683A">
        <w:instrText>ADDIN CSL_CITATION {"citationItems":[{"id":"ITEM-1","itemData":{"DOI":"10.1177/105649269984009","ISBN":"1056-4926","ISSN":"10564926","PMID":"803973233","abstract":"The field of diversity management is a contested terrain. Many hoped that diversity management would improve the experiences of historically excluded groups in work organizations. Diversity initiatives are being pulled away, however from the original mission of improving the career opportunities and work climate experienced by historically excluded demographic groups. In this article, the authors argue that one reason the diversity field is moving away from the mission of reducing intergroup inequality is that some of the strategies that they have used to achieve their success are now undermining the movement's effectiveness. According to the authors, reducing intergroup inequality in a diverse workforce is important for three reasons. First, intergroup inequality erodes the quality of intergroup relations. Second, intergroup inequality reinforces social categorization processes that stigmatize less powerful groups. Third, intergroup inequality engenders the development of cultures of resistance, pitting less powerful groups against more powerful groups. The field of diversity management is a contested terrain. Many hoped that diversity management would improve the experiences of historically excluded groups in work organizations. Diversity initiatives are being pulled away, however from the original mission of improving the career opportunities and work climate experienced by historically excluded demographic groups. In this article, the authors argue that one reason the diversity field is moving away from the mission of reducing intergroup inequality is that some of the strategies that they have used to achieve their success are now undermining the movement's effectiveness. According to the authors, reducing intergroup inequality in a diverse workforce is important for three reasons. First, intergroup inequality erodes the quality of intergroup relations. Second, intergroup inequality reinforces social categorization processes that stigmatize less powerful groups. Third, intergroup inequality engenders the development of cultures of resistance, pitting less powerful groups against more powerful groups.","author":[{"dropping-particle":"","family":"Linnehan","given":"Frank","non-dropping-particle":"","parse-names":false,"suffix":""},{"dropping-particle":"","family":"Konrad","given":"Alison M.","non-dropping-particle":"","parse-names":false,"suffix":""}],"container-title":"Journal of Management Inquiry","id":"ITEM-1","issue":"4","issued":{"date-parts":[["1999"]]},"page":"399-414","title":"Diluting diversity implications for intergroup inequality in organizations","type":"article-journal","volume":"8"},"uris":["http://www.mendeley.com/documents/?uuid=43573ea5-6233-48ce-ab98-b81f59f54e9a"]},{"id":"ITEM-2","itemData":{"DOI":"10.1287/orsc.1100.0565","ISBN":"10477039","ISSN":"1047-7039","PMID":"993149925","abstract":"It is a popular assumption that women and racial minorities who are numeric minorities in high-prestige work groups will advocate for a demographically similar other as a potential work group peer. However, these individuals may face special challenges in fulfilling this role. We discuss how three factors—the general social status associated with a specific demographic characteristic, the demographic composition of the work group, and the differential prestige accorded within organizations to work groups—interact to impact individuals’ concerns about being considered valued members of work groups to which they belong (i.e., value threat). Based on an integration of sociological and psychological theories, we argue that value threat adversely affects individuals’ propensity to support demographically similar others in selection and promotion processes. We identify three forms that value threat may take in situations involving such personnel decisions: collective threat, favoritism threat, and competitive threat, and we specify factors that may shape the intensity of each form.","author":[{"dropping-particle":"","family":"Duguid","given":"Michelle M.","non-dropping-particle":"","parse-names":false,"suffix":""},{"dropping-particle":"","family":"Loyd","given":"Denise Lewin","non-dropping-particle":"","parse-names":false,"suffix":""},{"dropping-particle":"","family":"Tolbert","given":"Pamela S.","non-dropping-particle":"","parse-names":false,"suffix":""}],"container-title":"Organization Science","id":"ITEM-2","issue":"2","issued":{"date-parts":[["2012"]]},"page":"386-401","title":"The Impact of Categorical Status, Numeric Representation, and Work Group Prestige on Preference for Demographically Similar Others: A Value Threat Approach","type":"article-journal","volume":"23"},"uris":["http://www.mendeley.com/documents/?uuid=3b468879-0005-40a1-8818-5a7113067f9a"]},{"id":"ITEM-3","itemData":{"DOI":"10.1037/0022-3514.77.1.135","ISBN":"0022-3514","ISSN":"00223514","PMID":"2425","abstract":"The processes involved in well-being maintenance among African Americans who differed in their attributions to prejudice were examined. A rejection-identification model was proposed where stable attributions to prejudice represent rejection by the dominant group. This results in a direct and negative effect on well-being. The model also predicts a positive effect on well-being that is mediated by minority group identification. In other words, the generally negative consequences of perceiving oneself as a victim of racial prejudice can be somewhat alleviated by identification with the minority group. Structural equation analyses provided support for the model and ruled out alternative theoretical possibilities. Perceiving prejudice as pervasive produces effects on well-being that are fundamentally different from those that may arise from an unstable attribution to prejudice for a single negative outcome. (PsycINFO Database Record (c) 2002 APA, all rights reserved)","author":[{"dropping-particle":"","family":"Branscombe","given":"Nyla R.","non-dropping-particle":"","parse-names":false,"suffix":""},{"dropping-particle":"","family":"Schmitt","given":"Michael T.","non-dropping-particle":"","parse-names":false,"suffix":""},{"dropping-particle":"","family":"Harvey","given":"Richard D.","non-dropping-particle":"","parse-names":false,"suffix":""}],"container-title":"Journal of Personality and Social Psychology","id":"ITEM-3","issue":"1","issued":{"date-parts":[["1999"]]},"page":"135-149","title":"Perceiving pervasive discrimination among African Americans: Implications for group identification and well-being","type":"article-journal","volume":"77"},"uris":["http://www.mendeley.com/documents/?uuid=38a1e0fa-75c6-4855-867d-8c66516fa163"]},{"id":"ITEM-4","itemData":{"DOI":"10.1207/S15327957PSPR0402_03","ISBN":"10888683","ISSN":"10888683","PMID":"18568","abstract":"A model of sociostructural relations among subgroups within a superordinate cate-gory is presented. Contextualized by discussion ofpolitical and social psychological models ofintergroup contact, we extendprinciples ofsocial identity theory to address structural differentiation within groups. Subgroup identity threat plays a pivotal role in the nature ofsubgroup relations, as do the social realities ofspecific subgroup rela-tions (i.e., inclusiveness, nested vs. crosscutting categories, leadership, instrumental goal relations, power and status differentials, subgroup similarity). Our analysis sug-gests that subgroup identity threat is the greatest obstacle to social harmony; social arrangements that threaten social identity produce defensive reactions that result in conflict. Social harmony is best achieved by maintaining, not weakening, subgroup identities, and locating them within the context of a binding superordinate identity. Groups, organizations, and societies are rarely ho-mogeneous. More often than not they embrace a diver-sity of subgroups defined by intragroup role assignments or by wider social category memberships based on profession, socioeconomic status, gender, re-ligion, ethnicity, and so forth. Indeed, it can be argued that an intergroup orientation exists only because the groups share properties at a more inclusive level. For example, cognitive and social psychologists have an intergroup relationship that is contextualized and made possible by a higher order shared identity as psycholo-gists, and psychologists have an intergroup relation-ship with sociologists that is contextualized by a common identity as social scientists, and so forth. Thus, intergroup relations are almost by definition a matter of subgroup relations within a superordinate identity group. This three-way lateral and hierarchical group relation is not easily captured by the typically bi-nary ingroup-outgroup manner in which social catego-rization processes are believed to operate (Vescio, Hewstone, Crisp, &amp; Rubin, 1999). It is the purpose of this article to elaborate on the spe-cific psychological processes that emerge when group relations take place within the context of a relevant superordinate identity. We integrate a social identity theory perspective with ideas from the study of multi-culturalism, and social psychological research in the contact tradition, to present a general integrative frame-work for understanding the dynamics of subgroup rela-Requests for rep…","author":[{"dropping-particle":"","family":"Hornsey","given":"Matthew J.","non-dropping-particle":"","parse-names":false,"suffix":""},{"dropping-particle":"","family":"Hogg","given":"Michael A.","non-dropping-particle":"","parse-names":false,"suffix":""}],"container-title":"Personality and Social Psychology Review","id":"ITEM-4","issue":"2","issued":{"date-parts":[["2000"]]},"page":"143-156","title":"Assimilation and diversity: An integrative model of subgroup relations","type":"article-journal","volume":"4"},"uris":["http://www.mendeley.com/documents/?uuid=7ed8f745-5e99-4aec-abb4-e4b5f26d0566"]},{"id":"ITEM-5","itemData":{"ISSN":"0002-9602","author":[{"dropping-particle":"","family":"Kanter","given":"Rosabeth Moss","non-dropping-particle":"","parse-names":false,"suffix":""}],"container-title":"American journal of Sociology","id":"ITEM-5","issue":"5","issued":{"date-parts":[["1977"]]},"page":"965-990","title":"Some effects of proportions on group life: Skewed sex ratios and responses to token women","type":"article-journal","volume":"82"},"uris":["http://www.mendeley.com/documents/?uuid=3bf359ab-536f-4986-bafd-c84d1aa47203"]}],"mendeley":{"formattedCitation":"(Branscombe, Schmitt, and Harvey, 1999; Duguid, Loyd, and Tolbert, 2012; Hornsey and Hogg, 2000; Kanter, 1977; Linnehan and Konrad, 1999)","plainTextFormattedCitation":"(Branscombe, Schmitt, and Harvey, 1999; Duguid, Loyd, and Tolbert, 2012; Hornsey and Hogg, 2000; Kanter, 1977; Linnehan and Konrad, 1999)","previouslyFormattedCitation":"(Branscombe, Schmitt, and Harvey, 1999; Duguid, Loyd, and Tolbert, 2012; Hornsey and Hogg, 2000; Kanter, 1977; Linnehan and Konrad, 1999)"},"properties":{"noteIndex":0},"schema":"https://github.com/citation-style-language/schema/raw/master/csl-citation.json"}</w:instrText>
      </w:r>
      <w:r w:rsidR="00B81EF9" w:rsidRPr="0058683A">
        <w:fldChar w:fldCharType="separate"/>
      </w:r>
      <w:r w:rsidR="00B81EF9" w:rsidRPr="0058683A">
        <w:rPr>
          <w:noProof/>
        </w:rPr>
        <w:t>(Duguid, Loyd, and Tolbert, 2012; Hornsey and Hogg, 2000; Kanter, 1977)</w:t>
      </w:r>
      <w:r w:rsidR="00B81EF9" w:rsidRPr="0058683A">
        <w:fldChar w:fldCharType="end"/>
      </w:r>
      <w:r w:rsidR="00B81EF9" w:rsidRPr="0058683A">
        <w:t>.</w:t>
      </w:r>
      <w:r w:rsidRPr="0058683A">
        <w:t xml:space="preserve"> </w:t>
      </w:r>
    </w:p>
    <w:p w14:paraId="735C3253" w14:textId="6EA58617" w:rsidR="00B81EF9" w:rsidRDefault="00B81EF9" w:rsidP="00485378">
      <w:pPr>
        <w:pStyle w:val="BodyTextIndent"/>
      </w:pPr>
      <w:r w:rsidRPr="00FD41E6">
        <w:t>Th</w:t>
      </w:r>
      <w:r w:rsidR="002B3326">
        <w:t>is</w:t>
      </w:r>
      <w:r w:rsidRPr="00FD41E6">
        <w:t xml:space="preserve"> negative impact of </w:t>
      </w:r>
      <w:r>
        <w:t xml:space="preserve">female employee </w:t>
      </w:r>
      <w:r w:rsidRPr="00FD41E6">
        <w:t>attrition will fur</w:t>
      </w:r>
      <w:r>
        <w:t>t</w:t>
      </w:r>
      <w:r w:rsidRPr="00FD41E6">
        <w:t xml:space="preserve">her be compounded </w:t>
      </w:r>
      <w:r>
        <w:t xml:space="preserve">at </w:t>
      </w:r>
      <w:r w:rsidR="009D7BE4">
        <w:t>higher-echelon positions, where</w:t>
      </w:r>
      <w:r w:rsidRPr="00FD41E6">
        <w:t xml:space="preserve"> vacancies created by </w:t>
      </w:r>
      <w:r w:rsidR="00A404E3">
        <w:t xml:space="preserve">the </w:t>
      </w:r>
      <w:r w:rsidRPr="00FD41E6">
        <w:t xml:space="preserve">departing female </w:t>
      </w:r>
      <w:r>
        <w:t>employee</w:t>
      </w:r>
      <w:r w:rsidRPr="002A43E4">
        <w:t>s</w:t>
      </w:r>
      <w:r w:rsidRPr="00FD41E6">
        <w:t xml:space="preserve"> will </w:t>
      </w:r>
      <w:r w:rsidR="00D650BF">
        <w:t xml:space="preserve">most </w:t>
      </w:r>
      <w:r w:rsidR="00083D5E">
        <w:t xml:space="preserve">frequently </w:t>
      </w:r>
      <w:r w:rsidR="00D650BF">
        <w:t>be</w:t>
      </w:r>
      <w:r w:rsidRPr="00FD41E6">
        <w:t xml:space="preserve"> f</w:t>
      </w:r>
      <w:r w:rsidR="00F3402F">
        <w:t>illed by male colleagues</w:t>
      </w:r>
      <w:r w:rsidR="00FE4D4A">
        <w:t xml:space="preserve">, </w:t>
      </w:r>
      <w:r w:rsidR="00D650BF">
        <w:t>given that</w:t>
      </w:r>
      <w:r w:rsidRPr="00FD41E6">
        <w:t xml:space="preserve"> the supply of qualified women might decrease</w:t>
      </w:r>
      <w:r w:rsidRPr="00752A2D">
        <w:t xml:space="preserve"> within the firm</w:t>
      </w:r>
      <w:r w:rsidRPr="002A43E4">
        <w:t xml:space="preserve"> </w:t>
      </w:r>
      <w:r w:rsidR="00F3402F">
        <w:t>and</w:t>
      </w:r>
      <w:r w:rsidRPr="00FD41E6">
        <w:t xml:space="preserve"> </w:t>
      </w:r>
      <w:r w:rsidR="00D650BF">
        <w:t xml:space="preserve">that </w:t>
      </w:r>
      <w:r w:rsidRPr="00FD41E6">
        <w:t>women as a group</w:t>
      </w:r>
      <w:r w:rsidR="009D7BE4">
        <w:t xml:space="preserve"> </w:t>
      </w:r>
      <w:r w:rsidR="00D650BF">
        <w:t>will lose</w:t>
      </w:r>
      <w:r w:rsidR="009D7BE4">
        <w:t xml:space="preserve"> influence within the </w:t>
      </w:r>
      <w:r w:rsidR="002B3326">
        <w:t xml:space="preserve">organization, </w:t>
      </w:r>
      <w:r w:rsidR="00451171">
        <w:t>when</w:t>
      </w:r>
      <w:r w:rsidR="002B3326">
        <w:t xml:space="preserve"> other women depart for entrepreneurship</w:t>
      </w:r>
      <w:r w:rsidR="009D7BE4">
        <w:t xml:space="preserve">. </w:t>
      </w:r>
      <w:r w:rsidR="00F3402F">
        <w:t>As</w:t>
      </w:r>
      <w:r w:rsidR="009D7BE4">
        <w:t xml:space="preserve"> the firm</w:t>
      </w:r>
      <w:r w:rsidR="002B3326">
        <w:t>’s</w:t>
      </w:r>
      <w:r w:rsidR="009D7BE4">
        <w:t xml:space="preserve"> management becomes more male-dominated, </w:t>
      </w:r>
      <w:r w:rsidR="002B3326">
        <w:t>women’s</w:t>
      </w:r>
      <w:r w:rsidR="009D7BE4">
        <w:t xml:space="preserve"> ability to influence organizational </w:t>
      </w:r>
      <w:r w:rsidR="00485378">
        <w:t xml:space="preserve">outcomes </w:t>
      </w:r>
      <w:r w:rsidR="00D650BF">
        <w:t xml:space="preserve">will decrease, </w:t>
      </w:r>
      <w:r w:rsidR="009963A1">
        <w:t>resulting in</w:t>
      </w:r>
      <w:r w:rsidR="00D650BF">
        <w:t xml:space="preserve"> lower bargaining power </w:t>
      </w:r>
      <w:r w:rsidR="009963A1">
        <w:t>among female workers</w:t>
      </w:r>
      <w:r w:rsidR="009D7BE4">
        <w:t>.</w:t>
      </w:r>
      <w:r w:rsidR="00535CCB">
        <w:t xml:space="preserve"> </w:t>
      </w:r>
      <w:r w:rsidR="00D650BF">
        <w:t xml:space="preserve">These losses will </w:t>
      </w:r>
      <w:r w:rsidR="00485378">
        <w:t>further</w:t>
      </w:r>
      <w:r w:rsidR="00D650BF">
        <w:t xml:space="preserve"> undermine women’s career </w:t>
      </w:r>
      <w:r w:rsidR="00535CCB">
        <w:t>advancement</w:t>
      </w:r>
      <w:r w:rsidR="00D650BF">
        <w:t xml:space="preserve"> prospects</w:t>
      </w:r>
      <w:r w:rsidR="00485378">
        <w:t xml:space="preserve"> and lead to </w:t>
      </w:r>
      <w:r w:rsidR="00FE4D4A">
        <w:t xml:space="preserve">even </w:t>
      </w:r>
      <w:r w:rsidR="00083D5E">
        <w:t>greater</w:t>
      </w:r>
      <w:r w:rsidR="00FE4D4A">
        <w:t xml:space="preserve"> </w:t>
      </w:r>
      <w:r w:rsidR="00485378">
        <w:t xml:space="preserve">productivity </w:t>
      </w:r>
      <w:r w:rsidR="00D05BA1">
        <w:t>shortfalls</w:t>
      </w:r>
      <w:r w:rsidR="00083D5E">
        <w:t>,</w:t>
      </w:r>
      <w:r w:rsidR="00535CCB">
        <w:t xml:space="preserve"> </w:t>
      </w:r>
      <w:r w:rsidR="00083D5E">
        <w:t xml:space="preserve">since </w:t>
      </w:r>
      <w:r w:rsidR="00535CCB" w:rsidRPr="00FD41E6">
        <w:t xml:space="preserve">dissatisfaction with </w:t>
      </w:r>
      <w:r w:rsidR="00083D5E">
        <w:t xml:space="preserve">the </w:t>
      </w:r>
      <w:r w:rsidR="00535CCB" w:rsidRPr="00FD41E6">
        <w:t>work environment or perceived exclusion</w:t>
      </w:r>
      <w:r w:rsidR="00535CCB">
        <w:t xml:space="preserve"> </w:t>
      </w:r>
      <w:r w:rsidR="00670B51">
        <w:t>are both</w:t>
      </w:r>
      <w:r w:rsidR="00535CCB">
        <w:t xml:space="preserve"> important predictors of</w:t>
      </w:r>
      <w:r w:rsidR="00535CCB" w:rsidRPr="00FD41E6">
        <w:t xml:space="preserve"> </w:t>
      </w:r>
      <w:r w:rsidR="00D05BA1">
        <w:t>employee</w:t>
      </w:r>
      <w:r w:rsidR="00535CCB">
        <w:t xml:space="preserve"> productivity</w:t>
      </w:r>
      <w:r w:rsidR="00535CCB" w:rsidRPr="00FD41E6">
        <w:t xml:space="preserve"> (e.g., Ely, 1990; Burke and McKeen, 1996).</w:t>
      </w:r>
    </w:p>
    <w:p w14:paraId="582D37F7" w14:textId="120F4A07" w:rsidR="002C127A" w:rsidRPr="0058683A" w:rsidRDefault="00655934" w:rsidP="00B45119">
      <w:pPr>
        <w:pStyle w:val="BodyTextIndent"/>
      </w:pPr>
      <w:r w:rsidRPr="0058683A">
        <w:t>Overall, we expect a reduction in</w:t>
      </w:r>
      <w:r w:rsidR="00197AB3" w:rsidRPr="0058683A">
        <w:t xml:space="preserve"> entry</w:t>
      </w:r>
      <w:r w:rsidRPr="0058683A">
        <w:t xml:space="preserve"> barriers</w:t>
      </w:r>
      <w:r w:rsidR="001C3F7B">
        <w:t xml:space="preserve"> </w:t>
      </w:r>
      <w:r w:rsidRPr="0058683A">
        <w:t>to</w:t>
      </w:r>
      <w:r w:rsidR="00FE4D4A">
        <w:t xml:space="preserve"> lead to unintended effects for women at incumbent firms,</w:t>
      </w:r>
      <w:r w:rsidRPr="0058683A">
        <w:t xml:space="preserve"> </w:t>
      </w:r>
      <w:r w:rsidR="00FE4D4A">
        <w:t>whereby</w:t>
      </w:r>
      <w:r w:rsidRPr="0058683A">
        <w:t xml:space="preserve"> gender disparities </w:t>
      </w:r>
      <w:r w:rsidR="007A63BC" w:rsidRPr="0058683A">
        <w:t xml:space="preserve">in </w:t>
      </w:r>
      <w:r w:rsidRPr="0058683A">
        <w:t>wage</w:t>
      </w:r>
      <w:r w:rsidR="007A63BC" w:rsidRPr="0058683A">
        <w:t>s</w:t>
      </w:r>
      <w:r w:rsidR="00FE4D4A">
        <w:t xml:space="preserve"> increase</w:t>
      </w:r>
      <w:r w:rsidR="004B6FD5">
        <w:t>,</w:t>
      </w:r>
      <w:r w:rsidRPr="0058683A">
        <w:t xml:space="preserve"> </w:t>
      </w:r>
      <w:r w:rsidR="00FE4D4A">
        <w:t xml:space="preserve">following a </w:t>
      </w:r>
      <w:r w:rsidRPr="0058683A">
        <w:t xml:space="preserve">disproportionate </w:t>
      </w:r>
      <w:r w:rsidR="00520B84" w:rsidRPr="0058683A">
        <w:t>mobility</w:t>
      </w:r>
      <w:r w:rsidRPr="0058683A">
        <w:t xml:space="preserve"> </w:t>
      </w:r>
      <w:r w:rsidR="004B6FD5">
        <w:t>of</w:t>
      </w:r>
      <w:r w:rsidR="004B6FD5" w:rsidRPr="0058683A">
        <w:t xml:space="preserve"> </w:t>
      </w:r>
      <w:r w:rsidRPr="0058683A">
        <w:t>female workers</w:t>
      </w:r>
      <w:r w:rsidR="00FE4D4A">
        <w:t>. Because higher female attrition to entrepreneurship will</w:t>
      </w:r>
      <w:r w:rsidR="00D934FC" w:rsidRPr="0058683A">
        <w:t xml:space="preserve"> </w:t>
      </w:r>
      <w:r w:rsidR="00FE4D4A">
        <w:t xml:space="preserve">undermine </w:t>
      </w:r>
      <w:r w:rsidR="00F0526B">
        <w:t>women’s</w:t>
      </w:r>
      <w:r w:rsidR="00CE1DD3" w:rsidRPr="0058683A">
        <w:t xml:space="preserve"> </w:t>
      </w:r>
      <w:r w:rsidR="00475936" w:rsidRPr="0058683A">
        <w:t>productivity</w:t>
      </w:r>
      <w:r w:rsidR="00D70D7C">
        <w:t xml:space="preserve"> </w:t>
      </w:r>
      <w:r w:rsidR="00923778">
        <w:t>and</w:t>
      </w:r>
      <w:r w:rsidR="00D70D7C">
        <w:t xml:space="preserve"> influence</w:t>
      </w:r>
      <w:r w:rsidR="00FE4D4A">
        <w:t>, female employees will be less able than their male counterparts to appropriate rent</w:t>
      </w:r>
      <w:r w:rsidR="00511A66">
        <w:t>s</w:t>
      </w:r>
      <w:r w:rsidR="00FE4D4A">
        <w:t xml:space="preserve"> </w:t>
      </w:r>
      <w:r w:rsidR="00D21BB5">
        <w:t xml:space="preserve">generated </w:t>
      </w:r>
      <w:r w:rsidR="00FE4D4A">
        <w:t>within an established firm. Hence</w:t>
      </w:r>
      <w:r w:rsidR="004B6FD5">
        <w:t xml:space="preserve">, </w:t>
      </w:r>
      <w:r w:rsidR="005401FE">
        <w:t>we hypothesize as follows</w:t>
      </w:r>
      <w:r w:rsidR="00475936" w:rsidRPr="0058683A">
        <w:t>:</w:t>
      </w:r>
    </w:p>
    <w:p w14:paraId="0281CDAE" w14:textId="03EA15C6" w:rsidR="0000085A" w:rsidRPr="0058683A" w:rsidRDefault="0000085A" w:rsidP="00A43CB6">
      <w:pPr>
        <w:pStyle w:val="Hypothesis"/>
        <w:ind w:left="0"/>
      </w:pPr>
      <w:r w:rsidRPr="0058683A">
        <w:t>H</w:t>
      </w:r>
      <w:r w:rsidR="00475936" w:rsidRPr="0058683A">
        <w:t>3</w:t>
      </w:r>
      <w:r w:rsidRPr="0058683A">
        <w:t>: Following</w:t>
      </w:r>
      <w:r w:rsidR="00A91814" w:rsidRPr="0058683A">
        <w:t xml:space="preserve"> </w:t>
      </w:r>
      <w:r w:rsidR="007C6995">
        <w:t>a</w:t>
      </w:r>
      <w:r w:rsidR="007C6995" w:rsidRPr="0058683A">
        <w:t xml:space="preserve"> </w:t>
      </w:r>
      <w:r w:rsidRPr="0058683A">
        <w:t>reduction in barriers to entry, gender disparit</w:t>
      </w:r>
      <w:r w:rsidR="00655934" w:rsidRPr="0058683A">
        <w:t>ies</w:t>
      </w:r>
      <w:r w:rsidRPr="0058683A">
        <w:t xml:space="preserve"> </w:t>
      </w:r>
      <w:r w:rsidR="00E677C5" w:rsidRPr="0058683A">
        <w:t xml:space="preserve">in </w:t>
      </w:r>
      <w:r w:rsidR="00827B11">
        <w:t>pay</w:t>
      </w:r>
      <w:r w:rsidR="00827B11" w:rsidRPr="0058683A">
        <w:t xml:space="preserve"> </w:t>
      </w:r>
      <w:r w:rsidR="00655934" w:rsidRPr="0058683A">
        <w:t>at incumbent firms</w:t>
      </w:r>
      <w:r w:rsidR="00E677C5" w:rsidRPr="0058683A">
        <w:t xml:space="preserve"> will</w:t>
      </w:r>
      <w:r w:rsidRPr="0058683A">
        <w:t xml:space="preserve"> </w:t>
      </w:r>
      <w:r w:rsidR="00E677C5" w:rsidRPr="0058683A">
        <w:t>increase</w:t>
      </w:r>
      <w:r w:rsidR="00642C55" w:rsidRPr="0058683A">
        <w:t>,</w:t>
      </w:r>
      <w:r w:rsidRPr="0058683A">
        <w:t xml:space="preserve"> </w:t>
      </w:r>
      <w:r w:rsidR="00642C55" w:rsidRPr="0058683A">
        <w:t>as women</w:t>
      </w:r>
      <w:r w:rsidR="00387EDC">
        <w:t xml:space="preserve"> will</w:t>
      </w:r>
      <w:r w:rsidR="00E677C5" w:rsidRPr="0058683A">
        <w:t xml:space="preserve"> earn </w:t>
      </w:r>
      <w:r w:rsidR="00642C55" w:rsidRPr="0058683A">
        <w:t>lower wages</w:t>
      </w:r>
      <w:r w:rsidR="00E677C5" w:rsidRPr="0058683A">
        <w:t xml:space="preserve"> relative to men</w:t>
      </w:r>
      <w:r w:rsidRPr="0058683A">
        <w:t>.</w:t>
      </w:r>
      <w:r w:rsidR="00A1537F">
        <w:t xml:space="preserve"> </w:t>
      </w:r>
    </w:p>
    <w:p w14:paraId="7597FA0E" w14:textId="3A73F83E" w:rsidR="001E60CC" w:rsidRDefault="00475936" w:rsidP="00C95165">
      <w:pPr>
        <w:pStyle w:val="BodyTextIndent"/>
      </w:pPr>
      <w:r w:rsidRPr="00353E98">
        <w:t xml:space="preserve">Finally, </w:t>
      </w:r>
      <w:r w:rsidR="00520B84" w:rsidRPr="00353E98">
        <w:t>th</w:t>
      </w:r>
      <w:r w:rsidRPr="00353E98">
        <w:t>is</w:t>
      </w:r>
      <w:r w:rsidRPr="00AB625E">
        <w:t xml:space="preserve"> </w:t>
      </w:r>
      <w:r w:rsidR="00A80FCB" w:rsidRPr="00AB625E">
        <w:t>unintended</w:t>
      </w:r>
      <w:r w:rsidRPr="00AB625E">
        <w:t xml:space="preserve"> impact of regulatory changes </w:t>
      </w:r>
      <w:r w:rsidR="000F380A">
        <w:t>on gender pay gap</w:t>
      </w:r>
      <w:r w:rsidRPr="00AB625E">
        <w:t xml:space="preserve"> will be heterogen</w:t>
      </w:r>
      <w:r w:rsidR="0042726E" w:rsidRPr="00AB625E">
        <w:t>e</w:t>
      </w:r>
      <w:r w:rsidRPr="00AB625E">
        <w:t xml:space="preserve">ous, affecting </w:t>
      </w:r>
      <w:r w:rsidR="000F380A">
        <w:t xml:space="preserve">employees </w:t>
      </w:r>
      <w:r w:rsidR="006D6BCE">
        <w:t>differentially depending on</w:t>
      </w:r>
      <w:r w:rsidR="000F380A">
        <w:t xml:space="preserve"> the</w:t>
      </w:r>
      <w:r w:rsidR="00A404E3">
        <w:t>ir</w:t>
      </w:r>
      <w:r w:rsidR="000F380A">
        <w:t xml:space="preserve"> position</w:t>
      </w:r>
      <w:r w:rsidRPr="00AB625E">
        <w:t>.</w:t>
      </w:r>
      <w:r w:rsidR="00520B84" w:rsidRPr="00AB625E">
        <w:t xml:space="preserve"> </w:t>
      </w:r>
      <w:r w:rsidR="0042726E" w:rsidRPr="00AB625E">
        <w:t>In particular,</w:t>
      </w:r>
      <w:r w:rsidR="009E2CA1">
        <w:t xml:space="preserve"> we expect</w:t>
      </w:r>
      <w:r w:rsidR="0042726E" w:rsidRPr="00AB625E">
        <w:t xml:space="preserve"> </w:t>
      </w:r>
      <w:r w:rsidR="00520B84" w:rsidRPr="00AB625E">
        <w:t xml:space="preserve">gender </w:t>
      </w:r>
      <w:r w:rsidR="007A19D9">
        <w:t>differences in wages</w:t>
      </w:r>
      <w:r w:rsidR="0065458B" w:rsidRPr="00AB625E">
        <w:t xml:space="preserve"> </w:t>
      </w:r>
      <w:r w:rsidR="009E2CA1">
        <w:t>to</w:t>
      </w:r>
      <w:r w:rsidR="009E2CA1" w:rsidRPr="00AB625E">
        <w:t xml:space="preserve"> </w:t>
      </w:r>
      <w:r w:rsidRPr="00AB625E">
        <w:t>be</w:t>
      </w:r>
      <w:r w:rsidR="002D11E3" w:rsidRPr="00AB625E">
        <w:t xml:space="preserve"> amplified </w:t>
      </w:r>
      <w:r w:rsidR="00540E6D" w:rsidRPr="00AB625E">
        <w:t xml:space="preserve">for </w:t>
      </w:r>
      <w:r w:rsidR="00A404E3">
        <w:t xml:space="preserve">female managers because </w:t>
      </w:r>
      <w:r w:rsidR="00094339">
        <w:t xml:space="preserve">more significant losses in productivity </w:t>
      </w:r>
      <w:r w:rsidR="00923778">
        <w:t>and</w:t>
      </w:r>
      <w:r w:rsidR="00094339">
        <w:t xml:space="preserve"> bargaining power </w:t>
      </w:r>
      <w:r w:rsidR="00A404E3">
        <w:t>will accrue to these</w:t>
      </w:r>
      <w:r w:rsidR="00094339">
        <w:t xml:space="preserve"> workers</w:t>
      </w:r>
      <w:r w:rsidR="000F09A9" w:rsidRPr="00AB625E">
        <w:t xml:space="preserve">. </w:t>
      </w:r>
      <w:r w:rsidR="000F380A">
        <w:t>As we argued,</w:t>
      </w:r>
      <w:r w:rsidR="00BE0157">
        <w:t xml:space="preserve"> following </w:t>
      </w:r>
      <w:r w:rsidR="004B6FD5">
        <w:t>a reduction in entry barriers</w:t>
      </w:r>
      <w:r w:rsidR="00BE0157">
        <w:t>, t</w:t>
      </w:r>
      <w:r w:rsidR="006417C1">
        <w:t xml:space="preserve">he relative rate at which female </w:t>
      </w:r>
      <w:r w:rsidR="00CD1B97">
        <w:t>employee</w:t>
      </w:r>
      <w:r w:rsidR="006417C1">
        <w:t>s</w:t>
      </w:r>
      <w:r w:rsidR="00CD1B97">
        <w:t xml:space="preserve"> in managerial roles</w:t>
      </w:r>
      <w:r w:rsidR="006417C1">
        <w:t xml:space="preserve"> leave</w:t>
      </w:r>
      <w:r w:rsidR="00875332">
        <w:t>,</w:t>
      </w:r>
      <w:r w:rsidR="006417C1">
        <w:t xml:space="preserve"> compar</w:t>
      </w:r>
      <w:r w:rsidR="000F380A">
        <w:t>ed to their male counterparts</w:t>
      </w:r>
      <w:r w:rsidR="00875332">
        <w:t>,</w:t>
      </w:r>
      <w:r w:rsidR="000F380A">
        <w:t xml:space="preserve"> will be</w:t>
      </w:r>
      <w:r w:rsidR="006417C1">
        <w:t xml:space="preserve"> </w:t>
      </w:r>
      <w:r w:rsidR="000F380A">
        <w:t xml:space="preserve">substantially </w:t>
      </w:r>
      <w:r w:rsidR="006417C1">
        <w:t>higher than the equivalent</w:t>
      </w:r>
      <w:r w:rsidR="00CD1B97">
        <w:t xml:space="preserve"> relative</w:t>
      </w:r>
      <w:r w:rsidR="006417C1">
        <w:t xml:space="preserve"> rate for female workers</w:t>
      </w:r>
      <w:r w:rsidR="006A750F">
        <w:t xml:space="preserve"> occupying</w:t>
      </w:r>
      <w:r w:rsidR="006417C1">
        <w:t xml:space="preserve"> lower-level positions</w:t>
      </w:r>
      <w:r w:rsidR="008953B5">
        <w:t>.</w:t>
      </w:r>
      <w:r w:rsidR="001E60CC">
        <w:t xml:space="preserve"> </w:t>
      </w:r>
      <w:r w:rsidR="00C82DB6">
        <w:t>Thus, any</w:t>
      </w:r>
      <w:r w:rsidR="00FA47D8">
        <w:t xml:space="preserve"> shift in demographic composition will be </w:t>
      </w:r>
      <w:r w:rsidR="006A750F">
        <w:t xml:space="preserve">more </w:t>
      </w:r>
      <w:r w:rsidR="004B6FD5">
        <w:t xml:space="preserve">acute </w:t>
      </w:r>
      <w:r w:rsidR="00FE4D4A">
        <w:t>in</w:t>
      </w:r>
      <w:r w:rsidR="00FA47D8">
        <w:t xml:space="preserve"> managerial positions, </w:t>
      </w:r>
      <w:r w:rsidR="006A750F">
        <w:t xml:space="preserve">because </w:t>
      </w:r>
      <w:r w:rsidR="00B536C6">
        <w:t>these</w:t>
      </w:r>
      <w:r w:rsidR="006A750F">
        <w:t xml:space="preserve"> </w:t>
      </w:r>
      <w:r w:rsidR="00D05BA1">
        <w:t xml:space="preserve">jobs </w:t>
      </w:r>
      <w:r w:rsidR="006A750F">
        <w:t>are</w:t>
      </w:r>
      <w:r w:rsidR="00FA47D8">
        <w:t xml:space="preserve"> </w:t>
      </w:r>
      <w:r w:rsidR="00FA39F4">
        <w:t xml:space="preserve">precisely </w:t>
      </w:r>
      <w:r w:rsidR="00D859B6">
        <w:t xml:space="preserve">the ones </w:t>
      </w:r>
      <w:r w:rsidR="00FA39F4">
        <w:t xml:space="preserve">where gender diversity </w:t>
      </w:r>
      <w:r w:rsidR="00FF769B">
        <w:t xml:space="preserve">decreases </w:t>
      </w:r>
      <w:r w:rsidR="004B6FD5">
        <w:t>most starkly</w:t>
      </w:r>
      <w:r w:rsidR="00FA39F4">
        <w:t>.</w:t>
      </w:r>
      <w:r w:rsidR="00FA47D8">
        <w:t xml:space="preserve"> </w:t>
      </w:r>
      <w:r w:rsidR="00094339">
        <w:t>This</w:t>
      </w:r>
      <w:r w:rsidR="000F380A">
        <w:t xml:space="preserve"> </w:t>
      </w:r>
      <w:r w:rsidR="00094339">
        <w:t xml:space="preserve">will </w:t>
      </w:r>
      <w:r w:rsidR="000F380A">
        <w:t>impl</w:t>
      </w:r>
      <w:r w:rsidR="00094339">
        <w:t>y</w:t>
      </w:r>
      <w:r w:rsidR="000F380A">
        <w:t xml:space="preserve"> </w:t>
      </w:r>
      <w:r w:rsidR="00875332">
        <w:t xml:space="preserve">a </w:t>
      </w:r>
      <w:r w:rsidR="00FA39F4">
        <w:t>significant</w:t>
      </w:r>
      <w:r w:rsidR="006A750F">
        <w:t xml:space="preserve"> loss</w:t>
      </w:r>
      <w:r w:rsidR="00FA39F4">
        <w:t xml:space="preserve"> for the remaining female managers in terms of</w:t>
      </w:r>
      <w:r w:rsidR="000F380A">
        <w:t xml:space="preserve"> </w:t>
      </w:r>
      <w:r w:rsidR="00BE0157">
        <w:t>help</w:t>
      </w:r>
      <w:r w:rsidR="00875332">
        <w:t xml:space="preserve"> and support</w:t>
      </w:r>
      <w:r w:rsidR="001E60CC">
        <w:t xml:space="preserve"> </w:t>
      </w:r>
      <w:r w:rsidR="00FA39F4">
        <w:t xml:space="preserve">they </w:t>
      </w:r>
      <w:r w:rsidR="006A750F">
        <w:t>would otherwise receive</w:t>
      </w:r>
      <w:r w:rsidR="00FA39F4">
        <w:t xml:space="preserve"> from socially proximate peers</w:t>
      </w:r>
      <w:r w:rsidR="0062493A">
        <w:t xml:space="preserve"> </w:t>
      </w:r>
      <w:r w:rsidR="0062493A">
        <w:fldChar w:fldCharType="begin" w:fldLock="1"/>
      </w:r>
      <w:r w:rsidR="00F23055">
        <w:instrText>ADDIN CSL_CITATION {"citationItems":[{"id":"ITEM-1","itemData":{"DOI":"10.1111/j.2044-8325.1996.tb00613.x","ISBN":"09631798","ISSN":"09631798","PMID":"9671","abstract":"Using structural equation modelling, the present study examined the effect of sex simi-larity on interviewers\" evaluations of actual applicants and assessed whether interview quality mediated this eftecc. It was hypothesized that sex similarity would positively affect interview quality, which, in turn, would affect interview outcomes. Interviewers were expected to view interactions with same-sex applicants as higher in quality than interactions with opposite-sex applicants. As a result, same-sex applicants were expected to receive more favourable outcomes than opposite-sex applicants. Analysis of data from 680 interviews provided partial support for this hypothesis. Sex similarity did not affect male recruiters' perceptions of interview quality or evaluations of applicants. However, as hypothesized, female recruiters reported better interview experiences with female applicants than male appiicants and, in turn, evaluated them more favourably. Gender differences in recruiters' communication styles, social identification processes, and re-actions to organizational equal opportunity policies are offered as possible explanations for the disparate results for male and female recruiters.","author":[{"dropping-particle":"","family":"Graves","given":"Laura M.","non-dropping-particle":"","parse-names":false,"suffix":""},{"dropping-particle":"","family":"Powell","given":"Gary N.","non-dropping-particle":"","parse-names":false,"suffix":""}],"container-title":"Journal of Occupational and Organizational Psychology","id":"ITEM-1","issue":"3","issued":{"date-parts":[["1996"]]},"page":"243-261","title":"Sex similarity, quality of the employment interview and recruiters' evaluation of actual applicants","type":"article-journal","volume":"69"},"uris":["http://www.mendeley.com/documents/?uuid=2475c632-5c66-4db6-91fb-ba4c9f4132f1"]},{"id":"ITEM-2","itemData":{"DOI":"10.1093/icc/dtp050","ISBN":"0960-6491\\n1464-3650","ISSN":"09606491","PMID":"50986446","abstract":"To many, the principal-agent model is the obvious lens through which executive pay should be viewed. Such a sentiment sits uncomfortably with a large number of empirical studies suggesting that the process of determining executive pay seems to be more readily explained by recourse to arguments of managerial power and influence. This article investigates the micro-underpinnings of boardroom behavior in order to explain this departure from principal-agency theory’s argument that executive compensation serves to align interests between the owners of the company and its senior managers. We find that there are strong interaction effects among social influence variables and the social setting of boardroom activity. Generous pay awards, bearing only a weak connection to corporate performance, are explained in the context of the social psychology of the boardroom. These results and a review of the empirical research, suggest the need for a more comprehensive model of executive compensation that incorporates both economic and psychological determinants.","author":[{"dropping-particle":"","family":"O'Reilly","given":"Charles A.","non-dropping-particle":"","parse-names":false,"suffix":""},{"dropping-particle":"","family":"Main","given":"Brian G.M.","non-dropping-particle":"","parse-names":false,"suffix":""}],"container-title":"Industrial and Corporate Change","id":"ITEM-2","issue":"3","issued":{"date-parts":[["2010"]]},"page":"675-712","title":"Economic and psychological perspectives on CEO compensation: A review and synthesis","type":"article-journal","volume":"19"},"uris":["http://www.mendeley.com/documents/?uuid=bbce6885-bd61-4f61-9899-5f9cfb85d0fe"]}],"mendeley":{"formattedCitation":"(Graves and Powell, 1996; O’Reilly and Main, 2010)","manualFormatting":"(Graves and Powell, 1996)","plainTextFormattedCitation":"(Graves and Powell, 1996; O’Reilly and Main, 2010)","previouslyFormattedCitation":"(Graves and Powell, 1996; O’Reilly and Main, 2010)"},"properties":{"noteIndex":0},"schema":"https://github.com/citation-style-language/schema/raw/master/csl-citation.json"}</w:instrText>
      </w:r>
      <w:r w:rsidR="0062493A">
        <w:fldChar w:fldCharType="separate"/>
      </w:r>
      <w:r w:rsidR="0062493A" w:rsidRPr="0062493A">
        <w:rPr>
          <w:noProof/>
        </w:rPr>
        <w:t>(Graves and Powell, 1996)</w:t>
      </w:r>
      <w:r w:rsidR="0062493A">
        <w:fldChar w:fldCharType="end"/>
      </w:r>
      <w:r w:rsidR="00BE0157">
        <w:t>.</w:t>
      </w:r>
      <w:r w:rsidR="000F380A">
        <w:t xml:space="preserve"> </w:t>
      </w:r>
      <w:r w:rsidR="006A750F">
        <w:t xml:space="preserve">In addition, </w:t>
      </w:r>
      <w:r w:rsidR="000F380A">
        <w:t>the job satisfaction of female managers might dramatically decrease</w:t>
      </w:r>
      <w:r w:rsidR="00D05BA1">
        <w:t>,</w:t>
      </w:r>
      <w:r w:rsidR="000F380A">
        <w:t xml:space="preserve"> as the organizational environment, especially at managerial levels, becomes more male-dominated</w:t>
      </w:r>
      <w:r w:rsidR="00FA39F4">
        <w:t xml:space="preserve"> (</w:t>
      </w:r>
      <w:r w:rsidR="00FA39F4" w:rsidRPr="00FD41E6">
        <w:t>Ely, 1990; Burke and McKeen, 1996</w:t>
      </w:r>
      <w:r w:rsidR="00FA39F4">
        <w:t>)</w:t>
      </w:r>
      <w:r w:rsidR="000F380A">
        <w:t xml:space="preserve">. </w:t>
      </w:r>
      <w:r w:rsidR="00BE0157">
        <w:t xml:space="preserve"> </w:t>
      </w:r>
    </w:p>
    <w:p w14:paraId="200B23CB" w14:textId="24618EFC" w:rsidR="001F6B3C" w:rsidRPr="00527056" w:rsidRDefault="006A750F" w:rsidP="001E60CC">
      <w:pPr>
        <w:pStyle w:val="BodyTextIndent"/>
      </w:pPr>
      <w:r>
        <w:t>Second</w:t>
      </w:r>
      <w:r w:rsidR="009A2E0F">
        <w:t xml:space="preserve">, </w:t>
      </w:r>
      <w:r w:rsidR="000F380A">
        <w:t>and along similar lines,</w:t>
      </w:r>
      <w:r w:rsidR="00094339">
        <w:t xml:space="preserve"> the disproportional </w:t>
      </w:r>
      <w:r w:rsidR="00E34B9E">
        <w:t xml:space="preserve">female </w:t>
      </w:r>
      <w:r w:rsidR="00094339">
        <w:t>departure from managerial positions will undermine the bargaining power of the remaining</w:t>
      </w:r>
      <w:r w:rsidR="000F380A">
        <w:t xml:space="preserve"> female managers</w:t>
      </w:r>
      <w:r w:rsidR="00094339">
        <w:t xml:space="preserve">. </w:t>
      </w:r>
      <w:r w:rsidR="00D956FC">
        <w:t xml:space="preserve">As </w:t>
      </w:r>
      <w:r w:rsidR="002B3326">
        <w:t xml:space="preserve">a </w:t>
      </w:r>
      <w:r w:rsidR="00D956FC">
        <w:t>firm</w:t>
      </w:r>
      <w:r w:rsidR="002B3326">
        <w:t>’s</w:t>
      </w:r>
      <w:r w:rsidR="00D956FC">
        <w:t xml:space="preserve"> management becomes more male-dominated, </w:t>
      </w:r>
      <w:r w:rsidR="00B536C6">
        <w:t>women as a group</w:t>
      </w:r>
      <w:r w:rsidR="00D956FC">
        <w:t xml:space="preserve"> will </w:t>
      </w:r>
      <w:r w:rsidR="000F380A">
        <w:t>lose</w:t>
      </w:r>
      <w:r w:rsidR="00D956FC">
        <w:t xml:space="preserve"> </w:t>
      </w:r>
      <w:r w:rsidR="000F380A">
        <w:t>influence within the firm</w:t>
      </w:r>
      <w:r w:rsidR="00094339">
        <w:t xml:space="preserve"> </w:t>
      </w:r>
      <w:r w:rsidR="00D956FC">
        <w:t xml:space="preserve">and thus be </w:t>
      </w:r>
      <w:r w:rsidR="00B536C6">
        <w:t xml:space="preserve">less able </w:t>
      </w:r>
      <w:r w:rsidR="00D956FC">
        <w:t xml:space="preserve">to </w:t>
      </w:r>
      <w:r w:rsidR="007A0769">
        <w:t xml:space="preserve">build powerful coalitions </w:t>
      </w:r>
      <w:r w:rsidR="007A0769" w:rsidRPr="0058683A">
        <w:fldChar w:fldCharType="begin" w:fldLock="1"/>
      </w:r>
      <w:r w:rsidR="007A0769" w:rsidRPr="0058683A">
        <w:instrText>ADDIN CSL_CITATION {"citationItems":[{"id":"ITEM-1","itemData":{"DOI":"10.1007/s10551-011-0815-z","ISBN":"0167-4544","ISSN":"01674544","PMID":"63899439","abstract":"Academic debate on the strategic importance of women corporate directors is widely recognized and still open. However, most corporate boards have only one woman director or a small minority of women directors. Therefore they can still be considered as tokens. This article addresses the following question: does an increased number of women corporate boards result in a build up of critical mass that substantially contributes to firm innovation? The aim is to test if 'at least three women' could constitute the desired critical mass by identifying different minorities of women directors (one woman, two women and at least three women). Tests are conducted on a sample of 317 Norwegian firms. The results suggest that attaining critical mass - going from one or two women (a few tokens) to at least three women (consistent minority) - makes it possible to enhance the level of firm innovation. Moreover, the results show that the relationship between the critical mass of women directors and the level of firm innovation is mediated by board strategic tasks. Implications for both theory and practice, and future research directions are discussed.","author":[{"dropping-particle":"","family":"Torchia","given":"Mariateresa","non-dropping-particle":"","parse-names":false,"suffix":""},{"dropping-particle":"","family":"Calabrò","given":"Andrea","non-dropping-particle":"","parse-names":false,"suffix":""},{"dropping-particle":"","family":"Huse","given":"Morten","non-dropping-particle":"","parse-names":false,"suffix":""}],"container-title":"Journal of Business Ethics","id":"ITEM-1","issue":"2","issued":{"date-parts":[["2011"]]},"page":"299-317","title":"Women Directors on Corporate Boards: From Tokenism to Critical Mass","type":"article-journal","volume":"102"},"uris":["http://www.mendeley.com/documents/?uuid=10f3488c-d9fa-460f-836b-b48823f68618"]},{"id":"ITEM-2","itemData":{"DOI":"10.2139/ssrn.236441","ISBN":"00018392","ISSN":"00018392","PMID":"3468178","abstract":"This study examines how the influence of directors who are demographic minorities on corporate boards is contingent on the prior experience of board members and the larger social structural context in which demographic differences are embedded. We assess the effects of minority status according to functional background, industry background, education, race, and gender for a large sample of corporate outside directors at Fortune/Forbes 500 companies. The results show that (1) the prior experience of minority directors in a minority role on other boards can enhance their ability to exert influence on the focal board, while the prior experience of minority directors in a majority role can reduce their influence; (2) the prior experience of majority directors in a minority role on other boards can enhance the influence of minority directors on the focal board, and (3) minority directors are more influential if they have direct or indirect social network ties to majority directors through common memberships on other boards. Results suggest that demographic minorities can avoid out-group biases that would otherwise minimize their influence when they have prior experience on other boards or social network ties to other directors that enable them to create the perception of similarity with the majority.","author":[{"dropping-particle":"","family":"Westphal","given":"James D.","non-dropping-particle":"","parse-names":false,"suffix":""},{"dropping-particle":"","family":"Milton","given":"Laurie P.","non-dropping-particle":"","parse-names":false,"suffix":""}],"container-title":"Administrative Science Quarterly","id":"ITEM-2","issue":"2","issued":{"date-parts":[["2000"]]},"page":"366-398","title":"How Experience and Network Ties Affect the Influence of Demographic Minorities on Corporate Boards","type":"article-journal","volume":"45"},"uris":["http://www.mendeley.com/documents/?uuid=068344dd-71fd-4329-9222-2f666a6ec297"]}],"mendeley":{"formattedCitation":"(Torchia &lt;i&gt;et al.&lt;/i&gt;, 2011; Westphal and Milton, 2000)","plainTextFormattedCitation":"(Torchia et al., 2011; Westphal and Milton, 2000)","previouslyFormattedCitation":"(Torchia &lt;i&gt;et al.&lt;/i&gt;, 2011; Westphal and Milton, 2000)"},"properties":{"noteIndex":0},"schema":"https://github.com/citation-style-language/schema/raw/master/csl-citation.json"}</w:instrText>
      </w:r>
      <w:r w:rsidR="007A0769" w:rsidRPr="0058683A">
        <w:fldChar w:fldCharType="separate"/>
      </w:r>
      <w:r w:rsidR="007A0769" w:rsidRPr="0058683A">
        <w:rPr>
          <w:noProof/>
        </w:rPr>
        <w:t xml:space="preserve">(Torchia </w:t>
      </w:r>
      <w:r w:rsidR="007A0769" w:rsidRPr="0058683A">
        <w:rPr>
          <w:i/>
          <w:noProof/>
        </w:rPr>
        <w:t>et al.</w:t>
      </w:r>
      <w:r w:rsidR="007A0769" w:rsidRPr="0058683A">
        <w:rPr>
          <w:noProof/>
        </w:rPr>
        <w:t>, 2011; Westphal and Milton, 2000)</w:t>
      </w:r>
      <w:r w:rsidR="007A0769" w:rsidRPr="0058683A">
        <w:fldChar w:fldCharType="end"/>
      </w:r>
      <w:r w:rsidR="007A0769" w:rsidRPr="0058683A">
        <w:t xml:space="preserve">. </w:t>
      </w:r>
      <w:r w:rsidR="001F6B3C">
        <w:t>Any new coalitions will be challenging to form</w:t>
      </w:r>
      <w:r w:rsidR="001F6B3C" w:rsidRPr="00AB625E">
        <w:t xml:space="preserve"> </w:t>
      </w:r>
      <w:r w:rsidR="001F6B3C">
        <w:t>because fewer women might be appointed to vacated managerial positions</w:t>
      </w:r>
      <w:r w:rsidR="000A3EBE">
        <w:t>. And</w:t>
      </w:r>
      <w:r w:rsidR="001F6B3C">
        <w:t xml:space="preserve"> even</w:t>
      </w:r>
      <w:r w:rsidR="001F6B3C" w:rsidRPr="00AB625E">
        <w:t xml:space="preserve"> if other female employees</w:t>
      </w:r>
      <w:r w:rsidR="001F6B3C">
        <w:t xml:space="preserve"> are eventually hired to replace the movers</w:t>
      </w:r>
      <w:r w:rsidR="001F6B3C" w:rsidRPr="00AB625E">
        <w:t>,</w:t>
      </w:r>
      <w:r w:rsidR="001F6B3C">
        <w:t xml:space="preserve"> </w:t>
      </w:r>
      <w:r w:rsidR="001F6B3C" w:rsidRPr="00AB625E">
        <w:t>valuable resources</w:t>
      </w:r>
      <w:r w:rsidR="001F6B3C">
        <w:t xml:space="preserve"> such as trust </w:t>
      </w:r>
      <w:r w:rsidR="00B536C6">
        <w:t xml:space="preserve">and </w:t>
      </w:r>
      <w:r w:rsidR="001F6B3C">
        <w:t>support</w:t>
      </w:r>
      <w:r w:rsidR="001F6B3C" w:rsidRPr="00AB625E">
        <w:t xml:space="preserve"> are </w:t>
      </w:r>
      <w:r w:rsidR="001F6B3C">
        <w:t xml:space="preserve">often </w:t>
      </w:r>
      <w:r w:rsidR="001F6B3C" w:rsidRPr="00AB625E">
        <w:t xml:space="preserve">relationship-specific and </w:t>
      </w:r>
      <w:r w:rsidR="00D956FC">
        <w:t xml:space="preserve">difficult </w:t>
      </w:r>
      <w:r w:rsidR="001F6B3C">
        <w:t>to replicate in a short term</w:t>
      </w:r>
      <w:r w:rsidR="001F6B3C" w:rsidRPr="00AB625E">
        <w:t xml:space="preserve"> </w:t>
      </w:r>
      <w:r w:rsidR="003175A8">
        <w:fldChar w:fldCharType="begin" w:fldLock="1"/>
      </w:r>
      <w:r w:rsidR="00854F34">
        <w:instrText>ADDIN CSL_CITATION {"citationItems":[{"id":"ITEM-1","itemData":{"ISSN":"0001-8392","author":[{"dropping-particle":"","family":"Westphal","given":"James D","non-dropping-particle":"","parse-names":false,"suffix":""},{"dropping-particle":"","family":"Zajac","given":"Edward J","non-dropping-particle":"","parse-names":false,"suffix":""}],"container-title":"Administrative science quarterly","id":"ITEM-1","issue":"1","issued":{"date-parts":[["1995"]]},"page":"60-83","title":"Who shall govern? CEO/board power, demographic similarity, and new director selection","type":"article-journal","volume":"40"},"uris":["http://www.mendeley.com/documents/?uuid=82a32ae4-5869-44c3-aaee-64f7a21cbaab"]},{"id":"ITEM-2","itemData":{"DOI":"10.1111/j.2044-8325.1996.tb00613.x","ISBN":"09631798","ISSN":"09631798","PMID":"9671","abstract":"Using structural equation modelling, the present study examined the effect of sex simi-larity on interviewers\" evaluations of actual applicants and assessed whether interview quality mediated this eftecc. It was hypothesized that sex similarity would positively affect interview quality, which, in turn, would affect interview outcomes. Interviewers were expected to view interactions with same-sex applicants as higher in quality than interactions with opposite-sex applicants. As a result, same-sex applicants were expected to receive more favourable outcomes than opposite-sex applicants. Analysis of data from 680 interviews provided partial support for this hypothesis. Sex similarity did not affect male recruiters' perceptions of interview quality or evaluations of applicants. However, as hypothesized, female recruiters reported better interview experiences with female applicants than male appiicants and, in turn, evaluated them more favourably. Gender differences in recruiters' communication styles, social identification processes, and re-actions to organizational equal opportunity policies are offered as possible explanations for the disparate results for male and female recruiters.","author":[{"dropping-particle":"","family":"Graves","given":"Laura M.","non-dropping-particle":"","parse-names":false,"suffix":""},{"dropping-particle":"","family":"Powell","given":"Gary N.","non-dropping-particle":"","parse-names":false,"suffix":""}],"container-title":"Journal of Occupational and Organizational Psychology","id":"ITEM-2","issue":"3","issued":{"date-parts":[["1996"]]},"page":"243-261","title":"Sex similarity, quality of the employment interview and recruiters' evaluation of actual applicants","type":"article-journal","volume":"69"},"uris":["http://www.mendeley.com/documents/?uuid=2475c632-5c66-4db6-91fb-ba4c9f4132f1"]},{"id":"ITEM-3","itemData":{"DOI":"10.1093/icc/dtp050","ISBN":"0960-6491\\n1464-3650","ISSN":"09606491","PMID":"50986446","abstract":"To many, the principal-agent model is the obvious lens through which executive pay should be viewed. Such a sentiment sits uncomfortably with a large number of empirical studies suggesting that the process of determining executive pay seems to be more readily explained by recourse to arguments of managerial power and influence. This article investigates the micro-underpinnings of boardroom behavior in order to explain this departure from principal-agency theory’s argument that executive compensation serves to align interests between the owners of the company and its senior managers. We find that there are strong interaction effects among social influence variables and the social setting of boardroom activity. Generous pay awards, bearing only a weak connection to corporate performance, are explained in the context of the social psychology of the boardroom. These results and a review of the empirical research, suggest the need for a more comprehensive model of executive compensation that incorporates both economic and psychological determinants.","author":[{"dropping-particle":"","family":"O'Reilly","given":"Charles A.","non-dropping-particle":"","parse-names":false,"suffix":""},{"dropping-particle":"","family":"Main","given":"Brian G.M.","non-dropping-particle":"","parse-names":false,"suffix":""}],"container-title":"Industrial and Corporate Change","id":"ITEM-3","issue":"3","issued":{"date-parts":[["2010"]]},"page":"675-712","title":"Economic and psychological perspectives on CEO compensation: A review and synthesis","type":"article-journal","volume":"19"},"uris":["http://www.mendeley.com/documents/?uuid=bbce6885-bd61-4f61-9899-5f9cfb85d0fe"]}],"mendeley":{"formattedCitation":"(Graves and Powell, 1996; O’Reilly and Main, 2010; Westphal and Zajac, 1995)","plainTextFormattedCitation":"(Graves and Powell, 1996; O’Reilly and Main, 2010; Westphal and Zajac, 1995)","previouslyFormattedCitation":"(Graves and Powell, 1996; O’Reilly and Main, 2010; Westphal and Zajac, 1995)"},"properties":{"noteIndex":0},"schema":"https://github.com/citation-style-language/schema/raw/master/csl-citation.json"}</w:instrText>
      </w:r>
      <w:r w:rsidR="003175A8">
        <w:fldChar w:fldCharType="separate"/>
      </w:r>
      <w:r w:rsidR="003175A8" w:rsidRPr="003175A8">
        <w:rPr>
          <w:noProof/>
        </w:rPr>
        <w:t>(Graves and Powell, 1996; ; Westphal and Zajac, 1995)</w:t>
      </w:r>
      <w:r w:rsidR="003175A8">
        <w:fldChar w:fldCharType="end"/>
      </w:r>
      <w:r w:rsidR="003175A8">
        <w:t xml:space="preserve"> </w:t>
      </w:r>
      <w:r w:rsidR="001F6B3C">
        <w:t xml:space="preserve">– thus undermining the ability of the coalition to </w:t>
      </w:r>
      <w:r w:rsidR="00B536C6">
        <w:t xml:space="preserve">influence </w:t>
      </w:r>
      <w:r w:rsidR="001F6B3C">
        <w:t>organizational outcomes</w:t>
      </w:r>
      <w:r w:rsidR="001F6B3C" w:rsidRPr="00AB625E">
        <w:t xml:space="preserve">. </w:t>
      </w:r>
    </w:p>
    <w:p w14:paraId="3FDB5D39" w14:textId="7A873A15" w:rsidR="00E17F02" w:rsidRPr="0058683A" w:rsidRDefault="00CF205C" w:rsidP="006756E9">
      <w:pPr>
        <w:pStyle w:val="BodyTextIndent"/>
      </w:pPr>
      <w:r w:rsidRPr="0058683A">
        <w:t>Together</w:t>
      </w:r>
      <w:r w:rsidR="00D913E2" w:rsidRPr="0058683A">
        <w:t xml:space="preserve">, </w:t>
      </w:r>
      <w:r w:rsidR="001C740A">
        <w:t>these</w:t>
      </w:r>
      <w:r w:rsidR="00D913E2" w:rsidRPr="0058683A">
        <w:t xml:space="preserve"> </w:t>
      </w:r>
      <w:r w:rsidR="0053397B" w:rsidRPr="0058683A">
        <w:t>arguments</w:t>
      </w:r>
      <w:r w:rsidR="00D913E2" w:rsidRPr="0058683A">
        <w:t xml:space="preserve"> suggest that </w:t>
      </w:r>
      <w:r w:rsidR="00D05BA1">
        <w:t xml:space="preserve">an </w:t>
      </w:r>
      <w:r w:rsidR="00D913E2" w:rsidRPr="0058683A">
        <w:t xml:space="preserve">increase in </w:t>
      </w:r>
      <w:r w:rsidR="00816016">
        <w:t xml:space="preserve">the </w:t>
      </w:r>
      <w:r w:rsidR="00D913E2" w:rsidRPr="0058683A">
        <w:t xml:space="preserve">gender gap in </w:t>
      </w:r>
      <w:r w:rsidR="00585287">
        <w:t xml:space="preserve">incumbent firms </w:t>
      </w:r>
      <w:r w:rsidR="00E17F02" w:rsidRPr="0058683A">
        <w:t xml:space="preserve">will be greater </w:t>
      </w:r>
      <w:r w:rsidR="004279E5">
        <w:t>for</w:t>
      </w:r>
      <w:r w:rsidR="004279E5" w:rsidRPr="0058683A">
        <w:t xml:space="preserve"> </w:t>
      </w:r>
      <w:r w:rsidR="00504846" w:rsidRPr="0058683A">
        <w:t xml:space="preserve">female workers </w:t>
      </w:r>
      <w:r w:rsidR="0074336F">
        <w:t>occupying managerial roles</w:t>
      </w:r>
      <w:r w:rsidR="001C740A">
        <w:t xml:space="preserve"> because</w:t>
      </w:r>
      <w:r w:rsidR="00735E0D">
        <w:t>,</w:t>
      </w:r>
      <w:r w:rsidR="0074336F">
        <w:t xml:space="preserve"> following the </w:t>
      </w:r>
      <w:r w:rsidR="00D956FC">
        <w:t>fall in entry barriers</w:t>
      </w:r>
      <w:r w:rsidR="001C3F7B">
        <w:t xml:space="preserve"> </w:t>
      </w:r>
      <w:r w:rsidR="0074336F">
        <w:t xml:space="preserve">and the </w:t>
      </w:r>
      <w:r w:rsidR="00D956FC">
        <w:t xml:space="preserve">resulting </w:t>
      </w:r>
      <w:r w:rsidR="0074336F">
        <w:t>transition of women into entrepreneurship,</w:t>
      </w:r>
      <w:r w:rsidR="00735E0D">
        <w:t xml:space="preserve"> </w:t>
      </w:r>
      <w:r w:rsidR="0074336F">
        <w:t xml:space="preserve">those roles </w:t>
      </w:r>
      <w:r w:rsidR="006A750F">
        <w:t>will be particularly likely to become</w:t>
      </w:r>
      <w:r w:rsidR="0074336F">
        <w:t xml:space="preserve"> male</w:t>
      </w:r>
      <w:r w:rsidR="006A750F">
        <w:t>-</w:t>
      </w:r>
      <w:r w:rsidR="0074336F">
        <w:t>dominated. This</w:t>
      </w:r>
      <w:r w:rsidR="001C740A">
        <w:t xml:space="preserve"> </w:t>
      </w:r>
      <w:r w:rsidR="0074336F">
        <w:t>implies greater</w:t>
      </w:r>
      <w:r w:rsidR="001C740A">
        <w:t xml:space="preserve"> productivity losses as well as </w:t>
      </w:r>
      <w:r w:rsidR="00735E0D">
        <w:t xml:space="preserve">greater </w:t>
      </w:r>
      <w:r w:rsidR="001C740A">
        <w:t>re</w:t>
      </w:r>
      <w:r w:rsidR="00C62008">
        <w:t>d</w:t>
      </w:r>
      <w:r w:rsidR="001C740A">
        <w:t>uctions in bargaining power</w:t>
      </w:r>
      <w:r w:rsidR="0074336F">
        <w:t xml:space="preserve"> for the remaining female managers</w:t>
      </w:r>
      <w:r w:rsidR="00E17F02" w:rsidRPr="0058683A">
        <w:t>.</w:t>
      </w:r>
      <w:r w:rsidR="001C740A">
        <w:t xml:space="preserve"> Hence,</w:t>
      </w:r>
      <w:r w:rsidR="00E17F02" w:rsidRPr="0058683A">
        <w:t xml:space="preserve"> </w:t>
      </w:r>
    </w:p>
    <w:p w14:paraId="5D942959" w14:textId="3C64A2F7" w:rsidR="000656BF" w:rsidRPr="0058683A" w:rsidRDefault="00E17F02" w:rsidP="00A43CB6">
      <w:pPr>
        <w:pStyle w:val="Hypothesis"/>
        <w:ind w:left="0"/>
      </w:pPr>
      <w:r w:rsidRPr="0058683A">
        <w:t>H</w:t>
      </w:r>
      <w:r w:rsidR="00864635" w:rsidRPr="0058683A">
        <w:t>4</w:t>
      </w:r>
      <w:r w:rsidRPr="0058683A">
        <w:t xml:space="preserve">: An increase in gender </w:t>
      </w:r>
      <w:r w:rsidR="00782043">
        <w:t>disparities in pay</w:t>
      </w:r>
      <w:r w:rsidRPr="0058683A">
        <w:t xml:space="preserve"> following the reduction in barriers to entry will be greater among </w:t>
      </w:r>
      <w:r w:rsidR="00827B11">
        <w:t>employees</w:t>
      </w:r>
      <w:r w:rsidRPr="0058683A">
        <w:t xml:space="preserve"> </w:t>
      </w:r>
      <w:r w:rsidR="00827B11" w:rsidRPr="0058683A">
        <w:t xml:space="preserve">in </w:t>
      </w:r>
      <w:r w:rsidR="00FD41E6">
        <w:t>managerial</w:t>
      </w:r>
      <w:r w:rsidR="00F269FD" w:rsidRPr="0058683A">
        <w:t xml:space="preserve"> </w:t>
      </w:r>
      <w:r w:rsidR="00827B11" w:rsidRPr="0058683A">
        <w:t>positions</w:t>
      </w:r>
      <w:r w:rsidRPr="0058683A">
        <w:t>.</w:t>
      </w:r>
      <w:r w:rsidR="00A1537F">
        <w:t xml:space="preserve"> </w:t>
      </w:r>
    </w:p>
    <w:p w14:paraId="42D88F1A" w14:textId="77777777" w:rsidR="00D95F9F" w:rsidRPr="0058683A" w:rsidRDefault="00D95F9F" w:rsidP="00D95F9F">
      <w:pPr>
        <w:pStyle w:val="Heading1"/>
        <w:spacing w:before="0"/>
      </w:pPr>
      <w:r w:rsidRPr="0058683A">
        <w:t>EMPIRICAL SETTING AND DATA</w:t>
      </w:r>
    </w:p>
    <w:p w14:paraId="08F6A2ED" w14:textId="77777777" w:rsidR="00D95F9F" w:rsidRPr="0058683A" w:rsidRDefault="00D95F9F" w:rsidP="00D95F9F">
      <w:pPr>
        <w:pStyle w:val="BodyText"/>
      </w:pPr>
      <w:r w:rsidRPr="0058683A">
        <w:t xml:space="preserve">Empirically, it is difficult to estimate how </w:t>
      </w:r>
      <w:r>
        <w:t xml:space="preserve">reducing </w:t>
      </w:r>
      <w:r w:rsidRPr="0058683A">
        <w:t>barrier</w:t>
      </w:r>
      <w:r>
        <w:t>s to entry</w:t>
      </w:r>
      <w:r w:rsidRPr="0058683A">
        <w:t xml:space="preserve"> </w:t>
      </w:r>
      <w:r>
        <w:t>might lead to the unintended consequences for</w:t>
      </w:r>
      <w:r w:rsidRPr="0058683A">
        <w:t xml:space="preserve"> </w:t>
      </w:r>
      <w:r>
        <w:t xml:space="preserve">rent allocation among </w:t>
      </w:r>
      <w:r w:rsidRPr="0058683A">
        <w:t>workers who stay in paid employment, because such estimat</w:t>
      </w:r>
      <w:r>
        <w:t>es</w:t>
      </w:r>
      <w:r w:rsidRPr="0058683A">
        <w:t xml:space="preserve"> are subject to classical endogeneity problems. Regional-level characteristics might lead to </w:t>
      </w:r>
      <w:r>
        <w:t xml:space="preserve">a </w:t>
      </w:r>
      <w:r w:rsidRPr="0058683A">
        <w:t xml:space="preserve">spurious correlation between </w:t>
      </w:r>
      <w:r>
        <w:t>barriers to founding a new venture</w:t>
      </w:r>
      <w:r w:rsidRPr="0058683A">
        <w:t xml:space="preserve"> in a</w:t>
      </w:r>
      <w:r>
        <w:t xml:space="preserve"> given</w:t>
      </w:r>
      <w:r w:rsidRPr="0058683A">
        <w:t xml:space="preserve"> region, on one side, and </w:t>
      </w:r>
      <w:r>
        <w:t xml:space="preserve">the </w:t>
      </w:r>
      <w:r w:rsidRPr="0058683A">
        <w:t>female</w:t>
      </w:r>
      <w:r>
        <w:t>–male</w:t>
      </w:r>
      <w:r w:rsidRPr="0058683A">
        <w:t xml:space="preserve"> gap </w:t>
      </w:r>
      <w:r>
        <w:t>in pay</w:t>
      </w:r>
      <w:r w:rsidRPr="0058683A">
        <w:t xml:space="preserve"> in the same region, on the other side.</w:t>
      </w:r>
      <w:r>
        <w:t xml:space="preserve"> </w:t>
      </w:r>
      <w:r w:rsidRPr="0058683A">
        <w:t xml:space="preserve">Therefore, to rule out </w:t>
      </w:r>
      <w:r>
        <w:t>any</w:t>
      </w:r>
      <w:r w:rsidRPr="0058683A">
        <w:t xml:space="preserve"> potential confounders, it is necessary to leverage a research design that provides exogenous shifts in entry barrier</w:t>
      </w:r>
      <w:r>
        <w:t xml:space="preserve">s; </w:t>
      </w:r>
      <w:r w:rsidRPr="0058683A">
        <w:t xml:space="preserve">such exogenous </w:t>
      </w:r>
      <w:r w:rsidRPr="00663284">
        <w:t xml:space="preserve">shifts would allow us to estimate the causal effect of </w:t>
      </w:r>
      <w:r>
        <w:t>lowering barriers to entry</w:t>
      </w:r>
      <w:r w:rsidRPr="00663284">
        <w:t xml:space="preserve"> on </w:t>
      </w:r>
      <w:r>
        <w:t xml:space="preserve">gender disparities in entrepreneurship </w:t>
      </w:r>
      <w:r w:rsidRPr="00663284">
        <w:t xml:space="preserve">and </w:t>
      </w:r>
      <w:r>
        <w:t>wages in incumbent firms</w:t>
      </w:r>
      <w:r w:rsidRPr="00663284">
        <w:t>.</w:t>
      </w:r>
      <w:r w:rsidRPr="0058683A">
        <w:t xml:space="preserve"> </w:t>
      </w:r>
    </w:p>
    <w:p w14:paraId="78D526B3" w14:textId="77777777" w:rsidR="00D95F9F" w:rsidRPr="0058683A" w:rsidRDefault="00D95F9F" w:rsidP="00D95F9F">
      <w:pPr>
        <w:pStyle w:val="BodyTextIndent"/>
      </w:pPr>
      <w:r>
        <w:t>We identify exogenous</w:t>
      </w:r>
      <w:r w:rsidRPr="0058683A">
        <w:t xml:space="preserve"> </w:t>
      </w:r>
      <w:r>
        <w:t>changes in regulation by focusing</w:t>
      </w:r>
      <w:r w:rsidRPr="0058683A">
        <w:t xml:space="preserve"> </w:t>
      </w:r>
      <w:r>
        <w:t xml:space="preserve">on </w:t>
      </w:r>
      <w:r w:rsidRPr="0058683A">
        <w:t xml:space="preserve">deregulation reform enacted in Portugal between 2005 and 2009. Beginning with 2005, the Portuguese government enacted an entry deregulation program – “On the Spot Firm” (Empresa na Hora) – which was enacted </w:t>
      </w:r>
      <w:r>
        <w:t>at</w:t>
      </w:r>
      <w:r w:rsidRPr="0058683A">
        <w:t xml:space="preserve"> different moments in time across different Portuguese regions (“concelhos</w:t>
      </w:r>
      <w:r>
        <w:t>,</w:t>
      </w:r>
      <w:r w:rsidRPr="0058683A">
        <w:t xml:space="preserve">” or municipalities), determining a decrease in entry barriers in such regions. The objective of the program was to alleviate the bureaucratic burden when registering a new firm, which implied significant pecuniary and non-pecuniary (time) costs. </w:t>
      </w:r>
      <w:r>
        <w:t>Before</w:t>
      </w:r>
      <w:r w:rsidRPr="0058683A">
        <w:t xml:space="preserve"> 2005</w:t>
      </w:r>
      <w:r>
        <w:t>,</w:t>
      </w:r>
      <w:r w:rsidRPr="0058683A">
        <w:t xml:space="preserve"> start</w:t>
      </w:r>
      <w:r>
        <w:t>ing</w:t>
      </w:r>
      <w:r w:rsidRPr="0058683A">
        <w:t xml:space="preserve"> a new business in Portugal took 54 </w:t>
      </w:r>
      <w:r>
        <w:t>to</w:t>
      </w:r>
      <w:r w:rsidRPr="0058683A">
        <w:t xml:space="preserve"> 78 days </w:t>
      </w:r>
      <w:r>
        <w:t>(</w:t>
      </w:r>
      <w:r w:rsidRPr="0058683A">
        <w:t>see Figure 1</w:t>
      </w:r>
      <w:r>
        <w:t>) and</w:t>
      </w:r>
      <w:r w:rsidRPr="0058683A">
        <w:t xml:space="preserve"> </w:t>
      </w:r>
      <w:r>
        <w:t>a</w:t>
      </w:r>
      <w:r w:rsidRPr="0058683A">
        <w:t>n</w:t>
      </w:r>
      <w:r>
        <w:t>y prospective</w:t>
      </w:r>
      <w:r w:rsidRPr="0058683A">
        <w:t xml:space="preserve"> entrepreneur needed to visit several offices and fill out more than 20 forms and documents, with an estimated cost of about 2000 euros (more than 13 per cent of the Portuguese annual GDP per capita). As a result, Portugal ranked relatively low (133 out of 155 countries) in the </w:t>
      </w:r>
      <w:r>
        <w:t>“</w:t>
      </w:r>
      <w:r w:rsidRPr="0058683A">
        <w:t>Doing Business</w:t>
      </w:r>
      <w:r>
        <w:t>”</w:t>
      </w:r>
      <w:r w:rsidRPr="0058683A">
        <w:t xml:space="preserve"> </w:t>
      </w:r>
      <w:r>
        <w:t>r</w:t>
      </w:r>
      <w:r w:rsidRPr="0058683A">
        <w:t>anking</w:t>
      </w:r>
      <w:r>
        <w:t>, conducted by</w:t>
      </w:r>
      <w:r w:rsidRPr="0058683A">
        <w:t xml:space="preserve"> the World Bank (World Bank, 2006). To address these issues, the </w:t>
      </w:r>
      <w:r>
        <w:t>g</w:t>
      </w:r>
      <w:r w:rsidRPr="0058683A">
        <w:t>overnment enact</w:t>
      </w:r>
      <w:r>
        <w:t>ed</w:t>
      </w:r>
      <w:r w:rsidRPr="0058683A">
        <w:t xml:space="preserve"> the “On the Spot Firm” program</w:t>
      </w:r>
      <w:r>
        <w:t xml:space="preserve">, an effort to consolidate different </w:t>
      </w:r>
      <w:r w:rsidRPr="0058683A">
        <w:t xml:space="preserve">agencies </w:t>
      </w:r>
      <w:r>
        <w:t>across the country when supervising the creation of new ventures. As a result</w:t>
      </w:r>
      <w:r w:rsidRPr="0058683A">
        <w:t xml:space="preserve">, entrepreneurs </w:t>
      </w:r>
      <w:r>
        <w:t>would</w:t>
      </w:r>
      <w:r w:rsidRPr="0058683A">
        <w:t xml:space="preserve"> no</w:t>
      </w:r>
      <w:r>
        <w:t xml:space="preserve"> longer</w:t>
      </w:r>
      <w:r w:rsidRPr="0058683A">
        <w:t xml:space="preserve"> need to visit several public offices to </w:t>
      </w:r>
      <w:r>
        <w:t>obtain</w:t>
      </w:r>
      <w:r w:rsidRPr="0058683A">
        <w:t xml:space="preserve"> documents required</w:t>
      </w:r>
      <w:r>
        <w:t xml:space="preserve"> for launching a startup</w:t>
      </w:r>
      <w:r w:rsidRPr="0058683A">
        <w:t xml:space="preserve">. </w:t>
      </w:r>
      <w:r>
        <w:t>For example</w:t>
      </w:r>
      <w:r w:rsidRPr="0058683A">
        <w:t>, the company</w:t>
      </w:r>
      <w:r>
        <w:t>’s</w:t>
      </w:r>
      <w:r w:rsidRPr="0058683A">
        <w:t xml:space="preserve"> identification card, corporate taxpayer number and social security number </w:t>
      </w:r>
      <w:r>
        <w:t>would now</w:t>
      </w:r>
      <w:r w:rsidRPr="0058683A">
        <w:t xml:space="preserve"> all </w:t>
      </w:r>
      <w:r>
        <w:t>be issued on</w:t>
      </w:r>
      <w:r w:rsidRPr="0058683A">
        <w:t xml:space="preserve"> the same day. </w:t>
      </w:r>
      <w:r>
        <w:t xml:space="preserve">Indeed, studies show that, following </w:t>
      </w:r>
      <w:r w:rsidRPr="0058683A">
        <w:t xml:space="preserve">the “On the Spot Firm” program, Portugal </w:t>
      </w:r>
      <w:r>
        <w:t xml:space="preserve">became </w:t>
      </w:r>
      <w:r w:rsidRPr="0058683A">
        <w:t xml:space="preserve">one of the </w:t>
      </w:r>
      <w:r>
        <w:t xml:space="preserve">most suitable environments for entrepreneurship, </w:t>
      </w:r>
      <w:r w:rsidRPr="0058683A">
        <w:t xml:space="preserve">with an estimated </w:t>
      </w:r>
      <w:r>
        <w:t xml:space="preserve">time </w:t>
      </w:r>
      <w:r w:rsidRPr="0058683A">
        <w:t xml:space="preserve">cost </w:t>
      </w:r>
      <w:r>
        <w:t xml:space="preserve">of </w:t>
      </w:r>
      <w:r w:rsidRPr="0058683A">
        <w:t xml:space="preserve">less than one hour </w:t>
      </w:r>
      <w:r>
        <w:t>and financial cost of 300 euros</w:t>
      </w:r>
      <w:r w:rsidRPr="0058683A">
        <w:t xml:space="preserve">– which, as </w:t>
      </w:r>
      <w:r>
        <w:t xml:space="preserve">is </w:t>
      </w:r>
      <w:r w:rsidRPr="0058683A">
        <w:t>evident in Figure 1, is well below the OECD average</w:t>
      </w:r>
      <w:r>
        <w:t xml:space="preserve"> </w:t>
      </w:r>
      <w:r w:rsidRPr="0058683A">
        <w:t>(Branstetter et al., 201</w:t>
      </w:r>
      <w:r>
        <w:t>4</w:t>
      </w:r>
      <w:r w:rsidRPr="0058683A">
        <w:t>; Fernandes et al., 201</w:t>
      </w:r>
      <w:r>
        <w:t>4</w:t>
      </w:r>
      <w:r w:rsidRPr="0058683A">
        <w:t xml:space="preserve">). </w:t>
      </w:r>
    </w:p>
    <w:p w14:paraId="243AA19B" w14:textId="77777777" w:rsidR="00D95F9F" w:rsidRPr="0058683A" w:rsidRDefault="00D95F9F" w:rsidP="00D95F9F">
      <w:pPr>
        <w:pStyle w:val="Callout"/>
        <w:rPr>
          <w:color w:val="auto"/>
        </w:rPr>
      </w:pPr>
      <w:r w:rsidRPr="0058683A">
        <w:rPr>
          <w:color w:val="auto"/>
        </w:rPr>
        <w:t>Insert Figure 1 about here</w:t>
      </w:r>
    </w:p>
    <w:p w14:paraId="78568575" w14:textId="4786A33D" w:rsidR="00D95F9F" w:rsidRPr="0058683A" w:rsidRDefault="00D95F9F" w:rsidP="00D95F9F">
      <w:pPr>
        <w:pStyle w:val="BodyTextIndent"/>
      </w:pPr>
      <w:r w:rsidRPr="0058683A">
        <w:t xml:space="preserve">The </w:t>
      </w:r>
      <w:r>
        <w:t>regulatory reform</w:t>
      </w:r>
      <w:r w:rsidRPr="0058683A">
        <w:t xml:space="preserve"> was officially launched in July 2005 and, in the same month, pilot one-stop shops were launched in the municipalities of Coimbra, Aveiro, Barreiro and Mota. The program expanded over time</w:t>
      </w:r>
      <w:r>
        <w:t>;</w:t>
      </w:r>
      <w:r w:rsidRPr="0058683A">
        <w:t xml:space="preserve"> by the end of 2009, there were 164 shops dispersed across 308 municipalities throughout the country. Notably, the staggered enactment of the </w:t>
      </w:r>
      <w:r>
        <w:t xml:space="preserve">reform </w:t>
      </w:r>
      <w:r w:rsidRPr="0058683A">
        <w:t xml:space="preserve">across municipalities did not follow any specific criteria (e.g., number of inhabitants in a municipality or inhabitants’ GDP per capita). Therefore, following previous studies (Branstetter et al., 2014; Fernandes et al. 2015), </w:t>
      </w:r>
      <w:r>
        <w:t>the shock</w:t>
      </w:r>
      <w:r w:rsidRPr="0058683A">
        <w:t xml:space="preserve"> might be considered a quasi-natural experiment. In other words, the timing of enactment of the “On the Spot Firm” across municipalities might be seen as exogenous with respect to </w:t>
      </w:r>
      <w:r>
        <w:t>a</w:t>
      </w:r>
      <w:r w:rsidRPr="0058683A">
        <w:t xml:space="preserve"> municipality</w:t>
      </w:r>
      <w:r>
        <w:t>’s</w:t>
      </w:r>
      <w:r w:rsidRPr="0058683A">
        <w:t xml:space="preserve"> economic and social characteristics. Appendix Table A1 list</w:t>
      </w:r>
      <w:r>
        <w:t>s</w:t>
      </w:r>
      <w:r w:rsidRPr="0058683A">
        <w:t xml:space="preserve"> </w:t>
      </w:r>
      <w:r w:rsidR="00A4092E">
        <w:t xml:space="preserve">the opening year of the first one-stop shop for those </w:t>
      </w:r>
      <w:r w:rsidRPr="0058683A">
        <w:t xml:space="preserve">municipalities </w:t>
      </w:r>
      <w:r w:rsidR="006F2C49">
        <w:t xml:space="preserve">that implemented the reform </w:t>
      </w:r>
      <w:r w:rsidRPr="0058683A">
        <w:t xml:space="preserve">between 2005 and 2009. It is worth noting that whereas the registration of a new company can be </w:t>
      </w:r>
      <w:r>
        <w:t>performed</w:t>
      </w:r>
      <w:r w:rsidRPr="0058683A">
        <w:t xml:space="preserve"> in any of the one-stop shops located across Portugal – regardless </w:t>
      </w:r>
      <w:r>
        <w:t xml:space="preserve">of </w:t>
      </w:r>
      <w:r w:rsidRPr="0058683A">
        <w:t>the location of the company’s headquarters – the fraction of firms registered outside their municipality is trivially small (Branstetter et al.</w:t>
      </w:r>
      <w:r>
        <w:t>,</w:t>
      </w:r>
      <w:r w:rsidRPr="0058683A">
        <w:t xml:space="preserve"> 2014).</w:t>
      </w:r>
      <w:r>
        <w:t xml:space="preserve"> </w:t>
      </w:r>
    </w:p>
    <w:p w14:paraId="2A4AC4A7" w14:textId="13314842" w:rsidR="00D95F9F" w:rsidRPr="0058683A" w:rsidRDefault="00D95F9F" w:rsidP="00D95F9F">
      <w:pPr>
        <w:pStyle w:val="BodyTextIndent"/>
      </w:pPr>
      <w:r w:rsidRPr="0058683A">
        <w:t xml:space="preserve">We test the </w:t>
      </w:r>
      <w:r>
        <w:t>intended and unintended effects of the deregulation reform</w:t>
      </w:r>
      <w:r w:rsidRPr="0058683A">
        <w:t xml:space="preserve"> by leveraging the registry data from Portugal, Quadro de Pessoal (QDP), maintained by the Portuguese Ministry of Labor and Social Security. These matched employer</w:t>
      </w:r>
      <w:r>
        <w:t>–</w:t>
      </w:r>
      <w:r w:rsidRPr="0058683A">
        <w:t>employee data track the population of Portuguese workers age</w:t>
      </w:r>
      <w:r w:rsidR="006F2C49">
        <w:t>d</w:t>
      </w:r>
      <w:r w:rsidRPr="0058683A">
        <w:t xml:space="preserve"> 16 </w:t>
      </w:r>
      <w:r>
        <w:t xml:space="preserve">years </w:t>
      </w:r>
      <w:r w:rsidRPr="0058683A">
        <w:t xml:space="preserve">and above and their employers, allowing for longitudinal analyses of individuals’ transitions into entrepreneurship. Information on workers includes gender, age, education level (schooling), job, </w:t>
      </w:r>
      <w:r>
        <w:t>managerial position</w:t>
      </w:r>
      <w:r w:rsidRPr="0058683A">
        <w:t xml:space="preserve"> within the firm, qualification, type of contract of employment and earnings split into different components (essentially base wage and bonuses). Firm</w:t>
      </w:r>
      <w:r>
        <w:t>-</w:t>
      </w:r>
      <w:r w:rsidRPr="0058683A">
        <w:t xml:space="preserve">level data include location, industry, </w:t>
      </w:r>
      <w:r w:rsidR="006F2C49">
        <w:t xml:space="preserve">and </w:t>
      </w:r>
      <w:r w:rsidRPr="0058683A">
        <w:t xml:space="preserve">total number of workers. </w:t>
      </w:r>
      <w:r>
        <w:t>Unlike</w:t>
      </w:r>
      <w:r w:rsidRPr="0058683A">
        <w:t xml:space="preserve"> previous research (e.g., Fernandes et al.</w:t>
      </w:r>
      <w:r>
        <w:t>,</w:t>
      </w:r>
      <w:r w:rsidRPr="0058683A">
        <w:t xml:space="preserve"> 201</w:t>
      </w:r>
      <w:r>
        <w:t>4</w:t>
      </w:r>
      <w:r w:rsidRPr="0058683A">
        <w:t xml:space="preserve">), we consider firms in all industries – </w:t>
      </w:r>
      <w:r>
        <w:t>a</w:t>
      </w:r>
      <w:r w:rsidRPr="0058683A">
        <w:t xml:space="preserve"> complete list is reported in Table A2. </w:t>
      </w:r>
    </w:p>
    <w:p w14:paraId="11670AEB" w14:textId="77777777" w:rsidR="00D95F9F" w:rsidRDefault="00D95F9F" w:rsidP="00D95F9F">
      <w:pPr>
        <w:pStyle w:val="BodyTextIndent"/>
      </w:pPr>
      <w:r w:rsidRPr="0058683A">
        <w:t>We restricted our analyses to the 2000</w:t>
      </w:r>
      <w:r>
        <w:t>–</w:t>
      </w:r>
      <w:r w:rsidRPr="0058683A">
        <w:t>2009 period, mainly for practical reasons. First, to avoid any confounding effect</w:t>
      </w:r>
      <w:r>
        <w:t>s</w:t>
      </w:r>
      <w:r w:rsidRPr="0058683A">
        <w:t xml:space="preserve"> from other environmental changes, we restrict our analysis within a short window around the exogenous shock, which </w:t>
      </w:r>
      <w:r>
        <w:t>began</w:t>
      </w:r>
      <w:r w:rsidRPr="0058683A">
        <w:t xml:space="preserve"> in 2005. Second, before 2000 some variables in our analyses (e.g., employee contract type) are </w:t>
      </w:r>
      <w:r>
        <w:t>incomplete</w:t>
      </w:r>
      <w:r w:rsidRPr="0058683A">
        <w:t>. Finally, a new online procedure for the registration of new firms was implemented</w:t>
      </w:r>
      <w:r>
        <w:t xml:space="preserve"> in 2009</w:t>
      </w:r>
      <w:r w:rsidRPr="0058683A">
        <w:t xml:space="preserve">, </w:t>
      </w:r>
      <w:r>
        <w:t>whereby</w:t>
      </w:r>
      <w:r w:rsidRPr="0058683A">
        <w:t xml:space="preserve"> all municipalities – even those where the </w:t>
      </w:r>
      <w:r>
        <w:t>regulatory reform</w:t>
      </w:r>
      <w:r w:rsidRPr="0058683A">
        <w:t xml:space="preserve"> was already not enacted – benefitted from a simplified process </w:t>
      </w:r>
      <w:r>
        <w:t>to found a new company.</w:t>
      </w:r>
      <w:r w:rsidRPr="0058683A">
        <w:t xml:space="preserve"> This naturally nullifies any cross-region variation in exogenous entry after 2009.</w:t>
      </w:r>
    </w:p>
    <w:p w14:paraId="391AA174" w14:textId="77777777" w:rsidR="00D95F9F" w:rsidRPr="00007AF2" w:rsidRDefault="00D95F9F" w:rsidP="00D95F9F">
      <w:pPr>
        <w:pStyle w:val="BodyTextIndent"/>
        <w:ind w:firstLine="0"/>
        <w:rPr>
          <w:b/>
        </w:rPr>
      </w:pPr>
      <w:r w:rsidRPr="00007AF2">
        <w:rPr>
          <w:b/>
        </w:rPr>
        <w:t>VARIABLE DESCRIPTION</w:t>
      </w:r>
    </w:p>
    <w:p w14:paraId="4DB0AEF0" w14:textId="77777777" w:rsidR="00D95F9F" w:rsidRPr="0058683A" w:rsidRDefault="00D95F9F" w:rsidP="00D95F9F">
      <w:pPr>
        <w:pStyle w:val="Heading2A"/>
      </w:pPr>
      <w:r w:rsidRPr="0058683A">
        <w:t>Dependent Variables</w:t>
      </w:r>
    </w:p>
    <w:p w14:paraId="0E341830" w14:textId="64ADD16F" w:rsidR="00D95F9F" w:rsidRPr="0058683A" w:rsidRDefault="00D95F9F" w:rsidP="00D95F9F">
      <w:pPr>
        <w:pStyle w:val="BodyTextIndent"/>
      </w:pPr>
      <w:r w:rsidRPr="0058683A">
        <w:rPr>
          <w:rStyle w:val="Emphasis"/>
        </w:rPr>
        <w:t>Entry into entrepreneurship.</w:t>
      </w:r>
      <w:r>
        <w:rPr>
          <w:rStyle w:val="Emphasis"/>
        </w:rPr>
        <w:t xml:space="preserve"> </w:t>
      </w:r>
      <w:r>
        <w:t xml:space="preserve">Because entrepreneurship, which refers to launching a new business with employees to “operate it from the owner-manager position” is conceptually distinct from self-employment, which refers to “initiating a sole proprietorship to sell one’s own service or products” </w:t>
      </w:r>
      <w:r w:rsidRPr="0083171B">
        <w:t>(Carroll and Mosakowski 1987:575</w:t>
      </w:r>
      <w:r>
        <w:t xml:space="preserve">), we exclude from our measure the instances of self-employment and only consider new ventures with at least one employee in addition to the founder. For robustness, we use alternate measures based on new venture’s size and find similar results. Using the </w:t>
      </w:r>
      <w:r w:rsidRPr="0058683A">
        <w:t>QDP databas</w:t>
      </w:r>
      <w:r>
        <w:t>e, which</w:t>
      </w:r>
      <w:r w:rsidRPr="0058683A">
        <w:t xml:space="preserve"> allows </w:t>
      </w:r>
      <w:r>
        <w:t xml:space="preserve">for </w:t>
      </w:r>
      <w:r w:rsidRPr="0058683A">
        <w:t>tracking transitions of employees from paid employment into entrepreneurship</w:t>
      </w:r>
      <w:r>
        <w:t xml:space="preserve">, </w:t>
      </w:r>
      <w:r w:rsidRPr="0058683A">
        <w:t xml:space="preserve">we </w:t>
      </w:r>
      <w:r>
        <w:t xml:space="preserve">thus </w:t>
      </w:r>
      <w:r w:rsidRPr="0058683A">
        <w:t xml:space="preserve">measure </w:t>
      </w:r>
      <w:r>
        <w:t xml:space="preserve">entrepreneurial </w:t>
      </w:r>
      <w:r w:rsidRPr="0058683A">
        <w:t xml:space="preserve">mobility as a dummy equal to </w:t>
      </w:r>
      <w:r>
        <w:t>“</w:t>
      </w:r>
      <w:r w:rsidRPr="0058683A">
        <w:t>1</w:t>
      </w:r>
      <w:r>
        <w:t>”</w:t>
      </w:r>
      <w:r w:rsidRPr="0058683A">
        <w:t xml:space="preserve"> if (a) </w:t>
      </w:r>
      <w:r>
        <w:t xml:space="preserve">in a given year an individual is associated with a firm </w:t>
      </w:r>
      <w:r w:rsidRPr="0058683A">
        <w:t xml:space="preserve">different from </w:t>
      </w:r>
      <w:r>
        <w:t xml:space="preserve">their employer in </w:t>
      </w:r>
      <w:r w:rsidR="006F2C49">
        <w:t xml:space="preserve">the </w:t>
      </w:r>
      <w:r w:rsidRPr="0058683A">
        <w:t>previous year</w:t>
      </w:r>
      <w:r>
        <w:t>, and</w:t>
      </w:r>
      <w:r w:rsidRPr="0058683A">
        <w:t xml:space="preserve"> (b) the individual becomes an employer at the focal firm (i.e., hires at least one other individual)</w:t>
      </w:r>
      <w:r>
        <w:t>.</w:t>
      </w:r>
      <w:r w:rsidRPr="00006113">
        <w:rPr>
          <w:rStyle w:val="FootnoteReference"/>
        </w:rPr>
        <w:footnoteReference w:id="1"/>
      </w:r>
      <w:r>
        <w:t xml:space="preserve"> </w:t>
      </w:r>
    </w:p>
    <w:p w14:paraId="7F90AB98" w14:textId="77777777" w:rsidR="00D95F9F" w:rsidRDefault="00D95F9F" w:rsidP="00D95F9F">
      <w:pPr>
        <w:pStyle w:val="BodyTextIndent"/>
      </w:pPr>
      <w:r>
        <w:rPr>
          <w:rStyle w:val="Emphasis"/>
        </w:rPr>
        <w:t>Wage</w:t>
      </w:r>
      <w:r w:rsidRPr="0058683A">
        <w:rPr>
          <w:rStyle w:val="Emphasis"/>
        </w:rPr>
        <w:t xml:space="preserve">. </w:t>
      </w:r>
      <w:r w:rsidRPr="0058683A">
        <w:t xml:space="preserve">The monthly </w:t>
      </w:r>
      <w:r>
        <w:t xml:space="preserve">wage </w:t>
      </w:r>
      <w:r w:rsidRPr="0058683A">
        <w:t xml:space="preserve">of the worker is constructed by adding up </w:t>
      </w:r>
      <w:r>
        <w:t>the following</w:t>
      </w:r>
      <w:r w:rsidRPr="0058683A">
        <w:t xml:space="preserve"> </w:t>
      </w:r>
      <w:r>
        <w:t xml:space="preserve">wage </w:t>
      </w:r>
      <w:r w:rsidRPr="0058683A">
        <w:t xml:space="preserve">components: (a) base pay, </w:t>
      </w:r>
      <w:r>
        <w:t>or</w:t>
      </w:r>
      <w:r w:rsidRPr="0058683A">
        <w:t xml:space="preserve"> the gross amount of money paid in </w:t>
      </w:r>
      <w:r>
        <w:t xml:space="preserve">a given </w:t>
      </w:r>
      <w:r w:rsidRPr="0058683A">
        <w:t>month to employees on a monthly basis for their normal hours of work; (b) regular payments</w:t>
      </w:r>
      <w:r>
        <w:t xml:space="preserve"> (e.g., </w:t>
      </w:r>
      <w:r w:rsidRPr="0058683A">
        <w:t>tenure</w:t>
      </w:r>
      <w:r>
        <w:t>-related payments); and (c) payment for extra work hours.</w:t>
      </w:r>
      <w:r w:rsidRPr="0058683A">
        <w:t xml:space="preserve"> </w:t>
      </w:r>
    </w:p>
    <w:p w14:paraId="1151B217" w14:textId="21BFC597" w:rsidR="00A404E3" w:rsidRPr="00A910EB" w:rsidRDefault="00D95F9F" w:rsidP="00D95F9F">
      <w:pPr>
        <w:pStyle w:val="BodyTextIndent"/>
        <w:ind w:firstLine="0"/>
        <w:rPr>
          <w:b/>
        </w:rPr>
      </w:pPr>
      <w:r w:rsidRPr="00A910EB">
        <w:rPr>
          <w:b/>
        </w:rPr>
        <w:t xml:space="preserve">Moderating </w:t>
      </w:r>
      <w:r>
        <w:rPr>
          <w:b/>
        </w:rPr>
        <w:t xml:space="preserve">and Control </w:t>
      </w:r>
      <w:r w:rsidRPr="00A910EB">
        <w:rPr>
          <w:b/>
        </w:rPr>
        <w:t>Variables</w:t>
      </w:r>
      <w:r>
        <w:rPr>
          <w:b/>
        </w:rPr>
        <w:tab/>
        <w:t xml:space="preserve"> </w:t>
      </w:r>
    </w:p>
    <w:p w14:paraId="54B79552" w14:textId="482F9419" w:rsidR="00D95F9F" w:rsidRPr="0058683A" w:rsidRDefault="00D95F9F" w:rsidP="00A404E3">
      <w:pPr>
        <w:pStyle w:val="BodyTextIndent"/>
      </w:pPr>
      <w:r w:rsidRPr="0058683A">
        <w:rPr>
          <w:rStyle w:val="Emphasis"/>
        </w:rPr>
        <w:t xml:space="preserve">Female. </w:t>
      </w:r>
      <w:r w:rsidRPr="0058683A">
        <w:t xml:space="preserve">Our main moderating variable is a dummy variable equal to </w:t>
      </w:r>
      <w:r>
        <w:t>“1”</w:t>
      </w:r>
      <w:r w:rsidRPr="0058683A">
        <w:t xml:space="preserve"> for female employees</w:t>
      </w:r>
      <w:r>
        <w:t>,</w:t>
      </w:r>
      <w:r w:rsidRPr="0058683A">
        <w:t xml:space="preserve"> and </w:t>
      </w:r>
      <w:r>
        <w:t>“0”</w:t>
      </w:r>
      <w:r w:rsidRPr="0058683A">
        <w:t xml:space="preserve"> for male employees. Interacting this variable with the entry deregulation reform allow</w:t>
      </w:r>
      <w:r>
        <w:t>s</w:t>
      </w:r>
      <w:r w:rsidRPr="0058683A">
        <w:t xml:space="preserve"> us to estimate the differential effect of the treatment </w:t>
      </w:r>
      <w:r>
        <w:t>for</w:t>
      </w:r>
      <w:r w:rsidRPr="0058683A">
        <w:t xml:space="preserve"> the female v</w:t>
      </w:r>
      <w:r>
        <w:t>ersu</w:t>
      </w:r>
      <w:r w:rsidRPr="0058683A">
        <w:t>s male employee</w:t>
      </w:r>
      <w:r>
        <w:t>s</w:t>
      </w:r>
      <w:r w:rsidR="00CA71B9">
        <w:t>.</w:t>
      </w:r>
    </w:p>
    <w:p w14:paraId="058A576D" w14:textId="24F2E11F" w:rsidR="00E94CC0" w:rsidRDefault="00D95F9F" w:rsidP="00D95F9F">
      <w:pPr>
        <w:pStyle w:val="BodyTextIndent"/>
      </w:pPr>
      <w:r w:rsidRPr="00963674">
        <w:rPr>
          <w:i/>
        </w:rPr>
        <w:t>Managerial position</w:t>
      </w:r>
      <w:r w:rsidRPr="00903FD1">
        <w:t xml:space="preserve">. </w:t>
      </w:r>
      <w:r w:rsidRPr="0058683A">
        <w:t xml:space="preserve">We consider a firm’s hierarchy to indicate whether an employee occupies </w:t>
      </w:r>
      <w:r>
        <w:t>a managerial</w:t>
      </w:r>
      <w:r w:rsidRPr="0058683A">
        <w:t xml:space="preserve"> position in the</w:t>
      </w:r>
      <w:r>
        <w:t xml:space="preserve"> current</w:t>
      </w:r>
      <w:r w:rsidRPr="0058683A">
        <w:t xml:space="preserve"> firm. </w:t>
      </w:r>
      <w:r w:rsidRPr="00903FD1">
        <w:t xml:space="preserve">The Portuguese registry </w:t>
      </w:r>
      <w:r>
        <w:t>contains</w:t>
      </w:r>
      <w:r w:rsidRPr="00903FD1">
        <w:t xml:space="preserve"> detailed information on </w:t>
      </w:r>
      <w:r>
        <w:t>organizational rank</w:t>
      </w:r>
      <w:r w:rsidRPr="00903FD1">
        <w:t>, with records that account for eight hierarchical level</w:t>
      </w:r>
      <w:r>
        <w:t>s</w:t>
      </w:r>
      <w:r w:rsidRPr="00903FD1">
        <w:t xml:space="preserve">, based on </w:t>
      </w:r>
      <w:r>
        <w:t xml:space="preserve">the amount of autonomy </w:t>
      </w:r>
      <w:r w:rsidRPr="00903FD1">
        <w:t xml:space="preserve">individuals have in their jobs. These </w:t>
      </w:r>
      <w:r>
        <w:t>levels</w:t>
      </w:r>
      <w:r w:rsidRPr="00903FD1">
        <w:t xml:space="preserve"> include (in descending order): top managers, middle managers, </w:t>
      </w:r>
      <w:r w:rsidR="006F2C49">
        <w:t xml:space="preserve">supervisors and </w:t>
      </w:r>
      <w:r w:rsidRPr="00903FD1">
        <w:t>team leaders, higher-skilled professionals, skilled professionals, semi-skilled professionals, non-skilled professionals, apprentices</w:t>
      </w:r>
      <w:r w:rsidR="006F2C49">
        <w:t>, interns and trainees</w:t>
      </w:r>
      <w:r w:rsidRPr="00903FD1">
        <w:t xml:space="preserve">. </w:t>
      </w:r>
      <w:r w:rsidRPr="0058683A">
        <w:t xml:space="preserve">An employee occupies a managerial position within </w:t>
      </w:r>
      <w:r>
        <w:t>an incumbent organization if she/he is a top or a middle manager.</w:t>
      </w:r>
      <w:r w:rsidRPr="00006113">
        <w:rPr>
          <w:rStyle w:val="FootnoteReference"/>
        </w:rPr>
        <w:footnoteReference w:id="2"/>
      </w:r>
      <w:r w:rsidRPr="0058683A">
        <w:t xml:space="preserve"> To </w:t>
      </w:r>
      <w:r>
        <w:t>mitigate concerns that</w:t>
      </w:r>
      <w:r w:rsidRPr="0058683A">
        <w:t xml:space="preserve"> endogeneity </w:t>
      </w:r>
      <w:r>
        <w:t>might arise</w:t>
      </w:r>
      <w:r w:rsidRPr="0058683A">
        <w:t xml:space="preserve"> </w:t>
      </w:r>
      <w:r>
        <w:t xml:space="preserve">if the </w:t>
      </w:r>
      <w:r w:rsidRPr="0058683A">
        <w:t>entry deregulation reform affect</w:t>
      </w:r>
      <w:r>
        <w:t>s</w:t>
      </w:r>
      <w:r w:rsidRPr="0058683A">
        <w:t xml:space="preserve"> the position of the employees within a firm, we measure the position of individual employees in 2004</w:t>
      </w:r>
      <w:r>
        <w:t>,</w:t>
      </w:r>
      <w:r w:rsidRPr="0058683A">
        <w:t xml:space="preserve"> the year before the reform was approved.</w:t>
      </w:r>
      <w:r>
        <w:t xml:space="preserve"> </w:t>
      </w:r>
    </w:p>
    <w:p w14:paraId="667B27B6" w14:textId="50C78142" w:rsidR="00D95F9F" w:rsidRPr="00903FD1" w:rsidRDefault="00D95F9F" w:rsidP="00A43CB6">
      <w:pPr>
        <w:pStyle w:val="BodyTextIndent"/>
      </w:pPr>
      <w:r w:rsidRPr="00EA4813">
        <w:rPr>
          <w:rStyle w:val="Emphasis"/>
        </w:rPr>
        <w:t xml:space="preserve">Controls. </w:t>
      </w:r>
      <w:r w:rsidRPr="00903FD1">
        <w:t>Our regressions include additional characteristics of the worker</w:t>
      </w:r>
      <w:r w:rsidR="00F32825">
        <w:t>—or the founder, when the worker leaves the company—</w:t>
      </w:r>
      <w:r w:rsidRPr="00903FD1">
        <w:t xml:space="preserve">and the firm as a covariate. In particular, for the worker, we </w:t>
      </w:r>
      <w:r>
        <w:t>account for the hierarchical level she/he occupies—defined as a “high qualification” level for top m</w:t>
      </w:r>
      <w:r w:rsidRPr="00903FD1">
        <w:t>anagers, middle managers,</w:t>
      </w:r>
      <w:r>
        <w:t xml:space="preserve"> supervisors and</w:t>
      </w:r>
      <w:r w:rsidRPr="00903FD1">
        <w:t xml:space="preserve"> team leaders, high</w:t>
      </w:r>
      <w:r>
        <w:t>er</w:t>
      </w:r>
      <w:r w:rsidRPr="00903FD1">
        <w:t>-skilled professionals</w:t>
      </w:r>
      <w:r>
        <w:t xml:space="preserve">; a “medium qualification” level for skilled professionals; and a “low qualification” level for </w:t>
      </w:r>
      <w:r w:rsidRPr="00903FD1">
        <w:t>semi-skilled professionals, non-skilled professionals, apprentices</w:t>
      </w:r>
      <w:r>
        <w:t>, interns and trainees. We also</w:t>
      </w:r>
      <w:r w:rsidRPr="00903FD1">
        <w:t xml:space="preserve"> </w:t>
      </w:r>
      <w:r>
        <w:t xml:space="preserve">account for </w:t>
      </w:r>
      <w:r w:rsidRPr="00903FD1">
        <w:t>age and its square, level of education</w:t>
      </w:r>
      <w:r w:rsidRPr="00100B3D">
        <w:rPr>
          <w:rStyle w:val="FootnoteReference"/>
        </w:rPr>
        <w:footnoteReference w:id="3"/>
      </w:r>
      <w:r>
        <w:t>,</w:t>
      </w:r>
      <w:r w:rsidRPr="00903FD1">
        <w:t xml:space="preserve"> occupation</w:t>
      </w:r>
      <w:r w:rsidRPr="00100B3D">
        <w:rPr>
          <w:rStyle w:val="FootnoteReference"/>
        </w:rPr>
        <w:footnoteReference w:id="4"/>
      </w:r>
      <w:r>
        <w:t xml:space="preserve">, </w:t>
      </w:r>
      <w:r w:rsidRPr="00903FD1">
        <w:t xml:space="preserve">type of </w:t>
      </w:r>
      <w:r w:rsidR="00F32825">
        <w:t xml:space="preserve">paid-employment </w:t>
      </w:r>
      <w:r w:rsidRPr="00903FD1">
        <w:t>contract (either short-term or indefinite)</w:t>
      </w:r>
      <w:r w:rsidR="00F32825">
        <w:t>—which is not defined when the employee becomes a founder—</w:t>
      </w:r>
      <w:r w:rsidRPr="00903FD1">
        <w:t xml:space="preserve">and </w:t>
      </w:r>
      <w:r>
        <w:t xml:space="preserve">overall </w:t>
      </w:r>
      <w:r w:rsidRPr="00903FD1">
        <w:t>monthly hours worked. In some specifications, we also include an individual</w:t>
      </w:r>
      <w:r>
        <w:t>-</w:t>
      </w:r>
      <w:r w:rsidRPr="00903FD1">
        <w:t>fixed effect to control for individual time-invariant characteristics, and a fixed effect per employee–employer match, to control for time-invariant factor</w:t>
      </w:r>
      <w:r>
        <w:t>s</w:t>
      </w:r>
      <w:r w:rsidRPr="00903FD1">
        <w:t xml:space="preserve"> related to the same individual as long as they stay in the same company. </w:t>
      </w:r>
    </w:p>
    <w:p w14:paraId="1DAF5599" w14:textId="4BC22E8A" w:rsidR="00D95F9F" w:rsidRPr="00903FD1" w:rsidRDefault="00D95F9F" w:rsidP="00D95F9F">
      <w:pPr>
        <w:pStyle w:val="BodyTextIndent"/>
        <w:contextualSpacing/>
      </w:pPr>
      <w:r w:rsidRPr="00903FD1">
        <w:t xml:space="preserve">At the firm level, we control for size (number of </w:t>
      </w:r>
      <w:r w:rsidR="00CA71B9">
        <w:t xml:space="preserve">firm </w:t>
      </w:r>
      <w:r w:rsidRPr="00903FD1">
        <w:t xml:space="preserve">employees). </w:t>
      </w:r>
      <w:r>
        <w:t>W</w:t>
      </w:r>
      <w:r w:rsidRPr="00903FD1">
        <w:t>e also include firm</w:t>
      </w:r>
      <w:r>
        <w:t>-</w:t>
      </w:r>
      <w:r w:rsidRPr="00903FD1">
        <w:t>fixed effects, which control for firm time-invariant characteristics, including the industry where the company operates and its ownership status (private, public or foreign-owned). Finally, we add region (municipality) and year dummies to control for unobserved region characteristics and aggregate shocks.</w:t>
      </w:r>
    </w:p>
    <w:p w14:paraId="6A73984F" w14:textId="14B316A4" w:rsidR="00D95F9F" w:rsidRPr="0058683A" w:rsidRDefault="00D95F9F" w:rsidP="00D95F9F">
      <w:pPr>
        <w:pStyle w:val="BodyTextIndent"/>
      </w:pPr>
      <w:r w:rsidRPr="0058683A">
        <w:rPr>
          <w:iCs/>
        </w:rPr>
        <w:t>Descriptive</w:t>
      </w:r>
      <w:r w:rsidRPr="0058683A">
        <w:rPr>
          <w:i/>
        </w:rPr>
        <w:t xml:space="preserve"> </w:t>
      </w:r>
      <w:r w:rsidRPr="0058683A">
        <w:t>statistics and pair-wise correlations are presented in Table</w:t>
      </w:r>
      <w:r>
        <w:t>s</w:t>
      </w:r>
      <w:r w:rsidRPr="0058683A">
        <w:t xml:space="preserve"> 1 and 2. Notably, about 42 percent of the employees are female. Furthermore, the average female wage is substantially lower than the average male wage – even if this difference does not take into account other factors, such as level of education or occupation. Hence, despite female employment increasing steadily in Portugal over the last years, there is evidence of gender </w:t>
      </w:r>
      <w:r>
        <w:t>disparities</w:t>
      </w:r>
      <w:r w:rsidRPr="0058683A">
        <w:t xml:space="preserve"> in the labor market </w:t>
      </w:r>
      <w:r w:rsidRPr="0058683A">
        <w:fldChar w:fldCharType="begin" w:fldLock="1"/>
      </w:r>
      <w:r w:rsidRPr="0058683A">
        <w:instrText>ADDIN CSL_CITATION {"citationItems":[{"id":"ITEM-1","itemData":{"DOI":"10.1007/s10888-005-4495-8","ISSN":"15691721","abstract":"Using a large linked employer-employee data set, this paper aims at quantifying the trend in worker segregation at the establishment level and its impact on wages in Portugal over a fifteen year period. We concentrate on the gender dimension, to answer the questions: What is the level of gender segregation across establishments in the Portuguese labor market and how has it evolved over time? What is the impact of segregation on wages? Is that impact different for men and women? Systematic and random components of segregation are computed. We use standard wage decomposition techniques to evaluate the impact of the composition of the labor force at the establishment level on wages. The results reveal a high degree of systematic gender segregation. A higher proportion of females in the establishment lowers females' wages while, on the contrary, it raises males' wages. The evidence gathered is consistent with the taste-based model of employer behavior and with the theory of sorting of workers across establishments based on their productivity. [PUBLICATION ABSTRACT]","author":[{"dropping-particle":"","family":"Vieira","given":"José A.Cabral","non-dropping-particle":"","parse-names":false,"suffix":""},{"dropping-particle":"","family":"Cardoso","given":"Ana Rute","non-dropping-particle":"","parse-names":false,"suffix":""},{"dropping-particle":"","family":"Portela","given":"Miguel","non-dropping-particle":"","parse-names":false,"suffix":""}],"container-title":"Journal of Economic Inequality","id":"ITEM-1","issue":"2","issued":{"date-parts":[["2005"]]},"page":"145-168","title":"Gender segregation and the wage gap in Portugal: An analysis at the establishment level","type":"article-journal","volume":"3"},"uris":["http://www.mendeley.com/documents/?uuid=7b5d38c8-70c9-4dd1-a019-fb63d989148d"]}],"mendeley":{"formattedCitation":"(Vieira, Cardoso, and Portela, 2005)","plainTextFormattedCitation":"(Vieira, Cardoso, and Portela, 2005)","previouslyFormattedCitation":"(Vieira, Cardoso, and Portela, 2005)"},"properties":{"noteIndex":0},"schema":"https://github.com/citation-style-language/schema/raw/master/csl-citation.json"}</w:instrText>
      </w:r>
      <w:r w:rsidRPr="0058683A">
        <w:fldChar w:fldCharType="separate"/>
      </w:r>
      <w:r w:rsidRPr="0058683A">
        <w:rPr>
          <w:noProof/>
        </w:rPr>
        <w:t>(Vieira, Cardoso, and Portela, 2005)</w:t>
      </w:r>
      <w:r w:rsidRPr="0058683A">
        <w:fldChar w:fldCharType="end"/>
      </w:r>
      <w:r w:rsidRPr="0058683A">
        <w:t xml:space="preserve">. Finally, the sample of employees affected by the “On the Spot Firm” </w:t>
      </w:r>
      <w:r>
        <w:t>reform</w:t>
      </w:r>
      <w:r w:rsidRPr="0058683A">
        <w:t xml:space="preserve"> is substantial and equal to 3</w:t>
      </w:r>
      <w:r w:rsidR="00A90D21">
        <w:t>2</w:t>
      </w:r>
      <w:r w:rsidRPr="0058683A">
        <w:t xml:space="preserve"> percent of the overall employee population, which increases the external validity of our estimates.</w:t>
      </w:r>
    </w:p>
    <w:p w14:paraId="6FA704B5" w14:textId="77777777" w:rsidR="00D95F9F" w:rsidRDefault="00D95F9F" w:rsidP="00D95F9F">
      <w:pPr>
        <w:pStyle w:val="Callout"/>
        <w:rPr>
          <w:color w:val="auto"/>
        </w:rPr>
      </w:pPr>
      <w:r w:rsidRPr="0058683A">
        <w:rPr>
          <w:color w:val="auto"/>
        </w:rPr>
        <w:t>Insert Table 1 &amp; Table 2 about here</w:t>
      </w:r>
    </w:p>
    <w:p w14:paraId="756C972D" w14:textId="77777777" w:rsidR="00D95F9F" w:rsidRPr="00A910EB" w:rsidRDefault="00D95F9F" w:rsidP="00D95F9F">
      <w:pPr>
        <w:pStyle w:val="Callout"/>
        <w:jc w:val="both"/>
        <w:rPr>
          <w:b/>
          <w:color w:val="auto"/>
        </w:rPr>
      </w:pPr>
      <w:r w:rsidRPr="00A910EB">
        <w:rPr>
          <w:b/>
        </w:rPr>
        <w:t>METHODOLOGY</w:t>
      </w:r>
    </w:p>
    <w:p w14:paraId="61F08A43" w14:textId="738052F3" w:rsidR="00D95F9F" w:rsidRPr="0058683A" w:rsidRDefault="00D95F9F" w:rsidP="00D95F9F">
      <w:pPr>
        <w:pStyle w:val="BodyText"/>
      </w:pPr>
      <w:r w:rsidRPr="0058683A">
        <w:t xml:space="preserve">To examine the impact of the “On the Spot Firm” </w:t>
      </w:r>
      <w:r>
        <w:t xml:space="preserve">reform </w:t>
      </w:r>
      <w:r w:rsidRPr="0058683A">
        <w:t>on entry and wage</w:t>
      </w:r>
      <w:r>
        <w:t>,</w:t>
      </w:r>
      <w:r w:rsidRPr="0058683A">
        <w:t xml:space="preserve"> we use a difference-in-difference estimator based on the treatments listed in Table A1. </w:t>
      </w:r>
      <w:r>
        <w:t xml:space="preserve">As </w:t>
      </w:r>
      <w:r w:rsidRPr="0058683A">
        <w:t xml:space="preserve">the implementation of the “On the Spot Firm” </w:t>
      </w:r>
      <w:r>
        <w:t>reform</w:t>
      </w:r>
      <w:r w:rsidRPr="0058683A">
        <w:t xml:space="preserve"> is staggered over time across municipalities</w:t>
      </w:r>
      <w:r>
        <w:t>,</w:t>
      </w:r>
      <w:r w:rsidRPr="0058683A">
        <w:t xml:space="preserve"> the composition of both the treatment and the control groups changes over time, as more states </w:t>
      </w:r>
      <w:r>
        <w:t>become</w:t>
      </w:r>
      <w:r w:rsidRPr="0058683A">
        <w:t xml:space="preserve"> progressively “treated.” </w:t>
      </w:r>
      <w:r>
        <w:t>Hence</w:t>
      </w:r>
      <w:r w:rsidRPr="0058683A">
        <w:t xml:space="preserve">, our methodology follows </w:t>
      </w:r>
      <w:r>
        <w:t xml:space="preserve">the application by </w:t>
      </w:r>
      <w:r w:rsidRPr="0058683A">
        <w:fldChar w:fldCharType="begin" w:fldLock="1"/>
      </w:r>
      <w:r w:rsidRPr="0058683A">
        <w:instrText>ADDIN CSL_CITATION {"citationItems":[{"id":"ITEM-1","itemData":{"DOI":"10.1086/376950","ISBN":"00223808","ISSN":"0022-3808","PMID":"11055872","abstract":"Much of our understanding of corporations builds on the idea that managers, when they are not closely monitored, will pursue goals that are not in shareholders’ interests. But what goals would managers pursue? This paper uses variation in corporate governance generated by state adoption of antitakeover laws to empirically map out mana- gerial preferences. We use plant-level data and exploit a unique fea- ture of corporate law that allows us to deal with possible biases as- sociated with the timing of the laws. We find that when managers are insulated from takeovers, worker wages (especially those of white-col- lar workers) rise. The destruction of old plants falls, but the creation of new plants also falls. Finally, overall productivity and profitability decline in response to these laws. Our results suggest that active em- pire building may not be the norm and that managers may instead prefer to enjoy the quiet life.","author":[{"dropping-particle":"","family":"Bertrand","given":"Marianne","non-dropping-particle":"","parse-names":false,"suffix":""},{"dropping-particle":"","family":"Mullainathan","given":"Sendhil","non-dropping-particle":"","parse-names":false,"suffix":""}],"container-title":"Journal of Political Economy","id":"ITEM-1","issue":"5","issued":{"date-parts":[["2003"]]},"page":"1043-1075","title":"Enjoying the Quiet Life? Corporate Governance and Managerial Preferences","type":"article-journal","volume":"111"},"uris":["http://www.mendeley.com/documents/?uuid=9676beb5-76de-486e-814e-176716082163"]}],"mendeley":{"formattedCitation":"(Bertrand and Mullainathan, 2003)","manualFormatting":"Bertrand and Mullainathan (2003)","plainTextFormattedCitation":"(Bertrand and Mullainathan, 2003)","previouslyFormattedCitation":"(Bertrand and Mullainathan, 2003)"},"properties":{"noteIndex":0},"schema":"https://github.com/citation-style-language/schema/raw/master/csl-citation.json"}</w:instrText>
      </w:r>
      <w:r w:rsidRPr="0058683A">
        <w:fldChar w:fldCharType="separate"/>
      </w:r>
      <w:r w:rsidRPr="0058683A">
        <w:rPr>
          <w:noProof/>
        </w:rPr>
        <w:t>Bertrand and Mullainathan (2003)</w:t>
      </w:r>
      <w:r w:rsidRPr="0058683A">
        <w:fldChar w:fldCharType="end"/>
      </w:r>
      <w:r w:rsidRPr="0058683A">
        <w:t xml:space="preserve"> of the difference-in-differences methodology in the presence of staggered treatments at </w:t>
      </w:r>
      <w:r>
        <w:t xml:space="preserve">the </w:t>
      </w:r>
      <w:r w:rsidRPr="0058683A">
        <w:t>regional (in our case municipality) level. Furthermore, we are specifically interested in estimating the heterogeneity of the treatment effect for different group</w:t>
      </w:r>
      <w:r>
        <w:t>s</w:t>
      </w:r>
      <w:r w:rsidRPr="0058683A">
        <w:t xml:space="preserve"> of the treated population. Hence, following other studies analyzing the heterogeneous effect of a treatment in a diff-in-diff framework </w:t>
      </w:r>
      <w:r w:rsidRPr="0058683A">
        <w:fldChar w:fldCharType="begin" w:fldLock="1"/>
      </w:r>
      <w:r w:rsidRPr="0058683A">
        <w:instrText>ADDIN CSL_CITATION {"citationItems":[{"id":"ITEM-1","itemData":{"ISSN":"0304-405X","author":[{"dropping-particle":"","family":"Chatterji","given":"Aaron K","non-dropping-particle":"","parse-names":false,"suffix":""},{"dropping-particle":"","family":"Seamans","given":"Robert C","non-dropping-particle":"","parse-names":false,"suffix":""}],"container-title":"Journal of Financial Economics","id":"ITEM-1","issue":"1","issued":{"date-parts":[["2012"]]},"page":"182-195","publisher":"Elsevier","title":"Entrepreneurial finance, credit cards, and race","type":"article-journal","volume":"106"},"uris":["http://www.mendeley.com/documents/?uuid=4964d658-694c-4bc5-a33f-e0f56370a35b"]},{"id":"ITEM-2","itemData":{"ISBN":"0304-405X","author":[{"dropping-particle":"","family":"Chava","given":"Sudheer","non-dropping-particle":"","parse-names":false,"suffix":""},{"dropping-particle":"","family":"Oettl","given":"Alexander","non-dropping-particle":"","parse-names":false,"suffix":""},{"dropping-particle":"","family":"Subramanian","given":"Ajay","non-dropping-particle":"","parse-names":false,"suffix":""},{"dropping-particle":"V","family":"Subramanian","given":"Krishnamurthy","non-dropping-particle":"","parse-names":false,"suffix":""}],"container-title":"Journal of Financial Economics","id":"ITEM-2","issue":"3","issued":{"date-parts":[["2013"]]},"page":"759-774","title":"Banking deregulation and innovation","type":"article-journal","volume":"109"},"uris":["http://www.mendeley.com/documents/?uuid=9af8514d-fdd5-4fa9-a709-5e8b3baafdf3"]},{"id":"ITEM-3","itemData":{"DOI":"10.1016/j.euroecorev.2014.04.004","ISBN":"0014-2921","ISSN":"00142921","PMID":"18715135","abstract":"This paper studies the effect of firm entry deregulation on the returns to skill and education. We exploit a comprehensive episode of entry deregulation, unique in the industrialized world, as a quasi-natural experiment. Using matched employer-employee data for the universe of workers and firms in Portugal, we show that increased product market competition, which resulted from deregulation, increased the returns to a university degree and the returns to skill. We verify that our results are not driven by changes in employment composition, and are unlikely to be driven by skill-biased technical change, or by workers who change skill levels after the deregulation. Highlights: •We study the effect of firm entry deregulation on the returns to skill and education.•We use employer-employee data and an episode of entry deregulation as a quasi-natural experiment.•The deregulation increased the number of new firms within municipalities and industries.•Results suggest that the reform increased competition within industries and municipalities.•The returns to a university degree and the returns to skill increased following the deregulation. © 2014 Elsevier B.V.","author":[{"dropping-particle":"","family":"Fernandes","given":"Ana P.","non-dropping-particle":"","parse-names":false,"suffix":""},{"dropping-particle":"","family":"Ferreira","given":"Priscila","non-dropping-particle":"","parse-names":false,"suffix":""},{"dropping-particle":"","family":"Alan Winters","given":"L.","non-dropping-particle":"","parse-names":false,"suffix":""}],"container-title":"European Economic Review","id":"ITEM-3","issued":{"date-parts":[["2014"]]},"page":"210-230","title":"Firm entry deregulation, competition and returns to education and skill","type":"article-journal","volume":"70"},"uris":["http://www.mendeley.com/documents/?uuid=d5349420-95ba-458a-8751-d98244d60799"]}],"mendeley":{"formattedCitation":"(Chatterji and Seamans, 2012; Chava &lt;i&gt;et al.&lt;/i&gt;, 2013; Fernandes &lt;i&gt;et al.&lt;/i&gt;, 2014)","manualFormatting":"(e.g., Chatterji et al. 2012, Chava et al. 2013, Fernandes et al. 2014)","plainTextFormattedCitation":"(Chatterji and Seamans, 2012; Chava et al., 2013; Fernandes et al., 2014)","previouslyFormattedCitation":"(Chatterji and Seamans, 2012; Chava &lt;i&gt;et al.&lt;/i&gt;, 2013; Fernandes &lt;i&gt;et al.&lt;/i&gt;, 2014)"},"properties":{"noteIndex":0},"schema":"https://github.com/citation-style-language/schema/raw/master/csl-citation.json"}</w:instrText>
      </w:r>
      <w:r w:rsidRPr="0058683A">
        <w:fldChar w:fldCharType="separate"/>
      </w:r>
      <w:r w:rsidRPr="0058683A">
        <w:rPr>
          <w:noProof/>
        </w:rPr>
        <w:t xml:space="preserve">(e.g., Chatterji et al. 2012, Chava et al. 2013, </w:t>
      </w:r>
      <w:r w:rsidRPr="0058683A">
        <w:t>Branstetter et al., 201</w:t>
      </w:r>
      <w:r>
        <w:t xml:space="preserve">4, </w:t>
      </w:r>
      <w:r w:rsidRPr="0058683A">
        <w:rPr>
          <w:noProof/>
        </w:rPr>
        <w:t>Fernandes et al. 2014)</w:t>
      </w:r>
      <w:r w:rsidRPr="0058683A">
        <w:fldChar w:fldCharType="end"/>
      </w:r>
      <w:r w:rsidRPr="0058683A">
        <w:t xml:space="preserve">, our main specifications will take the </w:t>
      </w:r>
      <w:r>
        <w:t xml:space="preserve">following </w:t>
      </w:r>
      <w:r w:rsidRPr="0058683A">
        <w:t>form:</w:t>
      </w:r>
    </w:p>
    <w:p w14:paraId="63F5225A" w14:textId="77777777" w:rsidR="00D95F9F" w:rsidRPr="00903FD1" w:rsidRDefault="00D95F9F" w:rsidP="00D95F9F">
      <w:pPr>
        <w:spacing w:line="480" w:lineRule="auto"/>
        <w:jc w:val="center"/>
      </w:pPr>
      <w:r w:rsidRPr="00903FD1">
        <w:t>Y</w:t>
      </w:r>
      <w:r w:rsidRPr="00903FD1">
        <w:rPr>
          <w:vertAlign w:val="subscript"/>
        </w:rPr>
        <w:t>imt</w:t>
      </w:r>
      <w:r w:rsidRPr="00903FD1">
        <w:t xml:space="preserve"> = </w:t>
      </w:r>
      <w:r w:rsidRPr="00903FD1">
        <w:rPr>
          <w:i/>
        </w:rPr>
        <w:t>f</w:t>
      </w:r>
      <w:r w:rsidRPr="00903FD1">
        <w:t xml:space="preserve"> (</w:t>
      </w:r>
      <w:r w:rsidRPr="00903FD1">
        <w:rPr>
          <w:i/>
        </w:rPr>
        <w:t>β</w:t>
      </w:r>
      <w:r w:rsidRPr="00903FD1">
        <w:t>Entry_deregulation</w:t>
      </w:r>
      <w:r w:rsidRPr="00903FD1">
        <w:rPr>
          <w:vertAlign w:val="subscript"/>
        </w:rPr>
        <w:t>mt</w:t>
      </w:r>
      <w:r w:rsidRPr="00903FD1">
        <w:t xml:space="preserve"> </w:t>
      </w:r>
      <w:r>
        <w:t xml:space="preserve">+ </w:t>
      </w:r>
      <w:r w:rsidRPr="00903FD1">
        <w:t>γEntry_deregulation</w:t>
      </w:r>
      <w:r w:rsidRPr="00903FD1">
        <w:rPr>
          <w:vertAlign w:val="subscript"/>
        </w:rPr>
        <w:t>mt</w:t>
      </w:r>
      <m:oMath>
        <m:r>
          <w:rPr>
            <w:rFonts w:ascii="Cambria Math" w:hAnsi="Cambria Math"/>
            <w:vertAlign w:val="subscript"/>
          </w:rPr>
          <m:t>×</m:t>
        </m:r>
      </m:oMath>
      <w:r w:rsidRPr="00903FD1">
        <w:t>Female</w:t>
      </w:r>
      <w:r w:rsidRPr="00903FD1">
        <w:rPr>
          <w:vertAlign w:val="subscript"/>
        </w:rPr>
        <w:t>i</w:t>
      </w:r>
      <w:r w:rsidRPr="00903FD1" w:rsidDel="00741DF1">
        <w:t xml:space="preserve"> </w:t>
      </w:r>
      <w:r>
        <w:t xml:space="preserve">+ </w:t>
      </w:r>
      <w:r w:rsidRPr="00903FD1">
        <w:rPr>
          <w:b/>
          <w:i/>
        </w:rPr>
        <w:t>β</w:t>
      </w:r>
      <w:r w:rsidRPr="00903FD1">
        <w:rPr>
          <w:vertAlign w:val="subscript"/>
        </w:rPr>
        <w:t>CV</w:t>
      </w:r>
      <w:r w:rsidRPr="00100B3D">
        <w:t>CV</w:t>
      </w:r>
      <w:r w:rsidRPr="002D0E89">
        <w:t>t</w:t>
      </w:r>
      <w:r w:rsidRPr="00903FD1">
        <w:t>) (1)</w:t>
      </w:r>
    </w:p>
    <w:p w14:paraId="4E33B3C1" w14:textId="1CFB26EC" w:rsidR="00D95F9F" w:rsidRPr="0058683A" w:rsidRDefault="00D95F9F" w:rsidP="00D95F9F">
      <w:pPr>
        <w:pStyle w:val="BodyText"/>
      </w:pPr>
      <w:r w:rsidRPr="0058683A">
        <w:t>where Y is our dependent variable (transition into entrepreneurship and wage), “Entry_deregulation” is a dummy variable equal</w:t>
      </w:r>
      <w:r>
        <w:t>s</w:t>
      </w:r>
      <w:r w:rsidRPr="0058683A">
        <w:t xml:space="preserve"> to </w:t>
      </w:r>
      <w:r>
        <w:t>“</w:t>
      </w:r>
      <w:r w:rsidRPr="0058683A">
        <w:t>1</w:t>
      </w:r>
      <w:r>
        <w:t>”</w:t>
      </w:r>
      <w:r w:rsidRPr="0058683A">
        <w:t xml:space="preserve"> if individual </w:t>
      </w:r>
      <w:r w:rsidRPr="0058683A">
        <w:rPr>
          <w:i/>
        </w:rPr>
        <w:t>i</w:t>
      </w:r>
      <w:r w:rsidRPr="0058683A">
        <w:t xml:space="preserve"> is working in a municipality </w:t>
      </w:r>
      <w:r w:rsidRPr="0058683A">
        <w:rPr>
          <w:i/>
        </w:rPr>
        <w:t xml:space="preserve">m </w:t>
      </w:r>
      <w:r w:rsidRPr="0058683A">
        <w:t xml:space="preserve">that has enacted the entry deregulation “On the Spot Firm” program by year </w:t>
      </w:r>
      <w:r w:rsidRPr="0058683A">
        <w:rPr>
          <w:i/>
        </w:rPr>
        <w:t>t</w:t>
      </w:r>
      <w:r w:rsidRPr="0058683A">
        <w:t xml:space="preserve">, and “Female” is a dummy equal to </w:t>
      </w:r>
      <w:r>
        <w:t>“</w:t>
      </w:r>
      <w:r w:rsidRPr="0058683A">
        <w:t>1</w:t>
      </w:r>
      <w:r>
        <w:t>”</w:t>
      </w:r>
      <w:r w:rsidRPr="0058683A">
        <w:t xml:space="preserve"> for female employees (and </w:t>
      </w:r>
      <w:r>
        <w:t>“0”</w:t>
      </w:r>
      <w:r w:rsidRPr="0058683A">
        <w:t xml:space="preserve"> for male employees)</w:t>
      </w:r>
      <w:r w:rsidRPr="0058683A">
        <w:rPr>
          <w:i/>
        </w:rPr>
        <w:t>.</w:t>
      </w:r>
      <w:r w:rsidRPr="0058683A">
        <w:t xml:space="preserve"> </w:t>
      </w:r>
      <w:r w:rsidRPr="00100B3D">
        <w:t>CV</w:t>
      </w:r>
      <w:r w:rsidRPr="0058683A">
        <w:t xml:space="preserve"> is a vector of control variables, including, as mentioned, municipality, firm, individual, and year</w:t>
      </w:r>
      <w:r>
        <w:t>-</w:t>
      </w:r>
      <w:r w:rsidRPr="0058683A">
        <w:t>fixed effects. Including individual</w:t>
      </w:r>
      <w:r>
        <w:t xml:space="preserve"> </w:t>
      </w:r>
      <w:r w:rsidRPr="0058683A">
        <w:t xml:space="preserve">fixed effects </w:t>
      </w:r>
      <w:r>
        <w:t xml:space="preserve">in certain models </w:t>
      </w:r>
      <w:r w:rsidRPr="0058683A">
        <w:t>implies that our analyses are estimated on the same employees before and after treatment, net of any change in the composition in the labor force. Errors are always clustered at the municipality level, to address potential serial correlation concerns</w:t>
      </w:r>
      <w:r>
        <w:t>,</w:t>
      </w:r>
      <w:r w:rsidRPr="0058683A">
        <w:t xml:space="preserve"> as highlighted by Bertrand et al. (2004). The coefficient of interest is γ</w:t>
      </w:r>
      <w:r w:rsidRPr="0058683A">
        <w:rPr>
          <w:i/>
        </w:rPr>
        <w:t>,</w:t>
      </w:r>
      <w:r w:rsidRPr="0058683A">
        <w:t xml:space="preserve"> which measures the differential effect of </w:t>
      </w:r>
      <w:r>
        <w:t xml:space="preserve">the </w:t>
      </w:r>
      <w:r w:rsidRPr="0058683A">
        <w:t xml:space="preserve">“On the Spot Firm” </w:t>
      </w:r>
      <w:r>
        <w:t xml:space="preserve">reform </w:t>
      </w:r>
      <w:r w:rsidRPr="0058683A">
        <w:t>for female v</w:t>
      </w:r>
      <w:r>
        <w:t>ersu</w:t>
      </w:r>
      <w:r w:rsidRPr="0058683A">
        <w:t xml:space="preserve">s male employees. For instance, H1 predicts that γ should be positive and significant when Y is transition into entrepreneurship, suggesting that the </w:t>
      </w:r>
      <w:r>
        <w:t xml:space="preserve">regulatory reform </w:t>
      </w:r>
      <w:r w:rsidRPr="0058683A">
        <w:t xml:space="preserve">increases the odds of entrepreneurial entry more for female than </w:t>
      </w:r>
      <w:r>
        <w:t xml:space="preserve">for </w:t>
      </w:r>
      <w:r w:rsidRPr="0058683A">
        <w:t xml:space="preserve">male workers. At the same time, H3 predicts that γ should be negative and significant when Y is wage, suggesting that </w:t>
      </w:r>
      <w:r>
        <w:t>reform</w:t>
      </w:r>
      <w:r w:rsidRPr="0058683A">
        <w:t xml:space="preserve"> increases the </w:t>
      </w:r>
      <w:r w:rsidR="00681FAE">
        <w:t xml:space="preserve">gender </w:t>
      </w:r>
      <w:r w:rsidRPr="0058683A">
        <w:t xml:space="preserve">pay gap. </w:t>
      </w:r>
    </w:p>
    <w:p w14:paraId="3083E3E2" w14:textId="6A10DBE9" w:rsidR="00D95F9F" w:rsidRPr="0058683A" w:rsidRDefault="00D95F9F" w:rsidP="00D95F9F">
      <w:pPr>
        <w:pStyle w:val="BodyText"/>
        <w:ind w:firstLine="720"/>
      </w:pPr>
      <w:r>
        <w:t>To</w:t>
      </w:r>
      <w:r w:rsidRPr="0058683A">
        <w:t xml:space="preserve"> test H2 and H4 – the differential effect of the shock according to both the gender and the </w:t>
      </w:r>
      <w:r>
        <w:t>managerial position</w:t>
      </w:r>
      <w:r w:rsidRPr="0058683A">
        <w:t xml:space="preserve"> of the employees – we re-estimate (1) by adding a triple interaction between the treatment, the gender variable and “</w:t>
      </w:r>
      <w:r>
        <w:t>Managerial</w:t>
      </w:r>
      <w:r w:rsidRPr="0058683A">
        <w:t>_position</w:t>
      </w:r>
      <w:r>
        <w:t>.</w:t>
      </w:r>
      <w:r w:rsidRPr="0058683A">
        <w:t xml:space="preserve">” The latter is a variable equal to </w:t>
      </w:r>
      <w:r>
        <w:t>“1”</w:t>
      </w:r>
      <w:r w:rsidRPr="0058683A">
        <w:t xml:space="preserve"> for employees working in a managerial position in 2004 (the year </w:t>
      </w:r>
      <w:r w:rsidRPr="00100B3D">
        <w:t>before</w:t>
      </w:r>
      <w:r w:rsidRPr="0058683A">
        <w:t xml:space="preserve"> the deregulation was approved, to avoid any endogeneity issue)</w:t>
      </w:r>
      <w:r>
        <w:t>,</w:t>
      </w:r>
      <w:r w:rsidRPr="0058683A">
        <w:t xml:space="preserve"> and </w:t>
      </w:r>
      <w:r>
        <w:t>“0”</w:t>
      </w:r>
      <w:r w:rsidRPr="0058683A">
        <w:t xml:space="preserve"> otherwise.</w:t>
      </w:r>
      <w:r>
        <w:t xml:space="preserve"> This</w:t>
      </w:r>
      <w:r w:rsidRPr="0058683A">
        <w:t xml:space="preserve"> specification take</w:t>
      </w:r>
      <w:r>
        <w:t>s</w:t>
      </w:r>
      <w:r w:rsidRPr="0058683A">
        <w:t xml:space="preserve"> the </w:t>
      </w:r>
      <w:r>
        <w:t xml:space="preserve">following </w:t>
      </w:r>
      <w:r w:rsidRPr="0058683A">
        <w:t>form:</w:t>
      </w:r>
    </w:p>
    <w:p w14:paraId="4ECA16BD" w14:textId="23D171FB" w:rsidR="00D95F9F" w:rsidRDefault="00D95F9F" w:rsidP="00D95F9F">
      <w:pPr>
        <w:spacing w:line="480" w:lineRule="auto"/>
        <w:jc w:val="center"/>
        <w:rPr>
          <w:sz w:val="22"/>
          <w:szCs w:val="22"/>
          <w:vertAlign w:val="subscript"/>
        </w:rPr>
      </w:pPr>
      <w:r w:rsidRPr="009D6AC9">
        <w:rPr>
          <w:sz w:val="22"/>
          <w:szCs w:val="22"/>
        </w:rPr>
        <w:t>Y</w:t>
      </w:r>
      <w:r w:rsidRPr="009D6AC9">
        <w:rPr>
          <w:sz w:val="22"/>
          <w:szCs w:val="22"/>
          <w:vertAlign w:val="subscript"/>
        </w:rPr>
        <w:t>imt</w:t>
      </w:r>
      <w:r w:rsidRPr="009D6AC9">
        <w:rPr>
          <w:sz w:val="22"/>
          <w:szCs w:val="22"/>
        </w:rPr>
        <w:t xml:space="preserve"> = </w:t>
      </w:r>
      <w:r w:rsidRPr="009D6AC9">
        <w:rPr>
          <w:i/>
          <w:sz w:val="22"/>
          <w:szCs w:val="22"/>
        </w:rPr>
        <w:t>f</w:t>
      </w:r>
      <w:r w:rsidRPr="009D6AC9">
        <w:rPr>
          <w:sz w:val="22"/>
          <w:szCs w:val="22"/>
        </w:rPr>
        <w:t xml:space="preserve"> (</w:t>
      </w:r>
      <w:r w:rsidRPr="009D6AC9">
        <w:rPr>
          <w:i/>
          <w:sz w:val="22"/>
          <w:szCs w:val="22"/>
        </w:rPr>
        <w:t>β</w:t>
      </w:r>
      <w:r w:rsidRPr="009D6AC9">
        <w:rPr>
          <w:sz w:val="22"/>
          <w:szCs w:val="22"/>
        </w:rPr>
        <w:t>Entry_deregulation</w:t>
      </w:r>
      <w:r w:rsidRPr="009D6AC9">
        <w:rPr>
          <w:sz w:val="22"/>
          <w:szCs w:val="22"/>
          <w:vertAlign w:val="subscript"/>
        </w:rPr>
        <w:t>mt</w:t>
      </w:r>
      <w:r>
        <w:rPr>
          <w:sz w:val="22"/>
          <w:szCs w:val="22"/>
          <w:vertAlign w:val="subscript"/>
        </w:rPr>
        <w:t xml:space="preserve"> </w:t>
      </w:r>
      <w:r>
        <w:rPr>
          <w:sz w:val="22"/>
          <w:szCs w:val="22"/>
        </w:rPr>
        <w:t xml:space="preserve">+ </w:t>
      </w:r>
      <w:r w:rsidRPr="009D6AC9">
        <w:rPr>
          <w:sz w:val="22"/>
          <w:szCs w:val="22"/>
        </w:rPr>
        <w:t>γEntry_deregulation</w:t>
      </w:r>
      <w:r w:rsidRPr="009D6AC9">
        <w:rPr>
          <w:sz w:val="22"/>
          <w:szCs w:val="22"/>
          <w:vertAlign w:val="subscript"/>
        </w:rPr>
        <w:t>mt</w:t>
      </w:r>
      <m:oMath>
        <m:r>
          <w:rPr>
            <w:rFonts w:ascii="Cambria Math" w:hAnsi="Cambria Math"/>
            <w:vertAlign w:val="subscript"/>
          </w:rPr>
          <m:t>×</m:t>
        </m:r>
      </m:oMath>
      <w:r w:rsidRPr="009D6AC9">
        <w:rPr>
          <w:sz w:val="22"/>
          <w:szCs w:val="22"/>
        </w:rPr>
        <w:t>Female</w:t>
      </w:r>
      <w:r w:rsidRPr="009D6AC9">
        <w:rPr>
          <w:sz w:val="22"/>
          <w:szCs w:val="22"/>
          <w:vertAlign w:val="subscript"/>
        </w:rPr>
        <w:t>i</w:t>
      </w:r>
      <m:oMath>
        <m:r>
          <w:rPr>
            <w:rFonts w:ascii="Cambria Math" w:hAnsi="Cambria Math"/>
            <w:vertAlign w:val="subscript"/>
          </w:rPr>
          <m:t>×</m:t>
        </m:r>
      </m:oMath>
      <w:r w:rsidRPr="009D6AC9">
        <w:rPr>
          <w:sz w:val="22"/>
          <w:szCs w:val="22"/>
        </w:rPr>
        <w:t>Managerial_position</w:t>
      </w:r>
      <w:r w:rsidRPr="009D6AC9">
        <w:rPr>
          <w:sz w:val="22"/>
          <w:szCs w:val="22"/>
          <w:vertAlign w:val="subscript"/>
        </w:rPr>
        <w:t>i</w:t>
      </w:r>
    </w:p>
    <w:p w14:paraId="39D72EFF" w14:textId="77777777" w:rsidR="00D95F9F" w:rsidRPr="009D6AC9" w:rsidRDefault="00D95F9F" w:rsidP="00D95F9F">
      <w:pPr>
        <w:spacing w:line="480" w:lineRule="auto"/>
        <w:jc w:val="center"/>
        <w:rPr>
          <w:sz w:val="22"/>
          <w:szCs w:val="22"/>
        </w:rPr>
      </w:pPr>
      <w:r>
        <w:rPr>
          <w:b/>
          <w:i/>
          <w:sz w:val="22"/>
          <w:szCs w:val="22"/>
        </w:rPr>
        <w:t xml:space="preserve">+ </w:t>
      </w:r>
      <w:r w:rsidRPr="009D6AC9">
        <w:rPr>
          <w:b/>
          <w:i/>
          <w:sz w:val="22"/>
          <w:szCs w:val="22"/>
        </w:rPr>
        <w:t>β</w:t>
      </w:r>
      <w:r w:rsidRPr="009D6AC9">
        <w:rPr>
          <w:sz w:val="22"/>
          <w:szCs w:val="22"/>
          <w:vertAlign w:val="subscript"/>
        </w:rPr>
        <w:t>CV</w:t>
      </w:r>
      <w:r w:rsidRPr="00100B3D">
        <w:rPr>
          <w:sz w:val="22"/>
          <w:szCs w:val="22"/>
        </w:rPr>
        <w:t>CV</w:t>
      </w:r>
      <w:r w:rsidRPr="002D0E89">
        <w:rPr>
          <w:sz w:val="22"/>
          <w:szCs w:val="22"/>
        </w:rPr>
        <w:t>t</w:t>
      </w:r>
      <w:r w:rsidRPr="009D6AC9">
        <w:rPr>
          <w:sz w:val="22"/>
          <w:szCs w:val="22"/>
        </w:rPr>
        <w:t>)</w:t>
      </w:r>
      <w:r>
        <w:rPr>
          <w:sz w:val="22"/>
          <w:szCs w:val="22"/>
        </w:rPr>
        <w:t xml:space="preserve"> </w:t>
      </w:r>
      <w:r w:rsidRPr="009D6AC9">
        <w:rPr>
          <w:sz w:val="22"/>
          <w:szCs w:val="22"/>
        </w:rPr>
        <w:t>(2)</w:t>
      </w:r>
    </w:p>
    <w:p w14:paraId="0F32BA6A" w14:textId="0747FEBD" w:rsidR="00D95F9F" w:rsidRDefault="00D95F9F" w:rsidP="00D95F9F">
      <w:pPr>
        <w:pStyle w:val="BodyTextIndent"/>
      </w:pPr>
      <w:r w:rsidRPr="0058683A">
        <w:t>We control for “</w:t>
      </w:r>
      <w:r>
        <w:t>Managerial</w:t>
      </w:r>
      <w:r w:rsidRPr="0058683A">
        <w:t>_position” as a standalone variable, and any possible double interactions between “Entry_deregulation”, “</w:t>
      </w:r>
      <w:r>
        <w:t>F</w:t>
      </w:r>
      <w:r w:rsidRPr="0058683A">
        <w:t>emale” and “</w:t>
      </w:r>
      <w:r>
        <w:t>Managerial</w:t>
      </w:r>
      <w:r w:rsidRPr="0058683A">
        <w:t>_position</w:t>
      </w:r>
      <w:r>
        <w:t>.</w:t>
      </w:r>
      <w:r w:rsidRPr="0058683A">
        <w:t>” Furthermore, we include all the controls already mentioned in (1). Consistent with H2, we expect γ to be positive and significant when the dependent variable is entry; instead, consistent with H4, γ should be negative and significant when the dependent variable is the employee wage.</w:t>
      </w:r>
    </w:p>
    <w:p w14:paraId="28263CD1" w14:textId="77777777" w:rsidR="00D95F9F" w:rsidRPr="00A910EB" w:rsidRDefault="00D95F9F" w:rsidP="00D95F9F">
      <w:pPr>
        <w:pStyle w:val="BodyTextIndent"/>
        <w:ind w:firstLine="0"/>
        <w:rPr>
          <w:b/>
        </w:rPr>
      </w:pPr>
      <w:r w:rsidRPr="00A910EB">
        <w:rPr>
          <w:b/>
        </w:rPr>
        <w:t>RESULTS</w:t>
      </w:r>
    </w:p>
    <w:p w14:paraId="5DF7DC44" w14:textId="77777777" w:rsidR="00D95F9F" w:rsidRPr="0058683A" w:rsidRDefault="00D95F9F" w:rsidP="00D95F9F">
      <w:pPr>
        <w:pStyle w:val="Heading2A"/>
      </w:pPr>
      <w:r w:rsidRPr="0058683A">
        <w:t>Main Results</w:t>
      </w:r>
    </w:p>
    <w:p w14:paraId="08C9FB57" w14:textId="77777777" w:rsidR="00D95F9F" w:rsidRPr="0058683A" w:rsidRDefault="00D95F9F" w:rsidP="00D95F9F">
      <w:pPr>
        <w:pStyle w:val="BodyText"/>
      </w:pPr>
      <w:r w:rsidRPr="0058683A">
        <w:t xml:space="preserve">We begin by verifying that, as intended, the “On the Spot Firm” </w:t>
      </w:r>
      <w:r>
        <w:t>reform</w:t>
      </w:r>
      <w:r w:rsidRPr="0058683A">
        <w:t xml:space="preserve"> led to a substantial increase in the number of new entrants. We first plot the differential number of entrants by “treated” and “control” municipalities. Figure 2 provides suggestive evidence that</w:t>
      </w:r>
      <w:r>
        <w:t>,</w:t>
      </w:r>
      <w:r w:rsidRPr="0058683A">
        <w:t xml:space="preserve"> before the enactment of </w:t>
      </w:r>
      <w:r>
        <w:t xml:space="preserve">the reform </w:t>
      </w:r>
      <w:r w:rsidRPr="0058683A">
        <w:t xml:space="preserve">(represented as time </w:t>
      </w:r>
      <w:r>
        <w:t>“</w:t>
      </w:r>
      <w:r w:rsidRPr="0058683A">
        <w:t>0</w:t>
      </w:r>
      <w:r>
        <w:t>”</w:t>
      </w:r>
      <w:r w:rsidRPr="0058683A">
        <w:t xml:space="preserve">), </w:t>
      </w:r>
      <w:r>
        <w:t xml:space="preserve">the </w:t>
      </w:r>
      <w:r w:rsidRPr="0058683A">
        <w:t>treated and control municipalities displayed similar entry patterns – which confirms that th</w:t>
      </w:r>
      <w:r>
        <w:t>is</w:t>
      </w:r>
      <w:r w:rsidRPr="0058683A">
        <w:t xml:space="preserve"> </w:t>
      </w:r>
      <w:r>
        <w:t>institutional change</w:t>
      </w:r>
      <w:r w:rsidRPr="0058683A">
        <w:t xml:space="preserve"> might be considered an exogenous treatment. However, following </w:t>
      </w:r>
      <w:r>
        <w:t xml:space="preserve">the </w:t>
      </w:r>
      <w:r w:rsidRPr="0058683A">
        <w:t>reform, treated municipalities experience an increase in the number of new firms compared with municipalities in the control group. Such an increase occur</w:t>
      </w:r>
      <w:r>
        <w:t>s</w:t>
      </w:r>
      <w:r w:rsidRPr="0058683A">
        <w:t xml:space="preserve"> immediately after the change and tends to increase over time. The positive effect of the entry deregulation on entry is also evident </w:t>
      </w:r>
      <w:r>
        <w:t>when estimating</w:t>
      </w:r>
      <w:r w:rsidRPr="0058683A">
        <w:t xml:space="preserve"> </w:t>
      </w:r>
      <w:r>
        <w:t xml:space="preserve">the </w:t>
      </w:r>
      <w:r w:rsidRPr="0058683A">
        <w:t>municipality</w:t>
      </w:r>
      <w:r>
        <w:t>-</w:t>
      </w:r>
      <w:r w:rsidRPr="0058683A">
        <w:t xml:space="preserve">level regressions. Table A3 shows that the “On the Spot Firm” </w:t>
      </w:r>
      <w:r>
        <w:t>reform</w:t>
      </w:r>
      <w:r w:rsidRPr="0058683A">
        <w:t xml:space="preserve"> exerts a strong positive effect on the number of new firms created in a certain municipality and year (column 1) – which increases by about 18 units – and the log of </w:t>
      </w:r>
      <w:r>
        <w:t>this</w:t>
      </w:r>
      <w:r w:rsidRPr="0058683A">
        <w:t xml:space="preserve"> number (column 2) – suggesting that an increase is equal to around 7 percent in relative terms. These findings are recovered even when we consider the municipality-industry level of analysis, as we do in columns 3 and 4 by introducing a municipality</w:t>
      </w:r>
      <w:r>
        <w:t>, year</w:t>
      </w:r>
      <w:r w:rsidRPr="0058683A">
        <w:t xml:space="preserve"> and industry</w:t>
      </w:r>
      <w:r>
        <w:t>-</w:t>
      </w:r>
      <w:r w:rsidRPr="0058683A">
        <w:t xml:space="preserve">fixed effect. Overall, consistent with </w:t>
      </w:r>
      <w:r>
        <w:t xml:space="preserve">our </w:t>
      </w:r>
      <w:r w:rsidRPr="0058683A">
        <w:t xml:space="preserve">previous findings, we find that the “On the Spot Firm” </w:t>
      </w:r>
      <w:r>
        <w:t xml:space="preserve">reform </w:t>
      </w:r>
      <w:r w:rsidRPr="0058683A">
        <w:t xml:space="preserve">increased the number of new entrants by about 7 percent, which suggests </w:t>
      </w:r>
      <w:r>
        <w:t xml:space="preserve">that </w:t>
      </w:r>
      <w:r w:rsidRPr="0058683A">
        <w:t>our treatment is relevant</w:t>
      </w:r>
      <w:r>
        <w:t>.</w:t>
      </w:r>
      <w:r w:rsidRPr="0058683A">
        <w:t xml:space="preserve"> </w:t>
      </w:r>
      <w:r>
        <w:t xml:space="preserve">In short, the treatment led to a </w:t>
      </w:r>
      <w:r w:rsidRPr="0058683A">
        <w:t>substantial decrease</w:t>
      </w:r>
      <w:r>
        <w:t xml:space="preserve"> of</w:t>
      </w:r>
      <w:r w:rsidRPr="0058683A">
        <w:t xml:space="preserve"> entry barriers</w:t>
      </w:r>
      <w:r>
        <w:t>,</w:t>
      </w:r>
      <w:r w:rsidRPr="0058683A">
        <w:t xml:space="preserve"> usually faced by potential entrepreneurs.</w:t>
      </w:r>
    </w:p>
    <w:p w14:paraId="47BBFBE4" w14:textId="77777777" w:rsidR="00D95F9F" w:rsidRPr="0058683A" w:rsidRDefault="00D95F9F" w:rsidP="00D95F9F">
      <w:pPr>
        <w:pStyle w:val="Callout"/>
        <w:rPr>
          <w:color w:val="auto"/>
        </w:rPr>
      </w:pPr>
      <w:r w:rsidRPr="0058683A">
        <w:rPr>
          <w:color w:val="auto"/>
        </w:rPr>
        <w:t>Insert Figure 2 about here</w:t>
      </w:r>
    </w:p>
    <w:p w14:paraId="11BB3804" w14:textId="70043F8C" w:rsidR="00D95F9F" w:rsidRPr="0058683A" w:rsidRDefault="00D95F9F" w:rsidP="00D95F9F">
      <w:pPr>
        <w:pStyle w:val="BodyTextIndent"/>
        <w:contextualSpacing/>
      </w:pPr>
      <w:r w:rsidRPr="0058683A">
        <w:t>We next plot gender disparit</w:t>
      </w:r>
      <w:r>
        <w:t>y</w:t>
      </w:r>
      <w:r w:rsidRPr="0058683A">
        <w:t xml:space="preserve"> in entrepreneurship and </w:t>
      </w:r>
      <w:r>
        <w:t xml:space="preserve">in </w:t>
      </w:r>
      <w:r w:rsidRPr="0058683A">
        <w:t xml:space="preserve">paid employment, following the treatment. To </w:t>
      </w:r>
      <w:r>
        <w:t>obtain</w:t>
      </w:r>
      <w:r w:rsidRPr="0058683A">
        <w:t xml:space="preserve"> a broad assessment of the effect of the entry deregulation reform, we begin by plotting simple graphs. Figures 3 and 4 show</w:t>
      </w:r>
      <w:r>
        <w:t xml:space="preserve"> </w:t>
      </w:r>
      <w:r w:rsidRPr="0058683A">
        <w:t xml:space="preserve">the differential effect of the entry deregulation reform on the gender </w:t>
      </w:r>
      <w:r>
        <w:t>differences</w:t>
      </w:r>
      <w:r w:rsidRPr="0058683A">
        <w:t xml:space="preserve"> in entrepreneurship</w:t>
      </w:r>
      <w:r>
        <w:t xml:space="preserve"> rates</w:t>
      </w:r>
      <w:r w:rsidRPr="0058683A">
        <w:t xml:space="preserve"> (Figure 3) and wages in paid employment (Figure 4) at the aggregate municipality level</w:t>
      </w:r>
      <w:r>
        <w:t xml:space="preserve"> (including year and </w:t>
      </w:r>
      <w:r w:rsidR="004358A2">
        <w:t>municipality</w:t>
      </w:r>
      <w:r>
        <w:t xml:space="preserve"> fixed effects and clustering errors at the county level)</w:t>
      </w:r>
      <w:r w:rsidRPr="0058683A">
        <w:t>.</w:t>
      </w:r>
      <w:r w:rsidRPr="00006113">
        <w:rPr>
          <w:rStyle w:val="FootnoteReference"/>
        </w:rPr>
        <w:footnoteReference w:id="5"/>
      </w:r>
      <w:r w:rsidRPr="0058683A">
        <w:t xml:space="preserve"> As can be seen, consistent with our theory, the “On the Spot Firm” </w:t>
      </w:r>
      <w:r>
        <w:t>reform</w:t>
      </w:r>
      <w:r w:rsidRPr="0058683A">
        <w:t xml:space="preserve"> </w:t>
      </w:r>
      <w:r>
        <w:t xml:space="preserve">led to the intended effect, by disproportionately </w:t>
      </w:r>
      <w:r w:rsidRPr="0058683A">
        <w:t>enhanc</w:t>
      </w:r>
      <w:r>
        <w:t>ing</w:t>
      </w:r>
      <w:r w:rsidRPr="0058683A">
        <w:t xml:space="preserve"> transition </w:t>
      </w:r>
      <w:r>
        <w:t>in</w:t>
      </w:r>
      <w:r w:rsidRPr="0058683A">
        <w:t xml:space="preserve">to entrepreneurship </w:t>
      </w:r>
      <w:r>
        <w:t>among individuals facing more significant entry barriers, such as women</w:t>
      </w:r>
      <w:r w:rsidRPr="0058683A">
        <w:t>. At the same time, the treatment led to</w:t>
      </w:r>
      <w:r>
        <w:t xml:space="preserve"> the unintended consequences, given the</w:t>
      </w:r>
      <w:r w:rsidRPr="0058683A">
        <w:t xml:space="preserve"> increase in gender</w:t>
      </w:r>
      <w:r>
        <w:t>-</w:t>
      </w:r>
      <w:r w:rsidRPr="0058683A">
        <w:t xml:space="preserve">pay </w:t>
      </w:r>
      <w:r>
        <w:t>differential</w:t>
      </w:r>
      <w:r w:rsidRPr="0058683A">
        <w:t xml:space="preserve"> in paid employment, with women earning even less relative to men, following the enactment of the reform. </w:t>
      </w:r>
    </w:p>
    <w:p w14:paraId="5660B14A" w14:textId="77777777" w:rsidR="00D95F9F" w:rsidRPr="0058683A" w:rsidRDefault="00D95F9F" w:rsidP="00D95F9F">
      <w:pPr>
        <w:pStyle w:val="Callout"/>
        <w:rPr>
          <w:color w:val="auto"/>
        </w:rPr>
      </w:pPr>
      <w:r w:rsidRPr="0058683A">
        <w:rPr>
          <w:color w:val="auto"/>
        </w:rPr>
        <w:t>Insert Figure 3 &amp; Figure 4 about here</w:t>
      </w:r>
    </w:p>
    <w:p w14:paraId="567E5ACB" w14:textId="1451ADE0" w:rsidR="00D95F9F" w:rsidRPr="0058683A" w:rsidRDefault="00D95F9F" w:rsidP="00D95F9F">
      <w:pPr>
        <w:pStyle w:val="BodyTextIndent"/>
      </w:pPr>
      <w:r w:rsidRPr="0058683A">
        <w:t xml:space="preserve">We next evaluate the </w:t>
      </w:r>
      <w:r>
        <w:t xml:space="preserve">intended and unintended effects </w:t>
      </w:r>
      <w:r w:rsidRPr="0058683A">
        <w:t xml:space="preserve">at the individual level, controlling for individual characteristics. Specifications in Table 3 (columns 1 and 2) estimate the effect of the </w:t>
      </w:r>
      <w:r>
        <w:t xml:space="preserve">regulatory </w:t>
      </w:r>
      <w:r w:rsidRPr="0058683A">
        <w:t>reform on the</w:t>
      </w:r>
      <w:r>
        <w:t xml:space="preserve"> intended effect of</w:t>
      </w:r>
      <w:r w:rsidRPr="0058683A">
        <w:t xml:space="preserve"> </w:t>
      </w:r>
      <w:r>
        <w:t>becoming</w:t>
      </w:r>
      <w:r w:rsidRPr="0058683A">
        <w:t xml:space="preserve"> an entrepreneur. Column 1 estimates this relationship with fixed effects for occupation, year, and municipality. As can be seen, there is a gender gap in transition into entrepreneurship, with female workers being 0.08 percentage points less likely than male workers to start their own firm. Column 2 includes individual</w:t>
      </w:r>
      <w:r>
        <w:t>-</w:t>
      </w:r>
      <w:r w:rsidRPr="0058683A">
        <w:t>fixed effect</w:t>
      </w:r>
      <w:r>
        <w:t>s</w:t>
      </w:r>
      <w:r w:rsidRPr="0058683A">
        <w:t xml:space="preserve"> to control for any change in the composition of the labor force; here, we focus exclusively on employees present in our data before and after the treatment. As expected, the entry reform increases the likelihood of transitioning into entrepreneurship more for women than for men (</w:t>
      </w:r>
      <w:r w:rsidRPr="0058683A">
        <w:rPr>
          <w:i/>
        </w:rPr>
        <w:t>β</w:t>
      </w:r>
      <w:r w:rsidRPr="0058683A">
        <w:t xml:space="preserve">=0.0017, </w:t>
      </w:r>
      <w:r w:rsidRPr="00B200A7">
        <w:rPr>
          <w:i/>
        </w:rPr>
        <w:t>p</w:t>
      </w:r>
      <w:r w:rsidRPr="0058683A">
        <w:t>&lt;0.001). In relative terms, this represents a 40 percent increase in the probability of becoming an entrepreneur – considering that the baseline probability of a female employee becoming an entrepreneur is equal to 0.004 (as reported in Table 1). Overall, our results lend support to H1</w:t>
      </w:r>
      <w:r>
        <w:t>,</w:t>
      </w:r>
      <w:r w:rsidRPr="0058683A">
        <w:t xml:space="preserve"> </w:t>
      </w:r>
      <w:r>
        <w:t xml:space="preserve">suggesting </w:t>
      </w:r>
      <w:r w:rsidRPr="0058683A">
        <w:t xml:space="preserve">that the reform </w:t>
      </w:r>
      <w:r>
        <w:t>leads to the intended effect, whereby individuals facing more systematic entry barriers (i.e., women) enter entrepreneurship at a higher rate</w:t>
      </w:r>
      <w:r w:rsidRPr="0058683A">
        <w:t xml:space="preserve">. </w:t>
      </w:r>
    </w:p>
    <w:p w14:paraId="486E01B3" w14:textId="77777777" w:rsidR="00D95F9F" w:rsidRPr="0058683A" w:rsidRDefault="00D95F9F" w:rsidP="00D95F9F">
      <w:pPr>
        <w:pStyle w:val="BodyTextIndent"/>
      </w:pPr>
      <w:r>
        <w:t xml:space="preserve">Hypothesis 2 </w:t>
      </w:r>
      <w:r w:rsidRPr="0058683A">
        <w:t>states that</w:t>
      </w:r>
      <w:r>
        <w:t xml:space="preserve"> </w:t>
      </w:r>
      <w:r w:rsidRPr="0058683A">
        <w:t>th</w:t>
      </w:r>
      <w:r>
        <w:t>is intended</w:t>
      </w:r>
      <w:r w:rsidRPr="0058683A">
        <w:t xml:space="preserve"> effect of the entry deregulation reform </w:t>
      </w:r>
      <w:r>
        <w:t>will</w:t>
      </w:r>
      <w:r w:rsidRPr="0058683A">
        <w:t xml:space="preserve"> be </w:t>
      </w:r>
      <w:r>
        <w:t xml:space="preserve">amplified </w:t>
      </w:r>
      <w:r w:rsidRPr="0058683A">
        <w:t>for female employees occupy</w:t>
      </w:r>
      <w:r>
        <w:t>ing</w:t>
      </w:r>
      <w:r w:rsidRPr="0058683A">
        <w:t xml:space="preserve"> </w:t>
      </w:r>
      <w:r>
        <w:t>managerial</w:t>
      </w:r>
      <w:r w:rsidRPr="0058683A">
        <w:t xml:space="preserve"> position</w:t>
      </w:r>
      <w:r>
        <w:t>s</w:t>
      </w:r>
      <w:r w:rsidRPr="0058683A">
        <w:t xml:space="preserve"> in the organizational hierarchy, due to their greater motivation </w:t>
      </w:r>
      <w:r>
        <w:t xml:space="preserve">and willingness </w:t>
      </w:r>
      <w:r w:rsidRPr="0058683A">
        <w:t>to pursue an entrepreneurial career</w:t>
      </w:r>
      <w:r>
        <w:t xml:space="preserve"> in the first place</w:t>
      </w:r>
      <w:r w:rsidRPr="0058683A">
        <w:t>. Table 3 (columns 3 and 4) provide</w:t>
      </w:r>
      <w:r>
        <w:t>s</w:t>
      </w:r>
      <w:r w:rsidRPr="0058683A">
        <w:t xml:space="preserve"> support for this hypothesis. </w:t>
      </w:r>
      <w:r>
        <w:t xml:space="preserve">As can be seen, managers are less likely to leave the firm, following the entry deregulation reform (column 3). This might be because </w:t>
      </w:r>
      <w:r w:rsidRPr="00903FD1">
        <w:t xml:space="preserve">individuals in managerial </w:t>
      </w:r>
      <w:r>
        <w:t xml:space="preserve">positions </w:t>
      </w:r>
      <w:r w:rsidRPr="00E53FE6">
        <w:t>are</w:t>
      </w:r>
      <w:r>
        <w:t>,</w:t>
      </w:r>
      <w:r w:rsidRPr="00903FD1">
        <w:t xml:space="preserve"> </w:t>
      </w:r>
      <w:r>
        <w:t xml:space="preserve">in general, </w:t>
      </w:r>
      <w:r w:rsidRPr="00903FD1">
        <w:t xml:space="preserve">less constrained by entry barriers, </w:t>
      </w:r>
      <w:r>
        <w:t xml:space="preserve">given that they have more ample </w:t>
      </w:r>
      <w:r w:rsidRPr="00903FD1">
        <w:t>financial resources for starting their own business</w:t>
      </w:r>
      <w:r>
        <w:t xml:space="preserve"> at their disposal</w:t>
      </w:r>
      <w:r w:rsidRPr="00903FD1">
        <w:t xml:space="preserve">. </w:t>
      </w:r>
      <w:r>
        <w:t xml:space="preserve">Also, individuals in managerial positions, regardless their gender, are possibly more satisfied with their job and have weaker incentives to sever ties with the current employer. However, as predicted, we find support for the </w:t>
      </w:r>
      <w:r w:rsidRPr="00100B3D">
        <w:t>differential</w:t>
      </w:r>
      <w:r>
        <w:t xml:space="preserve"> effect of the entry reform on female vs. male managers: consistent with H2, </w:t>
      </w:r>
      <w:r w:rsidRPr="0058683A">
        <w:t xml:space="preserve">column 4 suggests that, </w:t>
      </w:r>
      <w:r>
        <w:t xml:space="preserve">following </w:t>
      </w:r>
      <w:r w:rsidRPr="0058683A">
        <w:t>the entry deregulation reform, female employees in managerial positions have a significant</w:t>
      </w:r>
      <w:r>
        <w:t>ly</w:t>
      </w:r>
      <w:r w:rsidRPr="0058683A">
        <w:t xml:space="preserve"> higher likelihood of becoming entrepreneurs </w:t>
      </w:r>
      <w:r>
        <w:t>than</w:t>
      </w:r>
      <w:r w:rsidRPr="0058683A">
        <w:t xml:space="preserve"> their male counterparts. </w:t>
      </w:r>
      <w:r>
        <w:t>Specifically</w:t>
      </w:r>
      <w:r w:rsidRPr="0058683A">
        <w:t xml:space="preserve">, the probability of female employees </w:t>
      </w:r>
      <w:r>
        <w:t xml:space="preserve">in non-managerial positions of </w:t>
      </w:r>
      <w:r w:rsidRPr="0058683A">
        <w:t xml:space="preserve">becoming entrepreneurs increases </w:t>
      </w:r>
      <w:r>
        <w:t>by</w:t>
      </w:r>
      <w:r w:rsidRPr="0058683A">
        <w:t xml:space="preserve"> 0.0006 compared </w:t>
      </w:r>
      <w:r>
        <w:t>with</w:t>
      </w:r>
      <w:r w:rsidRPr="0058683A">
        <w:t xml:space="preserve"> </w:t>
      </w:r>
      <w:r>
        <w:t>t</w:t>
      </w:r>
      <w:r w:rsidRPr="0058683A">
        <w:t>he</w:t>
      </w:r>
      <w:r>
        <w:t>i</w:t>
      </w:r>
      <w:r w:rsidRPr="0058683A">
        <w:t>r male counterpart</w:t>
      </w:r>
      <w:r>
        <w:t>s</w:t>
      </w:r>
      <w:r w:rsidRPr="0058683A">
        <w:t xml:space="preserve"> (</w:t>
      </w:r>
      <w:r w:rsidRPr="00B200A7">
        <w:rPr>
          <w:i/>
        </w:rPr>
        <w:t>p</w:t>
      </w:r>
      <w:r w:rsidRPr="0058683A">
        <w:t xml:space="preserve">&lt;0.05); however, when we consider female employees in </w:t>
      </w:r>
      <w:r>
        <w:t>managerial jobs</w:t>
      </w:r>
      <w:r w:rsidRPr="0058683A">
        <w:t xml:space="preserve">, the same likelihood increases </w:t>
      </w:r>
      <w:r>
        <w:t xml:space="preserve">by </w:t>
      </w:r>
      <w:r w:rsidRPr="0058683A">
        <w:t>a further 0.0</w:t>
      </w:r>
      <w:r>
        <w:t>0</w:t>
      </w:r>
      <w:r w:rsidRPr="0058683A">
        <w:t>37 (</w:t>
      </w:r>
      <w:r w:rsidRPr="00B200A7">
        <w:rPr>
          <w:i/>
        </w:rPr>
        <w:t>p</w:t>
      </w:r>
      <w:r w:rsidRPr="0058683A">
        <w:t>&lt;0.001). This is a significant increase with respect to the baseline probability of an average female employee to become an entrepreneur.</w:t>
      </w:r>
      <w:r w:rsidRPr="0058683A">
        <w:br/>
      </w:r>
      <w:r>
        <w:t xml:space="preserve">                                                                          </w:t>
      </w:r>
      <w:r w:rsidRPr="0058683A">
        <w:t>Insert Table 3 about here</w:t>
      </w:r>
    </w:p>
    <w:p w14:paraId="3F4415B5" w14:textId="357843C8" w:rsidR="00D95F9F" w:rsidRPr="0058683A" w:rsidRDefault="00D95F9F" w:rsidP="00D95F9F">
      <w:pPr>
        <w:pStyle w:val="BodyTextIndent"/>
      </w:pPr>
      <w:r w:rsidRPr="0058683A">
        <w:t>Whereas deregulation reforms</w:t>
      </w:r>
      <w:r>
        <w:t xml:space="preserve"> lead to the intended effects by reducing gender disparities at the point of entrepreneurship entry</w:t>
      </w:r>
      <w:r w:rsidRPr="0058683A">
        <w:t xml:space="preserve">, Hypothesis 3 suggests the </w:t>
      </w:r>
      <w:r>
        <w:t>unintended effects</w:t>
      </w:r>
      <w:r w:rsidRPr="0058683A">
        <w:t xml:space="preserve"> among those who stay in paid employment, considering specifically gender di</w:t>
      </w:r>
      <w:r>
        <w:t>fferential</w:t>
      </w:r>
      <w:r w:rsidRPr="0058683A">
        <w:t xml:space="preserve"> in </w:t>
      </w:r>
      <w:r>
        <w:t>pay</w:t>
      </w:r>
      <w:r w:rsidRPr="0058683A">
        <w:t>. Table 4 reports the results of an individual-level regression</w:t>
      </w:r>
      <w:r>
        <w:t xml:space="preserve"> model,</w:t>
      </w:r>
      <w:r w:rsidRPr="0058683A">
        <w:t xml:space="preserve"> </w:t>
      </w:r>
      <w:r>
        <w:t xml:space="preserve">with </w:t>
      </w:r>
      <w:r w:rsidRPr="0058683A">
        <w:t>logged wage</w:t>
      </w:r>
      <w:r>
        <w:t xml:space="preserve"> being the dependent variable</w:t>
      </w:r>
      <w:r w:rsidRPr="0058683A">
        <w:t>. Column 1 includes occupation, year, and municipality</w:t>
      </w:r>
      <w:r>
        <w:t>-</w:t>
      </w:r>
      <w:r w:rsidRPr="0058683A">
        <w:t xml:space="preserve">fixed effects. </w:t>
      </w:r>
      <w:r>
        <w:t>As can be seen</w:t>
      </w:r>
      <w:r w:rsidRPr="0058683A">
        <w:t>, even after controlling for observable differences in human capital and demographics, stark disparities</w:t>
      </w:r>
      <w:r>
        <w:t xml:space="preserve"> in pay</w:t>
      </w:r>
      <w:r w:rsidRPr="0058683A">
        <w:t xml:space="preserve"> appear to exist between female and male workers, with women earning around 22 percent less than men. Column 2 re-estimates this baseline specification but adds an individual</w:t>
      </w:r>
      <w:r>
        <w:t>-</w:t>
      </w:r>
      <w:r w:rsidRPr="0058683A">
        <w:t>fixed effect to account for any potential changes in the labor market</w:t>
      </w:r>
      <w:r>
        <w:t>,</w:t>
      </w:r>
      <w:r w:rsidRPr="0058683A">
        <w:t xml:space="preserve"> following the treatment. This specification therefore estimates our results only for workers present in the data before and after the treatment. Consistent with H</w:t>
      </w:r>
      <w:r>
        <w:t>3</w:t>
      </w:r>
      <w:r w:rsidRPr="0058683A">
        <w:t xml:space="preserve">, the entry deregulation reform has increased gender disparity in </w:t>
      </w:r>
      <w:r>
        <w:t>pay</w:t>
      </w:r>
      <w:r w:rsidRPr="0058683A">
        <w:t xml:space="preserve"> by 1 percentage point (</w:t>
      </w:r>
      <w:r w:rsidRPr="00B200A7">
        <w:rPr>
          <w:i/>
        </w:rPr>
        <w:t>p</w:t>
      </w:r>
      <w:r w:rsidRPr="0058683A">
        <w:t>&lt;0.001)</w:t>
      </w:r>
      <w:r>
        <w:t>.</w:t>
      </w:r>
      <w:r w:rsidRPr="00006113">
        <w:rPr>
          <w:rStyle w:val="FootnoteReference"/>
        </w:rPr>
        <w:footnoteReference w:id="6"/>
      </w:r>
      <w:r>
        <w:t xml:space="preserve"> </w:t>
      </w:r>
      <w:r w:rsidRPr="0058683A">
        <w:t>In relative terms, given that the baseline gender pay</w:t>
      </w:r>
      <w:r>
        <w:t xml:space="preserve"> </w:t>
      </w:r>
      <w:r w:rsidRPr="0058683A">
        <w:t>gap is about 20 percent</w:t>
      </w:r>
      <w:r>
        <w:t>age points</w:t>
      </w:r>
      <w:r w:rsidRPr="0058683A">
        <w:t xml:space="preserve">, this corresponds to a 5 percent increase in </w:t>
      </w:r>
      <w:r>
        <w:t>this</w:t>
      </w:r>
      <w:r w:rsidRPr="0058683A">
        <w:t xml:space="preserve"> </w:t>
      </w:r>
      <w:r>
        <w:t>differential</w:t>
      </w:r>
      <w:r w:rsidRPr="0058683A">
        <w:t>. Our results are further recovered in column 3, where we include firm</w:t>
      </w:r>
      <w:r>
        <w:t>-</w:t>
      </w:r>
      <w:r w:rsidRPr="0058683A">
        <w:t>fixed effect</w:t>
      </w:r>
      <w:r>
        <w:t>s</w:t>
      </w:r>
      <w:r w:rsidRPr="0058683A">
        <w:t xml:space="preserve"> to eliminate the possibility that changes in employer composition before and after the shock might drive our results. In </w:t>
      </w:r>
      <w:r w:rsidR="00304C05">
        <w:t>Column</w:t>
      </w:r>
      <w:r w:rsidR="00304C05" w:rsidRPr="0058683A">
        <w:t xml:space="preserve"> </w:t>
      </w:r>
      <w:r w:rsidRPr="0058683A">
        <w:t>4, we re-estimate the baseline specification with the employee</w:t>
      </w:r>
      <w:r>
        <w:t>–</w:t>
      </w:r>
      <w:r w:rsidRPr="0058683A">
        <w:t>employer match</w:t>
      </w:r>
      <w:r>
        <w:t>-</w:t>
      </w:r>
      <w:r w:rsidRPr="0058683A">
        <w:t xml:space="preserve">fixed effects to mitigate the possibility that our results reflect a re-allocation of the employees into different firms, following the treatment. Our results remain unchanged in these two specifications, reinforcing our confidence that </w:t>
      </w:r>
      <w:r>
        <w:t xml:space="preserve">the unintended effect of the deregulation reform, the </w:t>
      </w:r>
      <w:r w:rsidRPr="0058683A">
        <w:t>gender</w:t>
      </w:r>
      <w:r>
        <w:t xml:space="preserve"> gap</w:t>
      </w:r>
      <w:r w:rsidRPr="0058683A">
        <w:t xml:space="preserve"> in pay for the same workers in the same firm</w:t>
      </w:r>
      <w:r>
        <w:t>, is</w:t>
      </w:r>
      <w:r w:rsidRPr="0058683A">
        <w:t xml:space="preserve"> likely to </w:t>
      </w:r>
      <w:r>
        <w:t xml:space="preserve">increase, following the </w:t>
      </w:r>
      <w:r w:rsidRPr="0058683A">
        <w:t>treatment.</w:t>
      </w:r>
    </w:p>
    <w:p w14:paraId="320186E3" w14:textId="2F5AE9EF" w:rsidR="00D95F9F" w:rsidRDefault="00D95F9F" w:rsidP="00D95F9F">
      <w:pPr>
        <w:pStyle w:val="BodyTextIndent"/>
      </w:pPr>
      <w:r w:rsidRPr="0058683A">
        <w:t>Hypothesis 4 suggests that the</w:t>
      </w:r>
      <w:r>
        <w:t xml:space="preserve"> unintended</w:t>
      </w:r>
      <w:r w:rsidRPr="0058683A">
        <w:t xml:space="preserve"> effect of lowering entry barriers on female wage</w:t>
      </w:r>
      <w:r>
        <w:t>s</w:t>
      </w:r>
      <w:r w:rsidRPr="0058683A">
        <w:t xml:space="preserve"> should be particularly relevant for women in </w:t>
      </w:r>
      <w:r>
        <w:t>managerial</w:t>
      </w:r>
      <w:r w:rsidRPr="0058683A">
        <w:t xml:space="preserve"> positions</w:t>
      </w:r>
      <w:r>
        <w:t>, when compared to men in the same positions</w:t>
      </w:r>
      <w:r w:rsidRPr="0058683A">
        <w:t>. Table 5 confirms our expectation. In particular, results presented in column 2 – controlling for change in the composition of the labor force via individual</w:t>
      </w:r>
      <w:r>
        <w:t>-f</w:t>
      </w:r>
      <w:r w:rsidRPr="0058683A">
        <w:t xml:space="preserve">ixed effects – show that female employees in </w:t>
      </w:r>
      <w:r>
        <w:t>managerial</w:t>
      </w:r>
      <w:r w:rsidRPr="0058683A">
        <w:t xml:space="preserve"> </w:t>
      </w:r>
      <w:r>
        <w:t xml:space="preserve">jobs </w:t>
      </w:r>
      <w:r w:rsidRPr="0058683A">
        <w:t>experience a salary decrease of 1.2</w:t>
      </w:r>
      <w:r>
        <w:t>7</w:t>
      </w:r>
      <w:r w:rsidRPr="0058683A">
        <w:t xml:space="preserve"> percent</w:t>
      </w:r>
      <w:r>
        <w:t>,</w:t>
      </w:r>
      <w:r w:rsidRPr="0058683A">
        <w:t xml:space="preserve"> compared </w:t>
      </w:r>
      <w:r>
        <w:t>with</w:t>
      </w:r>
      <w:r w:rsidRPr="0058683A">
        <w:t xml:space="preserve"> their male counterparts. Instead, </w:t>
      </w:r>
      <w:r>
        <w:t xml:space="preserve">the </w:t>
      </w:r>
      <w:r w:rsidRPr="0058683A">
        <w:t>decrease in salary for female</w:t>
      </w:r>
      <w:r w:rsidR="00E94CC0">
        <w:t xml:space="preserve">s </w:t>
      </w:r>
      <w:r w:rsidRPr="0058683A">
        <w:t xml:space="preserve">in </w:t>
      </w:r>
      <w:r>
        <w:t>non-managerial</w:t>
      </w:r>
      <w:r w:rsidRPr="0058683A">
        <w:t xml:space="preserve"> position</w:t>
      </w:r>
      <w:r>
        <w:t xml:space="preserve">s relative to </w:t>
      </w:r>
      <w:r w:rsidRPr="0058683A">
        <w:t xml:space="preserve">male employees in similar positions, is only 0.82 percent. These findings are robust across specifications 3 and 4. </w:t>
      </w:r>
    </w:p>
    <w:p w14:paraId="7FA08CE6" w14:textId="77777777" w:rsidR="00D95F9F" w:rsidRDefault="00D95F9F" w:rsidP="00D95F9F">
      <w:pPr>
        <w:pStyle w:val="BodyTextIndent"/>
        <w:jc w:val="center"/>
      </w:pPr>
      <w:r w:rsidRPr="0058683A">
        <w:t>Insert Table 4 &amp; Table 5 about here</w:t>
      </w:r>
    </w:p>
    <w:p w14:paraId="4D4A5CF9" w14:textId="77777777" w:rsidR="00D95F9F" w:rsidRPr="005376AE" w:rsidRDefault="00D95F9F" w:rsidP="00D95F9F">
      <w:pPr>
        <w:pStyle w:val="BodyTextIndent"/>
        <w:ind w:firstLine="0"/>
        <w:rPr>
          <w:b/>
        </w:rPr>
      </w:pPr>
      <w:r w:rsidRPr="005376AE">
        <w:rPr>
          <w:b/>
        </w:rPr>
        <w:t>Testing the Mechanisms</w:t>
      </w:r>
    </w:p>
    <w:p w14:paraId="38DD9B64" w14:textId="77777777" w:rsidR="00D95F9F" w:rsidRDefault="00D95F9F" w:rsidP="00D95F9F">
      <w:pPr>
        <w:autoSpaceDE w:val="0"/>
        <w:autoSpaceDN w:val="0"/>
        <w:adjustRightInd w:val="0"/>
        <w:spacing w:line="480" w:lineRule="auto"/>
        <w:ind w:firstLine="720"/>
        <w:rPr>
          <w:sz w:val="22"/>
          <w:szCs w:val="22"/>
        </w:rPr>
      </w:pPr>
      <w:r w:rsidRPr="00A7044A">
        <w:rPr>
          <w:sz w:val="22"/>
          <w:szCs w:val="22"/>
        </w:rPr>
        <w:t>In additional analyses, w</w:t>
      </w:r>
      <w:r w:rsidRPr="009D6AC9">
        <w:rPr>
          <w:sz w:val="22"/>
          <w:szCs w:val="22"/>
        </w:rPr>
        <w:t xml:space="preserve">e provide further empirical evidence </w:t>
      </w:r>
      <w:r>
        <w:rPr>
          <w:sz w:val="22"/>
          <w:szCs w:val="22"/>
        </w:rPr>
        <w:t>for</w:t>
      </w:r>
      <w:r w:rsidRPr="009D6AC9">
        <w:rPr>
          <w:sz w:val="22"/>
          <w:szCs w:val="22"/>
        </w:rPr>
        <w:t xml:space="preserve"> the mechanisms </w:t>
      </w:r>
      <w:r w:rsidRPr="00A7044A">
        <w:rPr>
          <w:sz w:val="22"/>
          <w:szCs w:val="22"/>
        </w:rPr>
        <w:t xml:space="preserve">underlying </w:t>
      </w:r>
      <w:r w:rsidRPr="009D6AC9">
        <w:rPr>
          <w:sz w:val="22"/>
          <w:szCs w:val="22"/>
        </w:rPr>
        <w:t xml:space="preserve">our findings. </w:t>
      </w:r>
      <w:r w:rsidRPr="00A7044A">
        <w:rPr>
          <w:sz w:val="22"/>
          <w:szCs w:val="22"/>
        </w:rPr>
        <w:t>First</w:t>
      </w:r>
      <w:r w:rsidRPr="009D6AC9">
        <w:rPr>
          <w:sz w:val="22"/>
          <w:szCs w:val="22"/>
        </w:rPr>
        <w:t>, we</w:t>
      </w:r>
      <w:r w:rsidRPr="00A7044A">
        <w:rPr>
          <w:sz w:val="22"/>
          <w:szCs w:val="22"/>
        </w:rPr>
        <w:t xml:space="preserve"> have</w:t>
      </w:r>
      <w:r w:rsidRPr="009D6AC9">
        <w:rPr>
          <w:sz w:val="22"/>
          <w:szCs w:val="22"/>
        </w:rPr>
        <w:t xml:space="preserve"> argued that the entry deregulation reform, by promoting the departure of female employees, decreases the bargaining power of women as </w:t>
      </w:r>
      <w:r w:rsidRPr="00A7044A">
        <w:rPr>
          <w:sz w:val="22"/>
          <w:szCs w:val="22"/>
        </w:rPr>
        <w:t xml:space="preserve">a historical </w:t>
      </w:r>
      <w:r w:rsidRPr="009D6AC9">
        <w:rPr>
          <w:sz w:val="22"/>
          <w:szCs w:val="22"/>
        </w:rPr>
        <w:t>minority</w:t>
      </w:r>
      <w:r w:rsidRPr="00A7044A">
        <w:rPr>
          <w:sz w:val="22"/>
          <w:szCs w:val="22"/>
        </w:rPr>
        <w:t xml:space="preserve"> group</w:t>
      </w:r>
      <w:r w:rsidRPr="009D6AC9">
        <w:rPr>
          <w:sz w:val="22"/>
          <w:szCs w:val="22"/>
        </w:rPr>
        <w:t>. This might have detrimental effect</w:t>
      </w:r>
      <w:r>
        <w:rPr>
          <w:sz w:val="22"/>
          <w:szCs w:val="22"/>
        </w:rPr>
        <w:t>s on</w:t>
      </w:r>
      <w:r w:rsidRPr="009D6AC9">
        <w:rPr>
          <w:sz w:val="22"/>
          <w:szCs w:val="22"/>
        </w:rPr>
        <w:t xml:space="preserve"> </w:t>
      </w:r>
      <w:r>
        <w:rPr>
          <w:sz w:val="22"/>
          <w:szCs w:val="22"/>
        </w:rPr>
        <w:t>female promotion chances</w:t>
      </w:r>
      <w:r w:rsidRPr="009D6AC9">
        <w:rPr>
          <w:sz w:val="22"/>
          <w:szCs w:val="22"/>
        </w:rPr>
        <w:t xml:space="preserve"> to managerial positions</w:t>
      </w:r>
      <w:r>
        <w:rPr>
          <w:sz w:val="22"/>
          <w:szCs w:val="22"/>
        </w:rPr>
        <w:t>, following the reform</w:t>
      </w:r>
      <w:r w:rsidRPr="009D6AC9">
        <w:rPr>
          <w:sz w:val="22"/>
          <w:szCs w:val="22"/>
        </w:rPr>
        <w:t xml:space="preserve">. </w:t>
      </w:r>
      <w:r>
        <w:rPr>
          <w:sz w:val="22"/>
          <w:szCs w:val="22"/>
        </w:rPr>
        <w:t>F</w:t>
      </w:r>
      <w:r w:rsidRPr="009D6AC9">
        <w:rPr>
          <w:sz w:val="22"/>
          <w:szCs w:val="22"/>
        </w:rPr>
        <w:t xml:space="preserve">indings shown in Table 6 confirm this </w:t>
      </w:r>
      <w:r>
        <w:rPr>
          <w:sz w:val="22"/>
          <w:szCs w:val="22"/>
        </w:rPr>
        <w:t>prediction</w:t>
      </w:r>
      <w:r w:rsidRPr="009D6AC9">
        <w:rPr>
          <w:sz w:val="22"/>
          <w:szCs w:val="22"/>
        </w:rPr>
        <w:t xml:space="preserve">. </w:t>
      </w:r>
      <w:r w:rsidRPr="00A7044A">
        <w:rPr>
          <w:sz w:val="22"/>
          <w:szCs w:val="22"/>
        </w:rPr>
        <w:t>In general, w</w:t>
      </w:r>
      <w:r w:rsidRPr="009D6AC9">
        <w:rPr>
          <w:sz w:val="22"/>
          <w:szCs w:val="22"/>
        </w:rPr>
        <w:t>omen are less likely to be promoted to managerial position</w:t>
      </w:r>
      <w:r w:rsidRPr="00A7044A">
        <w:rPr>
          <w:sz w:val="22"/>
          <w:szCs w:val="22"/>
        </w:rPr>
        <w:t>s</w:t>
      </w:r>
      <w:r w:rsidRPr="009D6AC9">
        <w:rPr>
          <w:sz w:val="22"/>
          <w:szCs w:val="22"/>
        </w:rPr>
        <w:t xml:space="preserve"> (column 1), </w:t>
      </w:r>
      <w:r w:rsidRPr="00A7044A">
        <w:rPr>
          <w:sz w:val="22"/>
          <w:szCs w:val="22"/>
        </w:rPr>
        <w:t>and this gender</w:t>
      </w:r>
      <w:r w:rsidRPr="009D6AC9">
        <w:rPr>
          <w:sz w:val="22"/>
          <w:szCs w:val="22"/>
        </w:rPr>
        <w:t xml:space="preserve"> gap</w:t>
      </w:r>
      <w:r w:rsidRPr="00A7044A">
        <w:rPr>
          <w:sz w:val="22"/>
          <w:szCs w:val="22"/>
        </w:rPr>
        <w:t xml:space="preserve"> in promotion chances</w:t>
      </w:r>
      <w:r w:rsidRPr="009D6AC9">
        <w:rPr>
          <w:sz w:val="22"/>
          <w:szCs w:val="22"/>
        </w:rPr>
        <w:t xml:space="preserve"> is </w:t>
      </w:r>
      <w:r w:rsidRPr="00A7044A">
        <w:rPr>
          <w:sz w:val="22"/>
          <w:szCs w:val="22"/>
        </w:rPr>
        <w:t>amplified</w:t>
      </w:r>
      <w:r w:rsidRPr="009D6AC9">
        <w:rPr>
          <w:sz w:val="22"/>
          <w:szCs w:val="22"/>
        </w:rPr>
        <w:t xml:space="preserve"> </w:t>
      </w:r>
      <w:r w:rsidRPr="00A7044A">
        <w:rPr>
          <w:sz w:val="22"/>
          <w:szCs w:val="22"/>
        </w:rPr>
        <w:t>following the treatment</w:t>
      </w:r>
      <w:r w:rsidRPr="009D6AC9">
        <w:rPr>
          <w:sz w:val="22"/>
          <w:szCs w:val="22"/>
        </w:rPr>
        <w:t xml:space="preserve"> (columns 2-4)</w:t>
      </w:r>
      <w:r w:rsidRPr="00A7044A">
        <w:rPr>
          <w:sz w:val="22"/>
          <w:szCs w:val="22"/>
        </w:rPr>
        <w:t>, suggesting that chances for promotion further decline following the entry deregulation reform</w:t>
      </w:r>
      <w:r w:rsidRPr="009D6AC9">
        <w:rPr>
          <w:sz w:val="22"/>
          <w:szCs w:val="22"/>
        </w:rPr>
        <w:t>.</w:t>
      </w:r>
      <w:r>
        <w:rPr>
          <w:sz w:val="22"/>
          <w:szCs w:val="22"/>
        </w:rPr>
        <w:t xml:space="preserve"> These findings lend further support to our expectation that</w:t>
      </w:r>
      <w:r w:rsidRPr="0002554E">
        <w:rPr>
          <w:sz w:val="22"/>
          <w:szCs w:val="22"/>
        </w:rPr>
        <w:t xml:space="preserve"> decline</w:t>
      </w:r>
      <w:r>
        <w:rPr>
          <w:sz w:val="22"/>
          <w:szCs w:val="22"/>
        </w:rPr>
        <w:t>s</w:t>
      </w:r>
      <w:r w:rsidRPr="0002554E">
        <w:rPr>
          <w:sz w:val="22"/>
          <w:szCs w:val="22"/>
        </w:rPr>
        <w:t xml:space="preserve"> </w:t>
      </w:r>
      <w:r>
        <w:rPr>
          <w:sz w:val="22"/>
          <w:szCs w:val="22"/>
        </w:rPr>
        <w:t xml:space="preserve">in </w:t>
      </w:r>
      <w:r w:rsidRPr="0002554E">
        <w:rPr>
          <w:sz w:val="22"/>
          <w:szCs w:val="22"/>
        </w:rPr>
        <w:t>bargaining power</w:t>
      </w:r>
      <w:r>
        <w:rPr>
          <w:sz w:val="22"/>
          <w:szCs w:val="22"/>
        </w:rPr>
        <w:t xml:space="preserve"> or productivity</w:t>
      </w:r>
      <w:r w:rsidRPr="0002554E">
        <w:rPr>
          <w:sz w:val="22"/>
          <w:szCs w:val="22"/>
        </w:rPr>
        <w:t xml:space="preserve">, as manifested by lower promotion rates among female workers, </w:t>
      </w:r>
      <w:r>
        <w:rPr>
          <w:sz w:val="22"/>
          <w:szCs w:val="22"/>
        </w:rPr>
        <w:t>underlie the unintended effects of de-regulation reform</w:t>
      </w:r>
      <w:r w:rsidRPr="0002554E">
        <w:rPr>
          <w:sz w:val="22"/>
          <w:szCs w:val="22"/>
        </w:rPr>
        <w:t>.</w:t>
      </w:r>
      <w:r w:rsidRPr="00100B3D">
        <w:rPr>
          <w:rStyle w:val="FootnoteReference"/>
        </w:rPr>
        <w:footnoteReference w:id="7"/>
      </w:r>
      <w:r w:rsidRPr="0002554E">
        <w:rPr>
          <w:sz w:val="22"/>
          <w:szCs w:val="22"/>
        </w:rPr>
        <w:t xml:space="preserve"> </w:t>
      </w:r>
    </w:p>
    <w:p w14:paraId="289F2A7D" w14:textId="4DCD476C" w:rsidR="00D95F9F" w:rsidRPr="0002554E" w:rsidRDefault="00D95F9F" w:rsidP="00D95F9F">
      <w:pPr>
        <w:pStyle w:val="BodyTextIndent"/>
        <w:jc w:val="center"/>
      </w:pPr>
      <w:r w:rsidRPr="00903FD1">
        <w:t>Insert Table 6</w:t>
      </w:r>
      <w:r w:rsidRPr="0058683A">
        <w:t xml:space="preserve"> about here</w:t>
      </w:r>
    </w:p>
    <w:p w14:paraId="7D2DCB1B" w14:textId="77777777" w:rsidR="00D95F9F" w:rsidRPr="009D6AC9" w:rsidRDefault="00D95F9F" w:rsidP="00D95F9F">
      <w:pPr>
        <w:pStyle w:val="ListParagraph"/>
        <w:widowControl w:val="0"/>
        <w:autoSpaceDE w:val="0"/>
        <w:autoSpaceDN w:val="0"/>
        <w:adjustRightInd w:val="0"/>
        <w:spacing w:line="480" w:lineRule="auto"/>
        <w:ind w:left="0"/>
        <w:contextualSpacing w:val="0"/>
        <w:rPr>
          <w:rFonts w:ascii="Times New Roman" w:hAnsi="Times New Roman" w:cs="Times New Roman"/>
          <w:sz w:val="22"/>
          <w:szCs w:val="22"/>
        </w:rPr>
      </w:pPr>
      <w:r w:rsidRPr="0002554E">
        <w:rPr>
          <w:rFonts w:ascii="Times New Roman" w:eastAsia="Times New Roman" w:hAnsi="Times New Roman" w:cs="Times New Roman"/>
          <w:sz w:val="22"/>
          <w:szCs w:val="22"/>
        </w:rPr>
        <w:tab/>
      </w:r>
      <w:r>
        <w:rPr>
          <w:rFonts w:ascii="Times New Roman" w:eastAsia="Times New Roman" w:hAnsi="Times New Roman" w:cs="Times New Roman"/>
          <w:sz w:val="22"/>
          <w:szCs w:val="22"/>
        </w:rPr>
        <w:t xml:space="preserve">In additional analyses, </w:t>
      </w:r>
      <w:r>
        <w:rPr>
          <w:rFonts w:ascii="Times New Roman" w:hAnsi="Times New Roman" w:cs="Times New Roman"/>
          <w:sz w:val="22"/>
          <w:szCs w:val="22"/>
        </w:rPr>
        <w:t xml:space="preserve">we </w:t>
      </w:r>
      <w:r w:rsidRPr="0002554E">
        <w:rPr>
          <w:rFonts w:ascii="Times New Roman" w:hAnsi="Times New Roman" w:cs="Times New Roman"/>
          <w:sz w:val="22"/>
          <w:szCs w:val="22"/>
        </w:rPr>
        <w:t>further verify the possibility that the departure of female colleagues leads to a productivity</w:t>
      </w:r>
      <w:r w:rsidRPr="009D6AC9">
        <w:rPr>
          <w:rFonts w:ascii="Times New Roman" w:hAnsi="Times New Roman" w:cs="Times New Roman"/>
          <w:sz w:val="22"/>
          <w:szCs w:val="22"/>
        </w:rPr>
        <w:t xml:space="preserve"> decline among the remaining female workers</w:t>
      </w:r>
      <w:r>
        <w:rPr>
          <w:rFonts w:ascii="Times New Roman" w:hAnsi="Times New Roman" w:cs="Times New Roman"/>
          <w:sz w:val="22"/>
          <w:szCs w:val="22"/>
        </w:rPr>
        <w:t>,</w:t>
      </w:r>
      <w:r w:rsidRPr="009D6AC9">
        <w:rPr>
          <w:rFonts w:ascii="Times New Roman" w:hAnsi="Times New Roman" w:cs="Times New Roman"/>
          <w:sz w:val="22"/>
          <w:szCs w:val="22"/>
        </w:rPr>
        <w:t xml:space="preserve"> </w:t>
      </w:r>
      <w:r>
        <w:rPr>
          <w:rFonts w:ascii="Times New Roman" w:hAnsi="Times New Roman" w:cs="Times New Roman"/>
          <w:sz w:val="22"/>
          <w:szCs w:val="22"/>
        </w:rPr>
        <w:t>by</w:t>
      </w:r>
      <w:r w:rsidRPr="009D6AC9">
        <w:rPr>
          <w:rFonts w:ascii="Times New Roman" w:hAnsi="Times New Roman" w:cs="Times New Roman"/>
          <w:sz w:val="22"/>
          <w:szCs w:val="22"/>
        </w:rPr>
        <w:t xml:space="preserve"> examin</w:t>
      </w:r>
      <w:r>
        <w:rPr>
          <w:rFonts w:ascii="Times New Roman" w:hAnsi="Times New Roman" w:cs="Times New Roman"/>
          <w:sz w:val="22"/>
          <w:szCs w:val="22"/>
        </w:rPr>
        <w:t>ing</w:t>
      </w:r>
      <w:r w:rsidRPr="009D6AC9">
        <w:rPr>
          <w:rFonts w:ascii="Times New Roman" w:hAnsi="Times New Roman" w:cs="Times New Roman"/>
          <w:sz w:val="22"/>
          <w:szCs w:val="22"/>
        </w:rPr>
        <w:t xml:space="preserve"> the influence of our treatment on pay </w:t>
      </w:r>
      <w:r>
        <w:rPr>
          <w:rFonts w:ascii="Times New Roman" w:hAnsi="Times New Roman" w:cs="Times New Roman"/>
          <w:sz w:val="22"/>
          <w:szCs w:val="22"/>
        </w:rPr>
        <w:t xml:space="preserve">for </w:t>
      </w:r>
      <w:r w:rsidRPr="009D6AC9">
        <w:rPr>
          <w:rFonts w:ascii="Times New Roman" w:hAnsi="Times New Roman" w:cs="Times New Roman"/>
          <w:sz w:val="22"/>
          <w:szCs w:val="22"/>
        </w:rPr>
        <w:t xml:space="preserve">performance, or part of pay which is meant to incentivize productivity, and often includes stock options </w:t>
      </w:r>
      <w:r>
        <w:rPr>
          <w:rFonts w:ascii="Times New Roman" w:hAnsi="Times New Roman" w:cs="Times New Roman"/>
          <w:sz w:val="22"/>
          <w:szCs w:val="22"/>
        </w:rPr>
        <w:fldChar w:fldCharType="begin" w:fldLock="1"/>
      </w:r>
      <w:r>
        <w:rPr>
          <w:rFonts w:ascii="Times New Roman" w:hAnsi="Times New Roman" w:cs="Times New Roman"/>
          <w:sz w:val="22"/>
          <w:szCs w:val="22"/>
        </w:rPr>
        <w:instrText>ADDIN CSL_CITATION {"citationItems":[{"id":"ITEM-1","itemData":{"ISSN":"0022-1082","author":[{"dropping-particle":"","family":"Hartzell","given":"Jay C","non-dropping-particle":"","parse-names":false,"suffix":""},{"dropping-particle":"","family":"Starks","given":"Laura T","non-dropping-particle":"","parse-names":false,"suffix":""}],"container-title":"The journal of finance","id":"ITEM-1","issue":"6","issued":{"date-parts":[["2003"]]},"page":"2351-2374","publisher":"Wiley Online Library","title":"Institutional investors and executive compensation","type":"article-journal","volume":"58"},"uris":["http://www.mendeley.com/documents/?uuid=769fa953-0230-4d04-b051-312f939b8126"]}],"mendeley":{"formattedCitation":"(Hartzell and Starks, 2003)","manualFormatting":"(e.g., Hartzell and Starks, 2003)","plainTextFormattedCitation":"(Hartzell and Starks, 2003)","previouslyFormattedCitation":"(Hartzell and Starks, 2003)"},"properties":{"noteIndex":0},"schema":"https://github.com/citation-style-language/schema/raw/master/csl-citation.json"}</w:instrText>
      </w:r>
      <w:r>
        <w:rPr>
          <w:rFonts w:ascii="Times New Roman" w:hAnsi="Times New Roman" w:cs="Times New Roman"/>
          <w:sz w:val="22"/>
          <w:szCs w:val="22"/>
        </w:rPr>
        <w:fldChar w:fldCharType="separate"/>
      </w:r>
      <w:r w:rsidRPr="00905BB3">
        <w:rPr>
          <w:rFonts w:ascii="Times New Roman" w:hAnsi="Times New Roman" w:cs="Times New Roman"/>
          <w:noProof/>
          <w:sz w:val="22"/>
          <w:szCs w:val="22"/>
        </w:rPr>
        <w:t>(</w:t>
      </w:r>
      <w:r>
        <w:rPr>
          <w:rFonts w:ascii="Times New Roman" w:hAnsi="Times New Roman" w:cs="Times New Roman"/>
          <w:noProof/>
          <w:sz w:val="22"/>
          <w:szCs w:val="22"/>
        </w:rPr>
        <w:t xml:space="preserve">e.g., </w:t>
      </w:r>
      <w:r w:rsidRPr="00905BB3">
        <w:rPr>
          <w:rFonts w:ascii="Times New Roman" w:hAnsi="Times New Roman" w:cs="Times New Roman"/>
          <w:noProof/>
          <w:sz w:val="22"/>
          <w:szCs w:val="22"/>
        </w:rPr>
        <w:t>Hartzell and Starks, 2003)</w:t>
      </w:r>
      <w:r>
        <w:rPr>
          <w:rFonts w:ascii="Times New Roman" w:hAnsi="Times New Roman" w:cs="Times New Roman"/>
          <w:sz w:val="22"/>
          <w:szCs w:val="22"/>
        </w:rPr>
        <w:fldChar w:fldCharType="end"/>
      </w:r>
      <w:r w:rsidRPr="009D6AC9">
        <w:rPr>
          <w:rFonts w:ascii="Times New Roman" w:hAnsi="Times New Roman" w:cs="Times New Roman"/>
          <w:sz w:val="22"/>
          <w:szCs w:val="22"/>
        </w:rPr>
        <w:t>.</w:t>
      </w:r>
      <w:r w:rsidRPr="00100B3D">
        <w:rPr>
          <w:rStyle w:val="FootnoteReference"/>
        </w:rPr>
        <w:footnoteReference w:id="8"/>
      </w:r>
      <w:r w:rsidRPr="009D6AC9">
        <w:rPr>
          <w:rFonts w:ascii="Times New Roman" w:hAnsi="Times New Roman" w:cs="Times New Roman"/>
          <w:sz w:val="22"/>
          <w:szCs w:val="22"/>
        </w:rPr>
        <w:t xml:space="preserve"> When considering the effect on this incentive pay, the coefficient on the interaction term between the entry deregulation and the female dummy continues being negative and statistically significant across all model specifications (</w:t>
      </w:r>
      <w:r>
        <w:rPr>
          <w:rFonts w:ascii="Times New Roman" w:hAnsi="Times New Roman" w:cs="Times New Roman"/>
          <w:sz w:val="22"/>
          <w:szCs w:val="22"/>
        </w:rPr>
        <w:t>Appendix Table A4</w:t>
      </w:r>
      <w:r w:rsidRPr="009D6AC9">
        <w:rPr>
          <w:rFonts w:ascii="Times New Roman" w:hAnsi="Times New Roman" w:cs="Times New Roman"/>
          <w:sz w:val="22"/>
          <w:szCs w:val="22"/>
        </w:rPr>
        <w:t>). This suggests that pay for performance decreased among female workers, following treatment. We interpret this finding as direct evidence that female productivity most likely decreased, following the treatment, thus leading to drops in variable, performance-based compensation.</w:t>
      </w:r>
    </w:p>
    <w:p w14:paraId="60D5D8DF" w14:textId="77777777" w:rsidR="00D95F9F" w:rsidRPr="0058683A" w:rsidRDefault="00D95F9F" w:rsidP="00D95F9F">
      <w:pPr>
        <w:pStyle w:val="BodyText"/>
        <w:ind w:firstLine="720"/>
      </w:pPr>
      <w:r w:rsidRPr="0058683A">
        <w:t xml:space="preserve">As </w:t>
      </w:r>
      <w:r>
        <w:t xml:space="preserve">a </w:t>
      </w:r>
      <w:r w:rsidRPr="0058683A">
        <w:t xml:space="preserve">further test of </w:t>
      </w:r>
      <w:r>
        <w:t xml:space="preserve">our </w:t>
      </w:r>
      <w:r w:rsidRPr="0058683A">
        <w:t xml:space="preserve">mechanisms, we consider how the effect of the entry deregulation </w:t>
      </w:r>
      <w:r>
        <w:t>reform</w:t>
      </w:r>
      <w:r w:rsidRPr="0058683A">
        <w:t xml:space="preserve"> on the </w:t>
      </w:r>
      <w:r>
        <w:t>gender</w:t>
      </w:r>
      <w:r w:rsidRPr="0058683A">
        <w:t xml:space="preserve"> wage gap </w:t>
      </w:r>
      <w:r>
        <w:t>varies by</w:t>
      </w:r>
      <w:r w:rsidRPr="0058683A">
        <w:t xml:space="preserve"> industries and firm</w:t>
      </w:r>
      <w:r>
        <w:t xml:space="preserve"> attributes</w:t>
      </w:r>
      <w:r w:rsidRPr="0058683A">
        <w:t xml:space="preserve">. First, we argued that </w:t>
      </w:r>
      <w:r>
        <w:t>an increase in the probability of</w:t>
      </w:r>
      <w:r w:rsidRPr="0058683A">
        <w:t xml:space="preserve"> transition of female employees to entrepreneurship is detrimental to female employees </w:t>
      </w:r>
      <w:r>
        <w:t xml:space="preserve">who remain </w:t>
      </w:r>
      <w:r w:rsidRPr="0058683A">
        <w:t>attached to paid employment, for both representation and productivity reason</w:t>
      </w:r>
      <w:r>
        <w:t>s</w:t>
      </w:r>
      <w:r w:rsidRPr="0058683A">
        <w:t xml:space="preserve">. If so, </w:t>
      </w:r>
      <w:r>
        <w:t>then our effect will no longer hold for</w:t>
      </w:r>
      <w:r w:rsidRPr="0058683A">
        <w:t xml:space="preserve"> firms </w:t>
      </w:r>
      <w:r>
        <w:t>in which</w:t>
      </w:r>
      <w:r w:rsidRPr="0058683A">
        <w:t xml:space="preserve"> wage </w:t>
      </w:r>
      <w:r>
        <w:t xml:space="preserve">is less likely to reflect </w:t>
      </w:r>
      <w:r w:rsidRPr="0058683A">
        <w:t xml:space="preserve">minority representation </w:t>
      </w:r>
      <w:r>
        <w:t>and</w:t>
      </w:r>
      <w:r w:rsidRPr="0058683A">
        <w:t xml:space="preserve"> where employee productivity is not (or at least </w:t>
      </w:r>
      <w:r>
        <w:t xml:space="preserve">is </w:t>
      </w:r>
      <w:r w:rsidRPr="0058683A">
        <w:t>less of) a concern for managers.</w:t>
      </w:r>
      <w:r>
        <w:t xml:space="preserve"> To falsify our results, we focus on </w:t>
      </w:r>
      <w:r w:rsidRPr="0058683A">
        <w:t xml:space="preserve">state-owned enterprises. </w:t>
      </w:r>
      <w:r>
        <w:t>In state-owned firms, w</w:t>
      </w:r>
      <w:r w:rsidRPr="0058683A">
        <w:t xml:space="preserve">age is usually </w:t>
      </w:r>
      <w:r>
        <w:t xml:space="preserve">influenced </w:t>
      </w:r>
      <w:r w:rsidRPr="0058683A">
        <w:t>by the government</w:t>
      </w:r>
      <w:r>
        <w:t>,</w:t>
      </w:r>
      <w:r w:rsidRPr="0058683A">
        <w:t xml:space="preserve"> and there is limited room for managerial discretion</w:t>
      </w:r>
      <w:r>
        <w:t xml:space="preserve"> regarding wage setting</w:t>
      </w:r>
      <w:r w:rsidRPr="0058683A">
        <w:t xml:space="preserve">. </w:t>
      </w:r>
      <w:r>
        <w:t>Similarly</w:t>
      </w:r>
      <w:r w:rsidRPr="0058683A">
        <w:t>, state fir</w:t>
      </w:r>
      <w:r>
        <w:t>ms</w:t>
      </w:r>
      <w:r w:rsidRPr="0058683A">
        <w:t xml:space="preserve"> are economically supported by the state, such that market profitability is less of a concern. </w:t>
      </w:r>
      <w:r>
        <w:t>W</w:t>
      </w:r>
      <w:r w:rsidRPr="0058683A">
        <w:t xml:space="preserve">e measure </w:t>
      </w:r>
      <w:r>
        <w:t>firm state ownership</w:t>
      </w:r>
      <w:r w:rsidRPr="0058683A">
        <w:t xml:space="preserve"> in 2004</w:t>
      </w:r>
      <w:r>
        <w:t>,</w:t>
      </w:r>
      <w:r w:rsidRPr="0058683A">
        <w:t xml:space="preserve"> the year before the reform was approved.</w:t>
      </w:r>
      <w:r>
        <w:t xml:space="preserve"> Consistent with our predictions, w</w:t>
      </w:r>
      <w:r w:rsidRPr="0058683A">
        <w:t>e indeed find that the entry deregulation reform has a negative effect on</w:t>
      </w:r>
      <w:r>
        <w:t>ly on</w:t>
      </w:r>
      <w:r w:rsidRPr="0058683A">
        <w:t xml:space="preserve"> the wage</w:t>
      </w:r>
      <w:r>
        <w:t>s</w:t>
      </w:r>
      <w:r w:rsidRPr="0058683A">
        <w:t xml:space="preserve"> of female employees </w:t>
      </w:r>
      <w:r>
        <w:t xml:space="preserve">who </w:t>
      </w:r>
      <w:r w:rsidRPr="0058683A">
        <w:t>work in privately</w:t>
      </w:r>
      <w:r>
        <w:t xml:space="preserve"> </w:t>
      </w:r>
      <w:r w:rsidRPr="0058683A">
        <w:t>owned firms (</w:t>
      </w:r>
      <w:r>
        <w:t>Appendix Table A5</w:t>
      </w:r>
      <w:r w:rsidRPr="0058683A">
        <w:t>, columns 1</w:t>
      </w:r>
      <w:r>
        <w:t>–</w:t>
      </w:r>
      <w:r w:rsidRPr="0058683A">
        <w:t xml:space="preserve">4). </w:t>
      </w:r>
    </w:p>
    <w:p w14:paraId="06EDCBD7" w14:textId="77777777" w:rsidR="00D95F9F" w:rsidRDefault="00D95F9F" w:rsidP="00D95F9F">
      <w:pPr>
        <w:pStyle w:val="BodyTextIndent"/>
      </w:pPr>
      <w:r w:rsidRPr="0058683A">
        <w:t xml:space="preserve">Second, we examine whether the effect varies </w:t>
      </w:r>
      <w:r>
        <w:t>with the</w:t>
      </w:r>
      <w:r w:rsidRPr="0058683A">
        <w:t xml:space="preserve"> industry</w:t>
      </w:r>
      <w:r>
        <w:t>-level</w:t>
      </w:r>
      <w:r w:rsidRPr="0058683A">
        <w:t xml:space="preserve"> </w:t>
      </w:r>
      <w:r>
        <w:t xml:space="preserve">gender </w:t>
      </w:r>
      <w:r w:rsidRPr="0058683A">
        <w:t>pay</w:t>
      </w:r>
      <w:r>
        <w:t xml:space="preserve"> </w:t>
      </w:r>
      <w:r w:rsidRPr="0058683A">
        <w:t>gap</w:t>
      </w:r>
      <w:r>
        <w:t xml:space="preserve"> </w:t>
      </w:r>
      <w:r w:rsidRPr="0058683A">
        <w:t xml:space="preserve">– as measured </w:t>
      </w:r>
      <w:r>
        <w:t>by</w:t>
      </w:r>
      <w:r w:rsidRPr="0058683A">
        <w:t xml:space="preserve"> the difference between the </w:t>
      </w:r>
      <w:r>
        <w:t>median</w:t>
      </w:r>
      <w:r w:rsidRPr="0058683A">
        <w:t xml:space="preserve"> male and female salary in 2004, the year before the reform was approved. In industries with </w:t>
      </w:r>
      <w:r>
        <w:t xml:space="preserve">a </w:t>
      </w:r>
      <w:r w:rsidRPr="0058683A">
        <w:t>higher gender pay</w:t>
      </w:r>
      <w:r>
        <w:t xml:space="preserve"> </w:t>
      </w:r>
      <w:r w:rsidRPr="0058683A">
        <w:t xml:space="preserve">gap, women might face </w:t>
      </w:r>
      <w:r>
        <w:t>the challenge</w:t>
      </w:r>
      <w:r w:rsidRPr="0058683A">
        <w:t xml:space="preserve"> </w:t>
      </w:r>
      <w:r>
        <w:t xml:space="preserve">of </w:t>
      </w:r>
      <w:r w:rsidRPr="0058683A">
        <w:t xml:space="preserve">lower representation or lower productivity; hence, we expect the negative effect on female wage due to the entry deregulation reform to be particularly salient in this context. </w:t>
      </w:r>
      <w:r>
        <w:t>Appendix Table A6</w:t>
      </w:r>
      <w:r w:rsidRPr="0058683A">
        <w:t xml:space="preserve"> shows that the effect of the “On the Spot Firm” </w:t>
      </w:r>
      <w:r>
        <w:t>reform</w:t>
      </w:r>
      <w:r w:rsidRPr="0058683A">
        <w:t xml:space="preserve"> is amplified in industries where the (ex-ante) pay gap between men and women is wider. Specifically, the effect of entry deregulation widens the gender pay</w:t>
      </w:r>
      <w:r>
        <w:t xml:space="preserve"> </w:t>
      </w:r>
      <w:r w:rsidRPr="0058683A">
        <w:t>gap</w:t>
      </w:r>
      <w:r>
        <w:t>,</w:t>
      </w:r>
      <w:r w:rsidRPr="0058683A">
        <w:t xml:space="preserve"> especially in industries where women have a lower standing to begin with. </w:t>
      </w:r>
    </w:p>
    <w:p w14:paraId="6BB1AF00" w14:textId="5739CCA8" w:rsidR="00D95F9F" w:rsidRPr="00903FD1" w:rsidRDefault="00D95F9F" w:rsidP="00D95F9F">
      <w:pPr>
        <w:pStyle w:val="BodyTextIndent"/>
      </w:pPr>
      <w:r>
        <w:t xml:space="preserve">To </w:t>
      </w:r>
      <w:r w:rsidRPr="00903FD1">
        <w:t xml:space="preserve">the extent that women are more sensitive to our treatment, our results should </w:t>
      </w:r>
      <w:r>
        <w:t xml:space="preserve">further </w:t>
      </w:r>
      <w:r w:rsidRPr="00903FD1">
        <w:t xml:space="preserve">be amplified in </w:t>
      </w:r>
      <w:r>
        <w:t xml:space="preserve">female-typed </w:t>
      </w:r>
      <w:r w:rsidRPr="00903FD1">
        <w:t xml:space="preserve">industries </w:t>
      </w:r>
      <w:r>
        <w:t>or industries where women are more highly represented</w:t>
      </w:r>
      <w:r w:rsidRPr="00903FD1">
        <w:t xml:space="preserve">. </w:t>
      </w:r>
      <w:r>
        <w:t>To assess this claim, w</w:t>
      </w:r>
      <w:r w:rsidRPr="00903FD1">
        <w:t xml:space="preserve">e compute the proportion of female employees within a given industry in 2004 (i.e., the year before the deregulation was approved to avoid any endogeneity issue) to measure whether an industry is more female-typed. </w:t>
      </w:r>
      <w:r>
        <w:t xml:space="preserve">As expected, </w:t>
      </w:r>
      <w:r w:rsidRPr="00772188">
        <w:t>w</w:t>
      </w:r>
      <w:r w:rsidRPr="00903FD1">
        <w:t>e find that, after the entry deregulation reform</w:t>
      </w:r>
      <w:r>
        <w:t>,</w:t>
      </w:r>
      <w:r w:rsidRPr="00903FD1">
        <w:t xml:space="preserve"> women are more likely to found a firm when working in traditionally female-typed industries, in which female workers are more highly represented </w:t>
      </w:r>
      <w:r w:rsidRPr="0069479F">
        <w:t>(</w:t>
      </w:r>
      <w:r>
        <w:t xml:space="preserve">Appendix Table A7) and that, precisely in these industries, </w:t>
      </w:r>
      <w:r w:rsidRPr="00903FD1">
        <w:t>the negative effect of the entry deregulation reform on the wage of female employees</w:t>
      </w:r>
      <w:r>
        <w:t xml:space="preserve"> is </w:t>
      </w:r>
      <w:r w:rsidRPr="00903FD1">
        <w:t>also stronger – consistent with the main mechanism being the departure of female colleagues</w:t>
      </w:r>
      <w:r>
        <w:t xml:space="preserve"> (Appendix </w:t>
      </w:r>
      <w:r w:rsidRPr="00903FD1">
        <w:t>Table</w:t>
      </w:r>
      <w:r>
        <w:t xml:space="preserve"> A8)</w:t>
      </w:r>
      <w:r w:rsidRPr="00903FD1">
        <w:t xml:space="preserve">. </w:t>
      </w:r>
    </w:p>
    <w:p w14:paraId="27A8E47D" w14:textId="212333E6" w:rsidR="00D95F9F" w:rsidRPr="002D1B05" w:rsidRDefault="00D95F9F" w:rsidP="002A017B">
      <w:pPr>
        <w:pStyle w:val="BodyTextIndent"/>
      </w:pPr>
      <w:r>
        <w:t xml:space="preserve">Finally, our theory pertains to entrepreneurship rather than to self-employment, as we consider ventures with at least one employee </w:t>
      </w:r>
      <w:r>
        <w:fldChar w:fldCharType="begin" w:fldLock="1"/>
      </w:r>
      <w:r>
        <w:instrText>ADDIN CSL_CITATION {"citationItems":[{"id":"ITEM-1","itemData":{"author":[{"dropping-particle":"","family":"Levine","given":"Ross","non-dropping-particle":"","parse-names":false,"suffix":""},{"dropping-particle":"","family":"Rubinstein","given":"Yona","non-dropping-particle":"","parse-names":false,"suffix":""}],"container-title":"Available at SSRN 2314667","id":"ITEM-1","issued":{"date-parts":[["2013"]]},"title":"Smart and illicit: Who becomes an entrepreneur and does it pay?","type":"article-journal"},"uris":["http://www.mendeley.com/documents/?uuid=4a630dc9-f78d-44e4-8047-553106badb8d"]}],"mendeley":{"formattedCitation":"(Levine and Rubinstein, 2013)","manualFormatting":"(e.g., Levine and Rubinstein, 2013)","plainTextFormattedCitation":"(Levine and Rubinstein, 2013)"},"properties":{"noteIndex":0},"schema":"https://github.com/citation-style-language/schema/raw/master/csl-citation.json"}</w:instrText>
      </w:r>
      <w:r>
        <w:fldChar w:fldCharType="separate"/>
      </w:r>
      <w:r w:rsidRPr="00D36933">
        <w:rPr>
          <w:noProof/>
        </w:rPr>
        <w:t>(</w:t>
      </w:r>
      <w:r>
        <w:rPr>
          <w:noProof/>
        </w:rPr>
        <w:t xml:space="preserve">e.g., </w:t>
      </w:r>
      <w:r w:rsidRPr="00D36933">
        <w:rPr>
          <w:noProof/>
        </w:rPr>
        <w:t>Levine and Rubinstein, 2013)</w:t>
      </w:r>
      <w:r>
        <w:fldChar w:fldCharType="end"/>
      </w:r>
      <w:r>
        <w:t>. However, as robustness check, we rerun our analyses on entrepreneurship including only startups with at least five employees (Appendix Table A9</w:t>
      </w:r>
      <w:r w:rsidRPr="002D1B05">
        <w:t>)</w:t>
      </w:r>
      <w:r>
        <w:t>.</w:t>
      </w:r>
      <w:r w:rsidRPr="00692EB2">
        <w:rPr>
          <w:color w:val="000000"/>
        </w:rPr>
        <w:t xml:space="preserve"> </w:t>
      </w:r>
      <w:r w:rsidRPr="002D1B05">
        <w:t>The results are quantitatively and qualitatively similar</w:t>
      </w:r>
      <w:r>
        <w:t xml:space="preserve"> to our main findings</w:t>
      </w:r>
      <w:r w:rsidRPr="002D1B05">
        <w:t xml:space="preserve">. </w:t>
      </w:r>
    </w:p>
    <w:p w14:paraId="15525459" w14:textId="53E748B3" w:rsidR="00D95F9F" w:rsidRPr="00A910EB" w:rsidRDefault="00D95F9F" w:rsidP="00D95F9F">
      <w:pPr>
        <w:pStyle w:val="BodyTextIndent"/>
        <w:ind w:firstLine="0"/>
        <w:rPr>
          <w:b/>
        </w:rPr>
      </w:pPr>
      <w:r w:rsidRPr="00A910EB">
        <w:rPr>
          <w:b/>
        </w:rPr>
        <w:t>Alternative Explanations</w:t>
      </w:r>
    </w:p>
    <w:p w14:paraId="127A9202" w14:textId="77777777" w:rsidR="00D95F9F" w:rsidRPr="0058683A" w:rsidRDefault="00D95F9F" w:rsidP="00D95F9F">
      <w:pPr>
        <w:pStyle w:val="BodyText"/>
      </w:pPr>
      <w:r w:rsidRPr="0058683A">
        <w:t>Our entry deregulation shock might affect the female</w:t>
      </w:r>
      <w:r>
        <w:t>–</w:t>
      </w:r>
      <w:r w:rsidRPr="0058683A">
        <w:t xml:space="preserve">male wage gap through other mechanisms. </w:t>
      </w:r>
      <w:r>
        <w:t xml:space="preserve">A number of </w:t>
      </w:r>
      <w:r w:rsidRPr="0058683A">
        <w:t xml:space="preserve">alternative explanations for our findings have already been ruled out by our controls and </w:t>
      </w:r>
      <w:r>
        <w:t xml:space="preserve">additional </w:t>
      </w:r>
      <w:r w:rsidRPr="0058683A">
        <w:t xml:space="preserve">empirical tests. For </w:t>
      </w:r>
      <w:r>
        <w:t>example</w:t>
      </w:r>
      <w:r w:rsidRPr="0058683A">
        <w:t>, to the extent that the deregulation reform might have induced exit amon</w:t>
      </w:r>
      <w:r>
        <w:t>g</w:t>
      </w:r>
      <w:r w:rsidRPr="0058683A">
        <w:t xml:space="preserve"> high-human</w:t>
      </w:r>
      <w:r>
        <w:t>-</w:t>
      </w:r>
      <w:r w:rsidRPr="0058683A">
        <w:t>capital women, we rule out this explanation by including individual</w:t>
      </w:r>
      <w:r>
        <w:t xml:space="preserve"> </w:t>
      </w:r>
      <w:r w:rsidRPr="0058683A">
        <w:t>fixed effects as well as employee</w:t>
      </w:r>
      <w:r>
        <w:t>–</w:t>
      </w:r>
      <w:r w:rsidRPr="0058683A">
        <w:t>employer pair</w:t>
      </w:r>
      <w:r>
        <w:t xml:space="preserve"> </w:t>
      </w:r>
      <w:r w:rsidRPr="0058683A">
        <w:t xml:space="preserve">fixed effects. In what follows below, we consider the remaining alternative explanations. </w:t>
      </w:r>
    </w:p>
    <w:p w14:paraId="034008A2" w14:textId="61CD1DF4" w:rsidR="00D95F9F" w:rsidRDefault="00D95F9F" w:rsidP="00D95F9F">
      <w:pPr>
        <w:pStyle w:val="BodyTextIndent"/>
        <w:rPr>
          <w:i/>
        </w:rPr>
      </w:pPr>
      <w:r w:rsidRPr="0058683A">
        <w:rPr>
          <w:i/>
        </w:rPr>
        <w:t xml:space="preserve">Mobility </w:t>
      </w:r>
      <w:r>
        <w:rPr>
          <w:i/>
        </w:rPr>
        <w:t>Threat</w:t>
      </w:r>
      <w:r w:rsidRPr="0058683A">
        <w:rPr>
          <w:i/>
        </w:rPr>
        <w:t>.</w:t>
      </w:r>
      <w:r w:rsidRPr="0058683A">
        <w:rPr>
          <w:b/>
        </w:rPr>
        <w:t xml:space="preserve"> </w:t>
      </w:r>
      <w:r w:rsidRPr="0058683A">
        <w:t xml:space="preserve">Our argument suggests that an increase in gender pay gap results from disproportionate mobility among female workers into entrepreneurship, following the </w:t>
      </w:r>
      <w:r>
        <w:t xml:space="preserve">enactment of the </w:t>
      </w:r>
      <w:r w:rsidRPr="0058683A">
        <w:t xml:space="preserve">deregulation reform. However, another possibility might be that our findings </w:t>
      </w:r>
      <w:r>
        <w:t xml:space="preserve">simply </w:t>
      </w:r>
      <w:r w:rsidRPr="0058683A">
        <w:t xml:space="preserve">reflect a firm’s response to an increase in the </w:t>
      </w:r>
      <w:r w:rsidRPr="0058683A">
        <w:rPr>
          <w:i/>
        </w:rPr>
        <w:t xml:space="preserve">potential </w:t>
      </w:r>
      <w:r>
        <w:t>threat</w:t>
      </w:r>
      <w:r w:rsidRPr="0058683A">
        <w:t xml:space="preserve"> of female workers’ mobility determined by </w:t>
      </w:r>
      <w:r>
        <w:t>this institutional change</w:t>
      </w:r>
      <w:r w:rsidRPr="0058683A">
        <w:t xml:space="preserve">. Indeed, firms tend </w:t>
      </w:r>
      <w:r>
        <w:t>to</w:t>
      </w:r>
      <w:r w:rsidRPr="0058683A">
        <w:t xml:space="preserve"> strategically counteract the risk of workers’ mobility </w:t>
      </w:r>
      <w:r w:rsidRPr="0058683A">
        <w:fldChar w:fldCharType="begin" w:fldLock="1"/>
      </w:r>
      <w:r>
        <w:instrText>ADDIN CSL_CITATION {"citationItems":[{"id":"ITEM-1","itemData":{"DOI":"10.1002/smj","ISSN":"1097-0266","author":[{"dropping-particle":"","family":"Conti","given":"Raffaele","non-dropping-particle":"","parse-names":false,"suffix":""}],"container-title":"Strategic Management Journal","id":"ITEM-1","issue":"8","issued":{"date-parts":[["2014"]]},"page":"1230-1248","publisher":"Wiley Online Library","title":"Do non-competition agreements lead firms to pursue risky R&amp;D projects?","type":"article-journal","volume":"35"},"uris":["http://www.mendeley.com/documents/?uuid=54dbf5fa-8bb7-4a6a-b42d-316cce51d701"]}],"mendeley":{"formattedCitation":"(Conti, 2014)","manualFormatting":"(e.g., Conti 2014)","plainTextFormattedCitation":"(Conti, 2014)","previouslyFormattedCitation":"(Conti, 2014)"},"properties":{"noteIndex":0},"schema":"https://github.com/citation-style-language/schema/raw/master/csl-citation.json"}</w:instrText>
      </w:r>
      <w:r w:rsidRPr="0058683A">
        <w:fldChar w:fldCharType="separate"/>
      </w:r>
      <w:r w:rsidRPr="0058683A">
        <w:rPr>
          <w:noProof/>
        </w:rPr>
        <w:t>(e.g., Conti 2014</w:t>
      </w:r>
      <w:r>
        <w:rPr>
          <w:noProof/>
        </w:rPr>
        <w:t>; Castellaneta et al., 2016</w:t>
      </w:r>
      <w:r w:rsidRPr="0058683A">
        <w:rPr>
          <w:noProof/>
        </w:rPr>
        <w:t>)</w:t>
      </w:r>
      <w:r w:rsidRPr="0058683A">
        <w:fldChar w:fldCharType="end"/>
      </w:r>
      <w:r>
        <w:t xml:space="preserve">: in particular, following the regulatory reform, </w:t>
      </w:r>
      <w:r w:rsidR="009C1B65">
        <w:t xml:space="preserve">firms </w:t>
      </w:r>
      <w:r>
        <w:t xml:space="preserve">might </w:t>
      </w:r>
      <w:r w:rsidRPr="0058683A">
        <w:t xml:space="preserve">invest less in the training of female employees </w:t>
      </w:r>
      <w:r>
        <w:t xml:space="preserve">– who </w:t>
      </w:r>
      <w:r w:rsidRPr="0058683A">
        <w:t>are more likely to leave</w:t>
      </w:r>
      <w:r>
        <w:t xml:space="preserve"> to entrepreneurship</w:t>
      </w:r>
      <w:r w:rsidRPr="0058683A">
        <w:t>. This would naturally decrease the salary of female employees</w:t>
      </w:r>
      <w:r w:rsidR="00681FAE">
        <w:t>,</w:t>
      </w:r>
      <w:r w:rsidRPr="0058683A">
        <w:t xml:space="preserve"> compared </w:t>
      </w:r>
      <w:r>
        <w:t>with</w:t>
      </w:r>
      <w:r w:rsidRPr="0058683A">
        <w:t xml:space="preserve"> their male counterparts. If this explanation is </w:t>
      </w:r>
      <w:r>
        <w:t>valid</w:t>
      </w:r>
      <w:r w:rsidRPr="0058683A">
        <w:t>, the entry deregulation reform (by determining a general increase in the potential female</w:t>
      </w:r>
      <w:r>
        <w:t>-</w:t>
      </w:r>
      <w:r w:rsidRPr="0058683A">
        <w:t xml:space="preserve">employee risk of mobility) should </w:t>
      </w:r>
      <w:r>
        <w:t xml:space="preserve">lead to a </w:t>
      </w:r>
      <w:r w:rsidRPr="0058683A">
        <w:t xml:space="preserve">decrease </w:t>
      </w:r>
      <w:r>
        <w:t xml:space="preserve">in </w:t>
      </w:r>
      <w:r w:rsidRPr="0058683A">
        <w:t>the salary of female employees in all firms – even th</w:t>
      </w:r>
      <w:r>
        <w:t>os</w:t>
      </w:r>
      <w:r w:rsidRPr="0058683A">
        <w:t xml:space="preserve">e not experiencing any exit of female employees. To assess this possibility, in </w:t>
      </w:r>
      <w:r>
        <w:t>Appendix Table A10</w:t>
      </w:r>
      <w:r w:rsidRPr="0058683A">
        <w:t xml:space="preserve">, we re-estimate the baseline specifications while interacting the entry deregulation reform with a dummy variable equal to </w:t>
      </w:r>
      <w:r>
        <w:t>“1”</w:t>
      </w:r>
      <w:r w:rsidRPr="0058683A">
        <w:t xml:space="preserve"> for firms with no </w:t>
      </w:r>
      <w:r>
        <w:t xml:space="preserve">female </w:t>
      </w:r>
      <w:r w:rsidRPr="0058683A">
        <w:t xml:space="preserve">workers </w:t>
      </w:r>
      <w:r>
        <w:t>leaving the firm</w:t>
      </w:r>
      <w:r w:rsidRPr="0058683A">
        <w:t xml:space="preserve"> </w:t>
      </w:r>
      <w:r w:rsidRPr="0058683A">
        <w:rPr>
          <w:i/>
        </w:rPr>
        <w:t>following</w:t>
      </w:r>
      <w:r w:rsidRPr="0058683A">
        <w:t xml:space="preserve"> the deregulation reform. As can be seen, the negative effect is present only in the subsample of firms that experienced</w:t>
      </w:r>
      <w:r>
        <w:t xml:space="preserve"> female employee</w:t>
      </w:r>
      <w:r w:rsidRPr="0058683A">
        <w:t xml:space="preserve"> attrition</w:t>
      </w:r>
      <w:r>
        <w:t>,</w:t>
      </w:r>
      <w:r w:rsidRPr="0058683A">
        <w:t xml:space="preserve"> </w:t>
      </w:r>
      <w:r>
        <w:t>once the</w:t>
      </w:r>
      <w:r w:rsidRPr="0058683A">
        <w:t xml:space="preserve"> deregulation law</w:t>
      </w:r>
      <w:r>
        <w:t xml:space="preserve"> has been enacted</w:t>
      </w:r>
      <w:r w:rsidRPr="0058683A">
        <w:t xml:space="preserve">. Conversely, amongst companies that experienced no </w:t>
      </w:r>
      <w:r>
        <w:t xml:space="preserve">female employee </w:t>
      </w:r>
      <w:r w:rsidRPr="0058683A">
        <w:t xml:space="preserve">attrition, the effect is </w:t>
      </w:r>
      <w:r>
        <w:t xml:space="preserve">either </w:t>
      </w:r>
      <w:r w:rsidRPr="0058683A">
        <w:t>not</w:t>
      </w:r>
      <w:r>
        <w:t xml:space="preserve"> </w:t>
      </w:r>
      <w:r w:rsidRPr="0058683A">
        <w:t>statistically significant or slightly positive – possibly because the mobility</w:t>
      </w:r>
      <w:r>
        <w:t xml:space="preserve"> threat</w:t>
      </w:r>
      <w:r w:rsidRPr="0058683A">
        <w:t xml:space="preserve"> increases the bargaining power of female employees. </w:t>
      </w:r>
    </w:p>
    <w:p w14:paraId="4A97E147" w14:textId="74FA20DC" w:rsidR="00D95F9F" w:rsidRPr="006647B2" w:rsidRDefault="00D95F9F" w:rsidP="00D95F9F">
      <w:pPr>
        <w:pStyle w:val="BodyTextIndent"/>
      </w:pPr>
      <w:r>
        <w:rPr>
          <w:i/>
        </w:rPr>
        <w:t>W</w:t>
      </w:r>
      <w:r w:rsidRPr="005D2250">
        <w:rPr>
          <w:i/>
        </w:rPr>
        <w:t>ork-life balance</w:t>
      </w:r>
      <w:r>
        <w:t xml:space="preserve">. </w:t>
      </w:r>
      <w:r w:rsidRPr="005D2250">
        <w:t>A</w:t>
      </w:r>
      <w:r>
        <w:t>nother</w:t>
      </w:r>
      <w:r w:rsidRPr="005D2250">
        <w:t xml:space="preserve"> concern is that our </w:t>
      </w:r>
      <w:r>
        <w:t xml:space="preserve">results of entry might be driven by different preferences of female vs. male employees regarding work-life balance. </w:t>
      </w:r>
      <w:r w:rsidR="00681FAE">
        <w:t>W</w:t>
      </w:r>
      <w:r>
        <w:t xml:space="preserve">omen might attend to family responsibilities more than men, and thus be more likely to transition into entrepreneurship after the reform, aspiring to achieve greater work-life balance (e.g., Thebaud, 2015). </w:t>
      </w:r>
      <w:r w:rsidRPr="005D2250">
        <w:t>F</w:t>
      </w:r>
      <w:r w:rsidRPr="00B00A37">
        <w:t xml:space="preserve">rom the theoretical standpoint, work-life concerns are most frequently a trigger of self-employment </w:t>
      </w:r>
      <w:r>
        <w:t xml:space="preserve">because lower work-life conflict is typically associated with being self-employed rather than running a formal, commitment-demanding venture </w:t>
      </w:r>
      <w:r>
        <w:fldChar w:fldCharType="begin" w:fldLock="1"/>
      </w:r>
      <w:r>
        <w:instrText>ADDIN CSL_CITATION {"citationItems":[{"id":"ITEM-1","itemData":{"author":[{"dropping-particle":"","family":"Yang","given":"T.","non-dropping-particle":"","parse-names":false,"suffix":""},{"dropping-particle":"","family":"Kacperczyk","given":"A.","non-dropping-particle":"","parse-names":false,"suffix":""},{"dropping-particle":"","family":"Naldi","given":"L.","non-dropping-particle":"","parse-names":false,"suffix":""}],"id":"ITEM-1","issued":{"date-parts":[["2019"]]},"title":"Career Antecedents of Female Entrepreneurship","type":"report"},"uris":["http://www.mendeley.com/documents/?uuid=157c7295-d31d-45fd-b6e2-265ff35a9f8c"]}],"mendeley":{"formattedCitation":"(Yang, Kacperczyk, and Naldi, 2019)","plainTextFormattedCitation":"(Yang, Kacperczyk, and Naldi, 2019)","previouslyFormattedCitation":"(Yang, Kacperczyk, and Naldi, 2019)"},"properties":{"noteIndex":0},"schema":"https://github.com/citation-style-language/schema/raw/master/csl-citation.json"}</w:instrText>
      </w:r>
      <w:r>
        <w:fldChar w:fldCharType="separate"/>
      </w:r>
      <w:r w:rsidRPr="00093082">
        <w:rPr>
          <w:noProof/>
        </w:rPr>
        <w:t>(Yang, Kacperczyk, and Naldi, 2019)</w:t>
      </w:r>
      <w:r>
        <w:fldChar w:fldCharType="end"/>
      </w:r>
      <w:r w:rsidRPr="00B00A37">
        <w:t xml:space="preserve">. </w:t>
      </w:r>
      <w:r>
        <w:t xml:space="preserve">However, </w:t>
      </w:r>
      <w:r w:rsidRPr="00B00A37">
        <w:t>in our data, transition into self-employment is censored</w:t>
      </w:r>
      <w:r>
        <w:t xml:space="preserve"> and therefore our results are less likely to reflect work-life balance differences between women and men</w:t>
      </w:r>
      <w:r w:rsidRPr="00B00A37">
        <w:t xml:space="preserve">. </w:t>
      </w:r>
      <w:r>
        <w:t xml:space="preserve">Nevertheless, we </w:t>
      </w:r>
      <w:r w:rsidRPr="00B00A37">
        <w:t xml:space="preserve">conduct additional analyses to investigate this possibility empirically. </w:t>
      </w:r>
      <w:r w:rsidR="00681FAE">
        <w:t>In</w:t>
      </w:r>
      <w:r w:rsidRPr="00B00A37">
        <w:t xml:space="preserve"> our s</w:t>
      </w:r>
      <w:r>
        <w:t>upplemental analyses (seen</w:t>
      </w:r>
      <w:r w:rsidRPr="00B00A37">
        <w:t xml:space="preserve"> in </w:t>
      </w:r>
      <w:r>
        <w:t xml:space="preserve">Appendix </w:t>
      </w:r>
      <w:r w:rsidRPr="00B00A37">
        <w:t xml:space="preserve">Table </w:t>
      </w:r>
      <w:r>
        <w:t>A11</w:t>
      </w:r>
      <w:r w:rsidRPr="00B00A37">
        <w:t xml:space="preserve">), we split the sample into women older and younger than 45, considered to be the fertility age. As can be seen, these analyses reveal that the results still hold for women older than 45, or those above their fertility age – suggesting that our estimates are not driven by women who are younger. Hence, both </w:t>
      </w:r>
      <w:r w:rsidRPr="006647B2">
        <w:t xml:space="preserve">younger and older women are </w:t>
      </w:r>
      <w:r>
        <w:t xml:space="preserve">equally </w:t>
      </w:r>
      <w:r w:rsidRPr="006647B2">
        <w:t>sensitive to the treatment effect.</w:t>
      </w:r>
    </w:p>
    <w:p w14:paraId="01FF915D" w14:textId="5F54918D" w:rsidR="00D95F9F" w:rsidRDefault="00D95F9F" w:rsidP="00A43CB6">
      <w:pPr>
        <w:pStyle w:val="BodyTextIndent"/>
      </w:pPr>
      <w:r w:rsidRPr="006647B2">
        <w:rPr>
          <w:i/>
        </w:rPr>
        <w:t>Endogeneity of the shock.</w:t>
      </w:r>
      <w:r w:rsidRPr="006647B2">
        <w:t xml:space="preserve"> Our identification strate</w:t>
      </w:r>
      <w:r w:rsidRPr="0058683A">
        <w:t xml:space="preserve">gy assumes that the enactment of the entry deregulation law is exogenous with respect to entrepreneurial activity and wage level in the municipality. However, despite our diff-in-diff approach, one might </w:t>
      </w:r>
      <w:r>
        <w:t xml:space="preserve">still </w:t>
      </w:r>
      <w:r w:rsidRPr="0058683A">
        <w:t xml:space="preserve">argue that the timing of </w:t>
      </w:r>
      <w:r>
        <w:t xml:space="preserve">the </w:t>
      </w:r>
      <w:r w:rsidRPr="0058683A">
        <w:t>enactment of the entry</w:t>
      </w:r>
      <w:r>
        <w:t xml:space="preserve"> </w:t>
      </w:r>
      <w:r w:rsidRPr="0058683A">
        <w:t xml:space="preserve">deregulation reform </w:t>
      </w:r>
      <w:r>
        <w:t>is</w:t>
      </w:r>
      <w:r w:rsidRPr="0058683A">
        <w:t xml:space="preserve"> endogenous with respect to some variables (e.g., local social conservatism). </w:t>
      </w:r>
      <w:r>
        <w:t>Although p</w:t>
      </w:r>
      <w:r w:rsidRPr="0058683A">
        <w:t xml:space="preserve">revious studies </w:t>
      </w:r>
      <w:r>
        <w:t xml:space="preserve">consider </w:t>
      </w:r>
      <w:r w:rsidRPr="0058683A">
        <w:t xml:space="preserve">the timing of the enactment to </w:t>
      </w:r>
      <w:r>
        <w:t>be un</w:t>
      </w:r>
      <w:r w:rsidRPr="0058683A">
        <w:t>correlated with the economic and social characteristics of the municipalities (e.g., Branstetter et al. 2014)</w:t>
      </w:r>
      <w:r>
        <w:t xml:space="preserve">, we nevertheless examine whether </w:t>
      </w:r>
      <w:r w:rsidRPr="0058683A">
        <w:t xml:space="preserve">this is the case, </w:t>
      </w:r>
      <w:r>
        <w:t>by</w:t>
      </w:r>
      <w:r w:rsidRPr="0058683A">
        <w:t xml:space="preserve"> estimat</w:t>
      </w:r>
      <w:r>
        <w:t>ing</w:t>
      </w:r>
      <w:r w:rsidRPr="0058683A">
        <w:t xml:space="preserve"> a linear probability model to predict the timing of the law enactment. The dependent variable is equal to </w:t>
      </w:r>
      <w:r>
        <w:t>“</w:t>
      </w:r>
      <w:r w:rsidRPr="0058683A">
        <w:t>1</w:t>
      </w:r>
      <w:r>
        <w:t>”</w:t>
      </w:r>
      <w:r w:rsidRPr="0058683A">
        <w:t xml:space="preserve"> in the year of the enactment in a given municipality</w:t>
      </w:r>
      <w:r>
        <w:t>,</w:t>
      </w:r>
      <w:r w:rsidRPr="0058683A">
        <w:t xml:space="preserve"> and </w:t>
      </w:r>
      <w:r>
        <w:t>“0”</w:t>
      </w:r>
      <w:r w:rsidRPr="0058683A">
        <w:t xml:space="preserve"> otherwise.</w:t>
      </w:r>
      <w:r>
        <w:t xml:space="preserve"> For any </w:t>
      </w:r>
      <w:r w:rsidR="004358A2">
        <w:t>municipality</w:t>
      </w:r>
      <w:r>
        <w:t xml:space="preserve">-year observation, we compute the following </w:t>
      </w:r>
      <w:r w:rsidRPr="0058683A">
        <w:t>independent variables</w:t>
      </w:r>
      <w:r>
        <w:t xml:space="preserve"> at year t-1:</w:t>
      </w:r>
      <w:r w:rsidRPr="0058683A">
        <w:t xml:space="preserve"> municipality entry</w:t>
      </w:r>
      <w:r>
        <w:t xml:space="preserve"> </w:t>
      </w:r>
      <w:r w:rsidRPr="0058683A">
        <w:t>rate</w:t>
      </w:r>
      <w:r>
        <w:t xml:space="preserve"> (i.e., the ratio between new firms and total firms);</w:t>
      </w:r>
      <w:r w:rsidRPr="0058683A">
        <w:t xml:space="preserve"> the difference in entry rate between male and female employees</w:t>
      </w:r>
      <w:r>
        <w:t>;</w:t>
      </w:r>
      <w:r w:rsidRPr="0058683A">
        <w:t xml:space="preserve"> the </w:t>
      </w:r>
      <w:r>
        <w:t xml:space="preserve">difference between the median </w:t>
      </w:r>
      <w:r w:rsidRPr="0058683A">
        <w:t>male</w:t>
      </w:r>
      <w:r>
        <w:t xml:space="preserve"> and female </w:t>
      </w:r>
      <w:r w:rsidRPr="0058683A">
        <w:t>wage</w:t>
      </w:r>
      <w:r>
        <w:t>;</w:t>
      </w:r>
      <w:r w:rsidRPr="0058683A">
        <w:t xml:space="preserve"> the employee</w:t>
      </w:r>
      <w:r>
        <w:t>s</w:t>
      </w:r>
      <w:r w:rsidRPr="0058683A">
        <w:t xml:space="preserve"> average income</w:t>
      </w:r>
      <w:r>
        <w:t xml:space="preserve">; </w:t>
      </w:r>
      <w:r w:rsidRPr="0058683A">
        <w:t>the overall population</w:t>
      </w:r>
      <w:r>
        <w:t>;</w:t>
      </w:r>
      <w:r w:rsidRPr="0058683A">
        <w:t xml:space="preserve"> the fraction of population out of the labor force. As shown in </w:t>
      </w:r>
      <w:r>
        <w:t xml:space="preserve">Appendix </w:t>
      </w:r>
      <w:r w:rsidRPr="0058683A">
        <w:t xml:space="preserve">Table </w:t>
      </w:r>
      <w:r>
        <w:t>A</w:t>
      </w:r>
      <w:r w:rsidRPr="0058683A">
        <w:t>1</w:t>
      </w:r>
      <w:r>
        <w:t>2</w:t>
      </w:r>
      <w:r w:rsidRPr="0058683A">
        <w:t xml:space="preserve">, all these variables </w:t>
      </w:r>
      <w:r w:rsidR="00681FAE">
        <w:t>are</w:t>
      </w:r>
      <w:r w:rsidRPr="0058683A">
        <w:t xml:space="preserve"> uncorrelated with the likelihood of enacting the “On the Spot Firm” </w:t>
      </w:r>
      <w:r>
        <w:t>reform</w:t>
      </w:r>
      <w:r w:rsidRPr="0058683A">
        <w:t xml:space="preserve"> in the municipality, suggesting that such enactment represents a valid quasi-natural experiment. Mo</w:t>
      </w:r>
      <w:r>
        <w:t>re</w:t>
      </w:r>
      <w:r w:rsidRPr="0058683A">
        <w:t xml:space="preserve"> important</w:t>
      </w:r>
      <w:r>
        <w:t>ly</w:t>
      </w:r>
      <w:r w:rsidRPr="0058683A">
        <w:t xml:space="preserve">, </w:t>
      </w:r>
      <w:r>
        <w:t xml:space="preserve">both </w:t>
      </w:r>
      <w:r w:rsidRPr="0058683A">
        <w:t>the</w:t>
      </w:r>
      <w:r>
        <w:t xml:space="preserve"> gender gap in </w:t>
      </w:r>
      <w:r w:rsidRPr="0058683A">
        <w:t>entry rate and</w:t>
      </w:r>
      <w:r>
        <w:t xml:space="preserve"> in wage within incumbent firms</w:t>
      </w:r>
      <w:r w:rsidRPr="0058683A">
        <w:t xml:space="preserve"> appear not to be associated </w:t>
      </w:r>
      <w:r>
        <w:t>with</w:t>
      </w:r>
      <w:r w:rsidRPr="0058683A">
        <w:t xml:space="preserve"> </w:t>
      </w:r>
      <w:r>
        <w:t xml:space="preserve">the reform </w:t>
      </w:r>
      <w:r w:rsidRPr="0058683A">
        <w:t xml:space="preserve">enactment, reinforcing the validity of our identification. </w:t>
      </w:r>
    </w:p>
    <w:p w14:paraId="44785CB3" w14:textId="77777777" w:rsidR="00D95F9F" w:rsidRPr="00527213" w:rsidRDefault="00D95F9F" w:rsidP="00D95F9F">
      <w:pPr>
        <w:pStyle w:val="BodyTextIndent"/>
        <w:ind w:firstLine="0"/>
      </w:pPr>
      <w:r w:rsidRPr="00527213">
        <w:rPr>
          <w:b/>
        </w:rPr>
        <w:t>Discussion</w:t>
      </w:r>
    </w:p>
    <w:p w14:paraId="5889168B" w14:textId="3D0B5088" w:rsidR="00D95F9F" w:rsidRPr="0058683A" w:rsidRDefault="00D95F9F" w:rsidP="00D95F9F">
      <w:pPr>
        <w:pStyle w:val="BodyText"/>
      </w:pPr>
      <w:r w:rsidRPr="0058683A">
        <w:t xml:space="preserve">Institutional changes that reduce barriers to </w:t>
      </w:r>
      <w:r>
        <w:t>entry</w:t>
      </w:r>
      <w:r w:rsidRPr="0058683A">
        <w:t xml:space="preserve"> have a significant impact on the founding rates as well as the quality of new ventures founded </w:t>
      </w:r>
      <w:r w:rsidRPr="0058683A">
        <w:fldChar w:fldCharType="begin" w:fldLock="1"/>
      </w:r>
      <w:r w:rsidRPr="0058683A">
        <w:instrText>ADDIN CSL_CITATION {"citationItems":[{"id":"ITEM-1","itemData":{"ISSN":"1047-7039","author":[{"dropping-particle":"","family":"Eesley","given":"Charles","non-dropping-particle":"","parse-names":false,"suffix":""}],"container-title":"Organization Science","id":"ITEM-1","issue":"5","issued":{"date-parts":[["2016"]]},"page":"1290-1306","publisher":"Informs","title":"Institutional barriers to growth: Entrepreneurship, human capital and institutional change","type":"article-journal","volume":"27"},"uris":["http://www.mendeley.com/documents/?uuid=75415807-5100-44a0-9897-4b993ce3cc36"]},{"id":"ITEM-2","itemData":{"ISSN":"1047-7039","author":[{"dropping-particle":"","family":"Eberhart","given":"Robert N","non-dropping-particle":"","parse-names":false,"suffix":""},{"dropping-particle":"","family":"Eesley","given":"Charles E","non-dropping-particle":"","parse-names":false,"suffix":""},{"dropping-particle":"","family":"Eisenhardt","given":"Kathleen M","non-dropping-particle":"","parse-names":false,"suffix":""}],"container-title":"Organization Science","id":"ITEM-2","issue":"1","issued":{"date-parts":[["2017"]]},"page":"93-112","title":"Failure is an option: Institutional change, entrepreneurial risk, and new firm growth","type":"article-journal","volume":"28"},"uris":["http://www.mendeley.com/documents/?uuid=d23f0cce-4662-4f99-aa90-a11e6b3b74de"]},{"id":"ITEM-3","itemData":{"DOI":"10.1177/0001839215591627","ISBN":"10.1177/0001839215591627","ISSN":"19303815","abstract":"This article develops and empirically evaluates an institutional theory of gender inequalities in business start-up, ownership, and growth orientation. I argue that in contexts in which institutional arrangements such as paid leave, subsidized childcare, and part-time employment opportunities mitigate work-family conflict, women are less likely to opt for business ownership as a fallback employment strategy. As a result, women in these contexts may be relatively less well represented among entrepreneurs as a whole but more well represented in growth-oriented forms of entrepreneurship. To evaluate this claim, I analyze survey data from 24 countries over the span of eight years. Multilevel analyses show that supportive work-family institutions are associated with larger gender gaps in the odds of early-stage and established business ownership but smaller gender gaps among business owners in terms of their business size, growth aspirations, and propensity to innovate or use new technology. Consistent with my theoretical argument, women business owners are also less likely to report pursuing entrepreneurship because they lacked attractive employment options in contexts in which supportive institutions are in place. Findings suggest that institutional contexts characterized by salient work-family conflict may fuel women's aggregate representation in business activity but reinforce their segregation into less growth-oriented (and thus lower-status) ventures.","author":[{"dropping-particle":"","family":"Thébaud","given":"Sarah","non-dropping-particle":"","parse-names":false,"suffix":""}],"container-title":"Administrative Science Quarterly","id":"ITEM-3","issue":"4","issued":{"date-parts":[["2015"]]},"page":"671-711","title":"Business as Plan B: Institutional Foundations of Gender Inequality in Entrepreneurship across 24 Industrialized Countries","type":"article-journal","volume":"60"},"uris":["http://www.mendeley.com/documents/?uuid=eed07914-95cd-4b9a-a266-053979be094f"]}],"mendeley":{"formattedCitation":"(Eberhart &lt;i&gt;et al.&lt;/i&gt;, 2017; Eesley, 2016; Thébaud, 2015)","plainTextFormattedCitation":"(Eberhart et al., 2017; Eesley, 2016; Thébaud, 2015)","previouslyFormattedCitation":"(Eberhart &lt;i&gt;et al.&lt;/i&gt;, 2017; Eesley, 2016; Thébaud, 2015)"},"properties":{"noteIndex":0},"schema":"https://github.com/citation-style-language/schema/raw/master/csl-citation.json"}</w:instrText>
      </w:r>
      <w:r w:rsidRPr="0058683A">
        <w:fldChar w:fldCharType="separate"/>
      </w:r>
      <w:r w:rsidRPr="0058683A">
        <w:rPr>
          <w:noProof/>
        </w:rPr>
        <w:t xml:space="preserve">(Eberhart </w:t>
      </w:r>
      <w:r w:rsidRPr="0058683A">
        <w:rPr>
          <w:i/>
          <w:noProof/>
        </w:rPr>
        <w:t>et al.</w:t>
      </w:r>
      <w:r w:rsidRPr="0058683A">
        <w:rPr>
          <w:noProof/>
        </w:rPr>
        <w:t>, 2017; Eesley, 2016; Thébaud, 2015)</w:t>
      </w:r>
      <w:r w:rsidRPr="0058683A">
        <w:fldChar w:fldCharType="end"/>
      </w:r>
      <w:r w:rsidRPr="0058683A">
        <w:t xml:space="preserve">. </w:t>
      </w:r>
      <w:r>
        <w:t>Ample scholarship has examined the intended consequences thereof, focusing on individuals who eventually become entrepreneurs and therefore are the target of such regulatory reforms. But</w:t>
      </w:r>
      <w:r w:rsidRPr="0058683A">
        <w:t xml:space="preserve"> little research has paid attention to </w:t>
      </w:r>
      <w:r>
        <w:t>the unintended</w:t>
      </w:r>
      <w:r w:rsidRPr="0058683A">
        <w:t xml:space="preserve"> consequences</w:t>
      </w:r>
      <w:r>
        <w:t>, or the impact of these institutional changes on</w:t>
      </w:r>
      <w:r w:rsidRPr="0058683A">
        <w:t xml:space="preserve"> </w:t>
      </w:r>
      <w:r>
        <w:t>employees who stay within incumbent firms and are not the original target of the regulatory institutions</w:t>
      </w:r>
      <w:r w:rsidRPr="0058683A">
        <w:t xml:space="preserve">. In this study, we devote greater attention to </w:t>
      </w:r>
      <w:r>
        <w:t xml:space="preserve">the latter, </w:t>
      </w:r>
      <w:r w:rsidRPr="0058683A">
        <w:t xml:space="preserve">by examining </w:t>
      </w:r>
      <w:r>
        <w:t xml:space="preserve">how </w:t>
      </w:r>
      <w:r w:rsidR="00681FAE">
        <w:t xml:space="preserve">regulatory </w:t>
      </w:r>
      <w:r>
        <w:t>barriers can indirectly affect</w:t>
      </w:r>
      <w:r w:rsidRPr="0058683A">
        <w:t xml:space="preserve"> </w:t>
      </w:r>
      <w:r>
        <w:t>the process of rent allocation across different workers</w:t>
      </w:r>
      <w:r w:rsidRPr="0058683A">
        <w:t xml:space="preserve">. </w:t>
      </w:r>
      <w:r>
        <w:t xml:space="preserve">In particular, we propose that such effects vary by gender because </w:t>
      </w:r>
      <w:r w:rsidRPr="0058683A">
        <w:t xml:space="preserve">women face </w:t>
      </w:r>
      <w:r>
        <w:t xml:space="preserve">more acute </w:t>
      </w:r>
      <w:r w:rsidRPr="0058683A">
        <w:t xml:space="preserve">obstacles </w:t>
      </w:r>
      <w:r w:rsidR="00681FAE">
        <w:t>in</w:t>
      </w:r>
      <w:r w:rsidRPr="0058683A">
        <w:t xml:space="preserve"> entrepreneurship </w:t>
      </w:r>
      <w:r w:rsidRPr="0058683A">
        <w:fldChar w:fldCharType="begin" w:fldLock="1"/>
      </w:r>
      <w:r w:rsidRPr="0058683A">
        <w:instrText>ADDIN CSL_CITATION {"citationItems":[{"id":"ITEM-1","itemData":{"DOI":"10.5465/AMJ.2005.17407910","ISBN":"0001-4273","ISSN":"00014273","PMID":"9397843","abstract":"How can one predict entrepreneurship, an individual's participation in the founding of a new organization? We propose that the organizational context of an individual either accelerates or retards the likelihood of entrepreneurship, depending on the individual's role in the organization. The effects of role hinge, we argue, on the founder's charismatic identity, and the decoupling of this identity from the organization as it ages and grows. Our findings support the proposition that organizational properties that affect the likelihood of becoming an entrepreneur do so in opposite ways for organizational members and founders. We discuss how our theory and results demonstrate the value of a sociological perspective on entrepreneurship. [ABSTRACT FROM AUTHOR]","author":[{"dropping-particle":"","family":"Dobrev","given":"Stanislav D.","non-dropping-particle":"","parse-names":false,"suffix":""},{"dropping-particle":"","family":"Barnett","given":"William P.","non-dropping-particle":"","parse-names":false,"suffix":""}],"container-title":"Academy of Management Journal","id":"ITEM-1","issue":"3","issued":{"date-parts":[["2005"]]},"page":"433-449","title":"Organizational roles and transition to entrepreneurship","type":"article-journal","volume":"48"},"uris":["http://www.mendeley.com/documents/?uuid=e4113abe-574b-4527-8f5b-ba0b29af07ac"]},{"id":"ITEM-2","itemData":{"DOI":"10.2307/1519766","ISBN":"0003-1224","ISSN":"00031224","PMID":"1519766","abstract":"The mechanisms governing the composition of formal social groups (e.g., task groups, organizational founding teams) remain poorly understood, owing to (1) a lack of representative sampling from groups found in the general population, (2) a \"success\" bias among researchers that leads them to consider only those groups that actually emerge and survive, and (3) a restrictive focus on some theorized mechanisms of group composition (e.g., homophily) to the exclusion of others. These shortcomings are addressed by analyzing a unique, representative data set of organizational founding teams sampled from the U.S. population. Rather than simply considering the properties of those founding teams that are empirically observed, a novel quantitative methodology generates the distribution of all possible teams, based on combinations of individual and relational characteristics. This methodology permits the exploration of five mechanisms of group composition-those based on homophily. functionality, status expectations, network constraint, and ecological constraint. Findings suggest that homophily and network constraints based on strong ties have the most pronounced effect on group composition. Social isolation (i.e., exclusion from a group) is more likely to occur as a result of ecological constraints on the availability of similar alters in a locality than as a result of status-varying membership choices.","author":[{"dropping-particle":"","family":"Ruef","given":"Martin","non-dropping-particle":"","parse-names":false,"suffix":""},{"dropping-particle":"","family":"Aldrich","given":"Howard E.","non-dropping-particle":"","parse-names":false,"suffix":""},{"dropping-particle":"","family":"Carter","given":"Nancy M.","non-dropping-particle":"","parse-names":false,"suffix":""}],"container-title":"American Sociological Review","id":"ITEM-2","issue":"2","issued":{"date-parts":[["2003"]]},"page":"195-222","title":"The Structure of Founding Teams: Homophily, Strong Ties, and Isolation among U.S. Entrepreneurs","type":"article-journal","volume":"68"},"uris":["http://www.mendeley.com/documents/?uuid=54fdcb5e-338b-4024-a4c5-4c62605cbdfe"]},{"id":"ITEM-3","itemData":{"DOI":"10.1177/0003122414524207","ISBN":"0003-1224","ISSN":"19398271","abstract":"Sociologists have examined gender inequalities across a wide array of social contexts. Yet, questions remain regarding how inequalities arise among autonomous groups pursuing economic goals. In this article, we investigate mixed-sex entrepreneurial teams to unpack the mechanisms by which gender inequality in leadership emerges, despite strong pressures toward merit-based organizing principles. We theorize the potentially competing relationships between merit and gender and explore the contingencies moderating their effects. Drawing on a unique, nationally representative dataset of entrepreneurial teams sampled from the U.S. population in 2005, we use conditional logistic regression to test our hypotheses. We demonstrate that merit’s effect becomes much larger when multiple merit-based criteria provide consistent predictions for which team member is superior to others, and when entrepreneurial founders adopt bureaucratic templates to construct new ventures. However, gender stereotypes of leaders pervasively constrain women’s access to power positions, and gender’s effect intensifies when spousal relationships are involved. Women have reduced chances to be in charge if they co-found new businesses with their husbands, and some family conditions further modify women’s chances, such as husbands’ employment and the presence of children.","author":[{"dropping-particle":"","family":"Yang","given":"Tiantian","non-dropping-particle":"","parse-names":false,"suffix":""},{"dropping-particle":"","family":"Aldrich","given":"Howard E.","non-dropping-particle":"","parse-names":false,"suffix":""}],"container-title":"American Sociological Review","id":"ITEM-3","issue":"2","issued":{"date-parts":[["2014"]]},"page":"303-327","title":"Who's the Boss? Explaining Gender Inequality in Entrepreneurial Teams","type":"article-journal","volume":"79"},"uris":["http://www.mendeley.com/documents/?uuid=1bcbb913-4b5e-4bd7-8c7a-cfe47fdd8785"]}],"mendeley":{"formattedCitation":"(Dobrev and Barnett, 2005; Ruef &lt;i&gt;et al.&lt;/i&gt;, 2003; Yang and Aldrich, 2014)","plainTextFormattedCitation":"(Dobrev and Barnett, 2005; Ruef et al., 2003; Yang and Aldrich, 2014)","previouslyFormattedCitation":"(Dobrev and Barnett, 2005; Ruef &lt;i&gt;et al.&lt;/i&gt;, 2003; Yang and Aldrich, 2014)"},"properties":{"noteIndex":0},"schema":"https://github.com/citation-style-language/schema/raw/master/csl-citation.json"}</w:instrText>
      </w:r>
      <w:r w:rsidRPr="0058683A">
        <w:fldChar w:fldCharType="separate"/>
      </w:r>
      <w:r w:rsidRPr="0058683A">
        <w:rPr>
          <w:noProof/>
        </w:rPr>
        <w:t xml:space="preserve">(Ruef </w:t>
      </w:r>
      <w:r w:rsidRPr="0058683A">
        <w:rPr>
          <w:i/>
          <w:noProof/>
        </w:rPr>
        <w:t>et al.</w:t>
      </w:r>
      <w:r w:rsidRPr="0058683A">
        <w:rPr>
          <w:noProof/>
        </w:rPr>
        <w:t>, 2003; Yang and Aldrich, 2014)</w:t>
      </w:r>
      <w:r w:rsidRPr="0058683A">
        <w:fldChar w:fldCharType="end"/>
      </w:r>
      <w:r w:rsidRPr="0058683A">
        <w:t xml:space="preserve">, </w:t>
      </w:r>
      <w:r>
        <w:t>and are therefore more sensitive as a group to regulations that lower entry barriers</w:t>
      </w:r>
      <w:r w:rsidRPr="0058683A">
        <w:t xml:space="preserve">. </w:t>
      </w:r>
    </w:p>
    <w:p w14:paraId="1E32C956" w14:textId="77777777" w:rsidR="00D95F9F" w:rsidRPr="00F52FF3" w:rsidRDefault="00D95F9F" w:rsidP="00D95F9F">
      <w:pPr>
        <w:pStyle w:val="BodyTextIndent"/>
      </w:pPr>
      <w:r>
        <w:t xml:space="preserve">Our study offers evidence </w:t>
      </w:r>
      <w:r w:rsidRPr="0058683A">
        <w:t xml:space="preserve">for the claim that institutional changes generate two different </w:t>
      </w:r>
      <w:r>
        <w:t>effects, one intended and one unintended</w:t>
      </w:r>
      <w:r w:rsidRPr="0058683A">
        <w:t xml:space="preserve">. On one hand, by lowering barriers to entry, institutional changes </w:t>
      </w:r>
      <w:r>
        <w:t xml:space="preserve">lead to intended effects, by </w:t>
      </w:r>
      <w:r w:rsidRPr="0058683A">
        <w:t>disproportionately increas</w:t>
      </w:r>
      <w:r>
        <w:t>ing</w:t>
      </w:r>
      <w:r w:rsidRPr="0058683A">
        <w:t xml:space="preserve"> the rates of entrepreneurship among </w:t>
      </w:r>
      <w:r>
        <w:t xml:space="preserve">most disadvantaged groups, such as </w:t>
      </w:r>
      <w:r w:rsidRPr="0058683A">
        <w:t xml:space="preserve">women. </w:t>
      </w:r>
      <w:r>
        <w:t>Given that</w:t>
      </w:r>
      <w:r w:rsidRPr="0058683A">
        <w:t xml:space="preserve"> women face </w:t>
      </w:r>
      <w:r>
        <w:t xml:space="preserve">systematic </w:t>
      </w:r>
      <w:r w:rsidRPr="0058683A">
        <w:t>obstacles when attempting entry</w:t>
      </w:r>
      <w:r>
        <w:t xml:space="preserve"> (e.g., Thebaud, 2010; Guzman and Kacperczyk, 2019)</w:t>
      </w:r>
      <w:r w:rsidRPr="0058683A">
        <w:t xml:space="preserve">, </w:t>
      </w:r>
      <w:r>
        <w:t>lowering the threshold to found a new venture</w:t>
      </w:r>
      <w:r w:rsidRPr="0058683A">
        <w:t xml:space="preserve"> provide</w:t>
      </w:r>
      <w:r>
        <w:t>s them with</w:t>
      </w:r>
      <w:r w:rsidRPr="0058683A">
        <w:t xml:space="preserve"> stronger incentives </w:t>
      </w:r>
      <w:r>
        <w:t xml:space="preserve">and better means </w:t>
      </w:r>
      <w:r w:rsidRPr="0058683A">
        <w:t xml:space="preserve">to </w:t>
      </w:r>
      <w:r>
        <w:t>enter entrepreneurship</w:t>
      </w:r>
      <w:r w:rsidRPr="0058683A">
        <w:t xml:space="preserve">. On the other hand, such </w:t>
      </w:r>
      <w:r>
        <w:t>reforms</w:t>
      </w:r>
      <w:r w:rsidRPr="0058683A">
        <w:t xml:space="preserve"> </w:t>
      </w:r>
      <w:r>
        <w:t>lead</w:t>
      </w:r>
      <w:r w:rsidRPr="0058683A">
        <w:t xml:space="preserve"> to</w:t>
      </w:r>
      <w:r>
        <w:t xml:space="preserve"> unintended effects, by triggering</w:t>
      </w:r>
      <w:r w:rsidRPr="0058683A">
        <w:t xml:space="preserve"> a disproportionate attrition </w:t>
      </w:r>
      <w:r>
        <w:t>of</w:t>
      </w:r>
      <w:r w:rsidRPr="0058683A">
        <w:t xml:space="preserve"> female workers</w:t>
      </w:r>
      <w:r>
        <w:t xml:space="preserve"> in paid employment,</w:t>
      </w:r>
      <w:r w:rsidRPr="0058683A">
        <w:t xml:space="preserve"> and ultimately </w:t>
      </w:r>
      <w:r>
        <w:t xml:space="preserve">reducing the ability of incumbent female workers to capture value, if they stay within incumbent firms. </w:t>
      </w:r>
      <w:r w:rsidRPr="0058683A">
        <w:t xml:space="preserve">Finally, we expect the two effects – one </w:t>
      </w:r>
      <w:r>
        <w:t xml:space="preserve">that intendedly increases female rates of entry into </w:t>
      </w:r>
      <w:r w:rsidRPr="0058683A">
        <w:t xml:space="preserve">entrepreneurship and one </w:t>
      </w:r>
      <w:r>
        <w:t xml:space="preserve">that unintendedly reduces female value creation and capture in incumbent firms </w:t>
      </w:r>
      <w:r w:rsidRPr="0058683A">
        <w:t xml:space="preserve">– to be amplified among women in </w:t>
      </w:r>
      <w:r>
        <w:t>managerial</w:t>
      </w:r>
      <w:r w:rsidRPr="0058683A">
        <w:t xml:space="preserve"> positions, because </w:t>
      </w:r>
      <w:r>
        <w:t>female workers in these jobs are</w:t>
      </w:r>
      <w:r w:rsidRPr="0058683A">
        <w:t xml:space="preserve"> more willing and </w:t>
      </w:r>
      <w:r>
        <w:t xml:space="preserve">more </w:t>
      </w:r>
      <w:r w:rsidRPr="00F52FF3">
        <w:t xml:space="preserve">motivated to take advantage of institutions lowering entry barriers. </w:t>
      </w:r>
    </w:p>
    <w:p w14:paraId="1D629EDE" w14:textId="77777777" w:rsidR="00D95F9F" w:rsidRPr="00D14C68" w:rsidRDefault="00D95F9F" w:rsidP="00D95F9F">
      <w:pPr>
        <w:autoSpaceDE w:val="0"/>
        <w:autoSpaceDN w:val="0"/>
        <w:adjustRightInd w:val="0"/>
        <w:spacing w:line="480" w:lineRule="auto"/>
        <w:ind w:firstLine="720"/>
        <w:rPr>
          <w:sz w:val="22"/>
          <w:szCs w:val="22"/>
        </w:rPr>
      </w:pPr>
      <w:r w:rsidRPr="001A090F">
        <w:rPr>
          <w:sz w:val="22"/>
          <w:szCs w:val="22"/>
        </w:rPr>
        <w:t>Using rich employee–employer matched data from Portugal between 2000 and 2009, we find strong support for our predictions. Importantly, in this setting, we leverage a staggered reform which decreased barriers to entry by making the process of founding a new venture less costly and more accessible for aspiring entrepreneurs. Leveraging this exogenous reform as a quasi-natural experiment, we find that, relative to males – who offer a baseline for our analysis – women were more likely to transition into entrepreneurship</w:t>
      </w:r>
      <w:r>
        <w:rPr>
          <w:sz w:val="22"/>
          <w:szCs w:val="22"/>
        </w:rPr>
        <w:t>,</w:t>
      </w:r>
      <w:r w:rsidRPr="001A090F">
        <w:rPr>
          <w:sz w:val="22"/>
          <w:szCs w:val="22"/>
        </w:rPr>
        <w:t xml:space="preserve"> following the introduction of institutional changes. At the same time, and consistent with our expectations, women who stayed in paid employment witnessed a sharp decrease in pay relative to men. Finally, our effects are amplified among women in </w:t>
      </w:r>
      <w:r w:rsidRPr="00D14C68">
        <w:rPr>
          <w:sz w:val="22"/>
          <w:szCs w:val="22"/>
        </w:rPr>
        <w:t>managerial</w:t>
      </w:r>
      <w:r w:rsidRPr="001A090F">
        <w:rPr>
          <w:sz w:val="22"/>
          <w:szCs w:val="22"/>
        </w:rPr>
        <w:t xml:space="preserve"> jobs, because (a) these women are more likely to take advantage of the regulatory reforms that facilitate entrepreneurship, and (b) attrition of female peers is most detrimental to women who occupy such </w:t>
      </w:r>
      <w:r w:rsidRPr="00D14C68">
        <w:rPr>
          <w:sz w:val="22"/>
          <w:szCs w:val="22"/>
        </w:rPr>
        <w:t>managerial</w:t>
      </w:r>
      <w:r w:rsidRPr="001A090F">
        <w:rPr>
          <w:sz w:val="22"/>
          <w:szCs w:val="22"/>
        </w:rPr>
        <w:t xml:space="preserve"> positions. Overall, then, we find strong support for the novel, so-far overlooked effect of regulatory changes on entrepreneurship, whereby these institutional shifts generate </w:t>
      </w:r>
      <w:r w:rsidRPr="00D14C68">
        <w:rPr>
          <w:sz w:val="22"/>
          <w:szCs w:val="22"/>
        </w:rPr>
        <w:t xml:space="preserve">the </w:t>
      </w:r>
      <w:r>
        <w:rPr>
          <w:sz w:val="22"/>
          <w:szCs w:val="22"/>
        </w:rPr>
        <w:t>anticipated</w:t>
      </w:r>
      <w:r w:rsidRPr="001A090F">
        <w:rPr>
          <w:sz w:val="22"/>
          <w:szCs w:val="22"/>
        </w:rPr>
        <w:t xml:space="preserve"> conditions for women at the pivotal stage of entry into entrepreneurship, while also </w:t>
      </w:r>
      <w:r w:rsidRPr="00D14C68">
        <w:rPr>
          <w:sz w:val="22"/>
          <w:szCs w:val="22"/>
        </w:rPr>
        <w:t xml:space="preserve">leading to some </w:t>
      </w:r>
      <w:r>
        <w:rPr>
          <w:sz w:val="22"/>
          <w:szCs w:val="22"/>
        </w:rPr>
        <w:t>unanticipated</w:t>
      </w:r>
      <w:r w:rsidRPr="00D14C68">
        <w:rPr>
          <w:sz w:val="22"/>
          <w:szCs w:val="22"/>
        </w:rPr>
        <w:t xml:space="preserve"> consequences, which reduce the value </w:t>
      </w:r>
      <w:r>
        <w:rPr>
          <w:sz w:val="22"/>
          <w:szCs w:val="22"/>
        </w:rPr>
        <w:t xml:space="preserve">creation and </w:t>
      </w:r>
      <w:r w:rsidRPr="00D14C68">
        <w:rPr>
          <w:sz w:val="22"/>
          <w:szCs w:val="22"/>
        </w:rPr>
        <w:t xml:space="preserve">capture of </w:t>
      </w:r>
      <w:r w:rsidRPr="001A090F">
        <w:rPr>
          <w:sz w:val="22"/>
          <w:szCs w:val="22"/>
        </w:rPr>
        <w:t xml:space="preserve">female workers </w:t>
      </w:r>
      <w:r w:rsidRPr="00D14C68">
        <w:rPr>
          <w:sz w:val="22"/>
          <w:szCs w:val="22"/>
        </w:rPr>
        <w:t>within</w:t>
      </w:r>
      <w:r w:rsidRPr="001A090F">
        <w:rPr>
          <w:sz w:val="22"/>
          <w:szCs w:val="22"/>
        </w:rPr>
        <w:t xml:space="preserve"> incumbent firms. </w:t>
      </w:r>
    </w:p>
    <w:p w14:paraId="6B756E15" w14:textId="77777777" w:rsidR="00D95F9F" w:rsidRPr="00D14C68" w:rsidRDefault="00D95F9F" w:rsidP="00D95F9F">
      <w:pPr>
        <w:pStyle w:val="BodyTextIndent"/>
      </w:pPr>
      <w:r w:rsidRPr="001A090F">
        <w:t xml:space="preserve">Our research offers a number of contributions to strategic human capital theories and strategy studies of human capital. First, the present study extends the existing research, by identifying a novel channel – entry deregulation reform – to explain variation in rent appropriation within </w:t>
      </w:r>
      <w:r>
        <w:t>established organizations</w:t>
      </w:r>
      <w:r w:rsidRPr="001A090F">
        <w:t xml:space="preserve">. Past research has documented that rivals, including new, fledgling ventures, pose to incumbents a significant threat of </w:t>
      </w:r>
      <w:r w:rsidRPr="001A090F">
        <w:rPr>
          <w:rFonts w:eastAsiaTheme="minorHAnsi"/>
        </w:rPr>
        <w:t xml:space="preserve">losing valuable workers </w:t>
      </w:r>
      <w:r>
        <w:rPr>
          <w:rFonts w:eastAsiaTheme="minorHAnsi"/>
        </w:rPr>
        <w:fldChar w:fldCharType="begin" w:fldLock="1"/>
      </w:r>
      <w:r>
        <w:rPr>
          <w:rFonts w:eastAsiaTheme="minorHAnsi"/>
        </w:rPr>
        <w:instrText>ADDIN CSL_CITATION {"citationItems":[{"id":"ITEM-1","itemData":{"ISSN":"1097-0266","author":[{"dropping-particle":"","family":"Agarwal","given":"Rajshree","non-dropping-particle":"","parse-names":false,"suffix":""},{"dropping-particle":"","family":"Ganco","given":"Martin","non-dropping-particle":"","parse-names":false,"suffix":""},{"dropping-particle":"","family":"Ziedonis","given":"Rosemarie H","non-dropping-particle":"","parse-names":false,"suffix":""}],"container-title":"Strategic Management Journal","id":"ITEM-1","issue":"13","issued":{"date-parts":[["2009"]]},"page":"1349-1374","publisher":"Wiley Online Library","title":"Reputations for toughness in patent enforcement: Implications for knowledge spillovers via inventor mobility","type":"article-journal","volume":"30"},"uris":["http://www.mendeley.com/documents/?uuid=6762e427-2032-40b9-83c2-ded004fcc7fd"]},{"id":"ITEM-2","itemData":{"abstract":"Knowledge and ideas are theoretically the most ethereal resource, and as such, should be able to travel anywhere. There are reasons to believe, however, that knowledge sticks to certain region more than others, and travels only imperfectly across regions. This is because the mechanisms for knowedge transfer often requires thick, embedded relationships. Not only that, but some regions tend to be stickier than others: one factor explaining this may be special labour markets active in the region, which constrains the spread of innovation through hiring to that region only. Data seems to show that indeed Silicon Valley and (to a lesser extent) the NY-NJ-PA region and South CA tend to have stickier knowledge, that is patents that are awarded there get disproportionally cited by other patents that are awarded there (if self-citation is included, lots more region come out as \"sticky\"), Moreover, there are significant differences between localisation rates across regions. Collecting data on career moves by patent holders, it emerges that Silicon Valley has much more intraregional moves than the other regions, but much less interregional ones. Also, in a direct regression, the intensity of intraregional moves stimulates localisation, while interregionmal mobility does the opposite.","author":[{"dropping-particle":"","family":"Almeida","given":"Paul","non-dropping-particle":"","parse-names":false,"suffix":""},{"dropping-particle":"","family":"Kogut","given":"Bruce","non-dropping-particle":"","parse-names":false,"suffix":""}],"container-title":"Management Science","id":"ITEM-2","issue":"7","issued":{"date-parts":[["1999"]]},"page":"905-917","title":"Localization of knowledge and the mobility of engineers in regional networks","type":"article-journal","volume":"45"},"uris":["http://www.mendeley.com/documents/?uuid=45098b37-4811-4cf2-bab5-c1a3908d7be4"]},{"id":"ITEM-3","itemData":{"DOI":"10.1002/smj","author":[{"dropping-particle":"","family":"Campbell","given":"BA","non-dropping-particle":"","parse-names":false,"suffix":""},{"dropping-particle":"","family":"Ganco","given":"Martin","non-dropping-particle":"","parse-names":false,"suffix":""}],"container-title":"Strategic Management Journal","id":"ITEM-3","issued":{"date-parts":[["2012"]]},"page":"65-87","title":"Who leaves, where to, and why worry? Employee mobility, entrepreneurship and effects on source firm performance","type":"article-journal","volume":"33"},"uris":["http://www.mendeley.com/documents/?uuid=7598063a-e8f4-40ea-900e-941f55d93a73"]},{"id":"ITEM-4","itemData":{"DOI":"10.1287/mnsc.49.6.751.16026","ISBN":"0025-1909","ISSN":"0025-1909","author":[{"dropping-particle":"","family":"Rosenkopf","given":"Lori","non-dropping-particle":"","parse-names":false,"suffix":""},{"dropping-particle":"","family":"Almeida","given":"Paul","non-dropping-particle":"","parse-names":false,"suffix":""}],"container-title":"Management Science","id":"ITEM-4","issue":"6","issued":{"date-parts":[["2003","6"]]},"note":"From Duplicate 2 ( Overcoming Local Search Through Alliances and Mobility - Rosenkopf, Lori; Almeida, Paul )\n","page":"751-766","title":"Overcoming Local Search Through Alliances and Mobility","type":"article-journal","volume":"49"},"uris":["http://www.mendeley.com/documents/?uuid=6d36e619-53d1-4fa0-a889-65f26c434304"]}],"mendeley":{"formattedCitation":"(Agarwal, Ganco, and Ziedonis, 2009; Almeida and Kogut, 1999; Campbell and Ganco, 2012; Rosenkopf and Almeida, 2003)","plainTextFormattedCitation":"(Agarwal, Ganco, and Ziedonis, 2009; Almeida and Kogut, 1999; Campbell and Ganco, 2012; Rosenkopf and Almeida, 2003)","previouslyFormattedCitation":"(Agarwal, Ganco, and Ziedonis, 2009; Almeida and Kogut, 1999; Campbell and Ganco, 2012; Rosenkopf and Almeida, 2003)"},"properties":{"noteIndex":0},"schema":"https://github.com/citation-style-language/schema/raw/master/csl-citation.json"}</w:instrText>
      </w:r>
      <w:r>
        <w:rPr>
          <w:rFonts w:eastAsiaTheme="minorHAnsi"/>
        </w:rPr>
        <w:fldChar w:fldCharType="separate"/>
      </w:r>
      <w:r w:rsidRPr="00093082">
        <w:rPr>
          <w:rFonts w:eastAsiaTheme="minorHAnsi"/>
          <w:noProof/>
        </w:rPr>
        <w:t>(Agarwal, Ganco, and Ziedonis, 2009; Almeida and Kogut, 1999; Campbell and Ganco, 2012; Rosenkopf and Almeida, 2003)</w:t>
      </w:r>
      <w:r>
        <w:rPr>
          <w:rFonts w:eastAsiaTheme="minorHAnsi"/>
        </w:rPr>
        <w:fldChar w:fldCharType="end"/>
      </w:r>
      <w:r w:rsidRPr="001A090F">
        <w:rPr>
          <w:rFonts w:eastAsiaTheme="minorHAnsi"/>
        </w:rPr>
        <w:t xml:space="preserve"> </w:t>
      </w:r>
      <w:r w:rsidRPr="001A090F">
        <w:t xml:space="preserve">– </w:t>
      </w:r>
      <w:r w:rsidRPr="001A090F">
        <w:rPr>
          <w:rFonts w:eastAsiaTheme="minorHAnsi"/>
        </w:rPr>
        <w:t xml:space="preserve"> who often hold valuable know-how and are therefore central for firm’s competitive advantage </w:t>
      </w:r>
      <w:r>
        <w:rPr>
          <w:rFonts w:eastAsiaTheme="minorHAnsi"/>
        </w:rPr>
        <w:fldChar w:fldCharType="begin" w:fldLock="1"/>
      </w:r>
      <w:r>
        <w:rPr>
          <w:rFonts w:eastAsiaTheme="minorHAnsi"/>
        </w:rPr>
        <w:instrText>ADDIN CSL_CITATION {"citationItems":[{"id":"ITEM-1","itemData":{"ISSN":"0363-7425","author":[{"dropping-particle":"","family":"Coff","given":"Russell W","non-dropping-particle":"","parse-names":false,"suffix":""}],"container-title":"Academy of management review","id":"ITEM-1","issue":"2","issued":{"date-parts":[["1997"]]},"page":"374-402","publisher":"Academy of Management Briarcliff Manor, NY 10510","title":"Human assets and management dilemmas: Coping with hazards on the road to resource-based theory","type":"article-journal","volume":"22"},"uris":["http://www.mendeley.com/documents/?uuid=fed0e081-101d-4896-9019-81f14d9738db"]},{"id":"ITEM-2","itemData":{"ISSN":"0143-2095","author":[{"dropping-particle":"","family":"Ganco","given":"Martin","non-dropping-particle":"","parse-names":false,"suffix":""},{"dropping-particle":"","family":"Ziedonis","given":"Rosemarie H","non-dropping-particle":"","parse-names":false,"suffix":""},{"dropping-particle":"","family":"Agarwal","given":"Rajshree","non-dropping-particle":"","parse-names":false,"suffix":""}],"container-title":"Strategic Management Journal","id":"ITEM-2","issue":"5","issued":{"date-parts":[["2015"]]},"page":"659-685","publisher":"Wiley Online Library","title":"More stars stay, but the brightest ones still leave: Job hopping in the shadow of patent enforcement","type":"article-journal","volume":"36"},"uris":["http://www.mendeley.com/documents/?uuid=423643c0-c50a-4688-a573-11b8e75a75dc"]},{"id":"ITEM-3","itemData":{"DOI":"10.1177/0001839212462675","ISBN":"0001-8392","ISSN":"00018392","abstract":"This study revisits the well-established notion that large and mature organiza- tions stifle an employee’s ability and motivation to become an entrepreneur. Using unique data on U.S. mutual funds founded between 1979 and 2005, I examine whether large and mature firms, which are typically associated with lower individual rates of entrepreneurship, are also associated with lower indi- vidual rates of intrapreneurship. The findings show that, though employees in large and mature organizations are less likely to transition to entrepreneurship, they nonetheless exhibit a higher propensity to pursue venturing opportunities inside the established firm than employees in smaller and younger firms. The results suggest that the observed negative effect of large, mature organizations on entrepreneurship arises partly due to high rates of intrapreneurship and that the stultification processes in such organizations are far less important than has been generally assumed.","author":[{"dropping-particle":"","family":"Kacperczyk","given":"Aleksandra J.","non-dropping-particle":"","parse-names":false,"suffix":""}],"container-title":"Administrative Science Quarterly","id":"ITEM-3","issue":"3","issued":{"date-parts":[["2012"]]},"page":"484-521","title":"Opportunity structures in established firms: Entrepreneurship versus intrapreneurship in mutual funds","type":"article-journal","volume":"57"},"uris":["http://www.mendeley.com/documents/?uuid=c70e68ae-5f37-4202-abfb-960a04a36846"]}],"mendeley":{"formattedCitation":"(Coff, 1997; Ganco, Ziedonis, and Agarwal, 2015; Kacperczyk, 2012)","plainTextFormattedCitation":"(Coff, 1997; Ganco, Ziedonis, and Agarwal, 2015; Kacperczyk, 2012)","previouslyFormattedCitation":"(Coff, 1997; Ganco, Ziedonis, and Agarwal, 2015; Kacperczyk, 2012)"},"properties":{"noteIndex":0},"schema":"https://github.com/citation-style-language/schema/raw/master/csl-citation.json"}</w:instrText>
      </w:r>
      <w:r>
        <w:rPr>
          <w:rFonts w:eastAsiaTheme="minorHAnsi"/>
        </w:rPr>
        <w:fldChar w:fldCharType="separate"/>
      </w:r>
      <w:r w:rsidRPr="00093082">
        <w:rPr>
          <w:rFonts w:eastAsiaTheme="minorHAnsi"/>
          <w:noProof/>
        </w:rPr>
        <w:t>(Coff, 1997; Ganco, Ziedonis, and Agarwal, 2015; Kacperczyk, 2012)</w:t>
      </w:r>
      <w:r>
        <w:rPr>
          <w:rFonts w:eastAsiaTheme="minorHAnsi"/>
        </w:rPr>
        <w:fldChar w:fldCharType="end"/>
      </w:r>
      <w:r w:rsidRPr="001A090F">
        <w:rPr>
          <w:rFonts w:eastAsiaTheme="minorHAnsi"/>
        </w:rPr>
        <w:t xml:space="preserve">. We complement this vibrant line of work by documenting that intra-firm rent appropriation can also be determined by </w:t>
      </w:r>
      <w:r w:rsidRPr="00D14C68">
        <w:t xml:space="preserve">regulatory institutions which lower entry barriers and that this effect varies profoundly by gender. In this respect, our study is the first to theorize and document empirically that some demographic groups – i.e., females – might simultaneously benefit and suffer from institutional reforms that promote entry. </w:t>
      </w:r>
    </w:p>
    <w:p w14:paraId="130D07C1" w14:textId="610631B4" w:rsidR="00D95F9F" w:rsidRPr="00D14C68" w:rsidRDefault="00D95F9F" w:rsidP="00D95F9F">
      <w:pPr>
        <w:pStyle w:val="BodyTextIndent"/>
        <w:rPr>
          <w:rStyle w:val="current-selection"/>
          <w:rFonts w:eastAsiaTheme="minorEastAsia"/>
        </w:rPr>
      </w:pPr>
      <w:r w:rsidRPr="00D14C68">
        <w:t xml:space="preserve">Second, our study contributes to recent debates about the critical importance of retaining highly valuable workers, often central to </w:t>
      </w:r>
      <w:r w:rsidRPr="00D14C68">
        <w:rPr>
          <w:rStyle w:val="current-selection"/>
          <w:rFonts w:eastAsiaTheme="minorEastAsia"/>
        </w:rPr>
        <w:t>creating and sustaining a firm’s competitive advantage</w:t>
      </w:r>
      <w:r>
        <w:rPr>
          <w:rStyle w:val="current-selection"/>
          <w:rFonts w:eastAsiaTheme="minorEastAsia"/>
        </w:rPr>
        <w:t xml:space="preserve"> </w:t>
      </w:r>
      <w:r>
        <w:rPr>
          <w:rStyle w:val="current-selection"/>
          <w:rFonts w:eastAsiaTheme="minorEastAsia"/>
        </w:rPr>
        <w:fldChar w:fldCharType="begin" w:fldLock="1"/>
      </w:r>
      <w:r>
        <w:rPr>
          <w:rStyle w:val="current-selection"/>
          <w:rFonts w:eastAsiaTheme="minorEastAsia"/>
        </w:rPr>
        <w:instrText>ADDIN CSL_CITATION {"citationItems":[{"id":"ITEM-1","itemData":{"ISSN":"0143-2095","author":[{"dropping-particle":"","family":"Chatain","given":"Olivier","non-dropping-particle":"","parse-names":false,"suffix":""},{"dropping-particle":"","family":"Meyer</w:instrText>
      </w:r>
      <w:r>
        <w:rPr>
          <w:rStyle w:val="current-selection"/>
          <w:rFonts w:ascii="Cambria Math" w:eastAsiaTheme="minorEastAsia" w:hAnsi="Cambria Math" w:cs="Cambria Math"/>
        </w:rPr>
        <w:instrText>‐</w:instrText>
      </w:r>
      <w:r>
        <w:rPr>
          <w:rStyle w:val="current-selection"/>
          <w:rFonts w:eastAsiaTheme="minorEastAsia"/>
        </w:rPr>
        <w:instrText>Doyle","given":"Philipp","non-dropping-particle":"","parse-names":false,"suffix":""}],"container-title":"Strategic Management Journal","id":"ITEM-1","issue":"2","issued":{"date-parts":[["2017"]]},"page":"232-254","publisher":"Wiley Online Library","title":"Alleviating managerial dilemmas in human</w:instrText>
      </w:r>
      <w:r>
        <w:rPr>
          <w:rStyle w:val="current-selection"/>
          <w:rFonts w:ascii="Cambria Math" w:eastAsiaTheme="minorEastAsia" w:hAnsi="Cambria Math" w:cs="Cambria Math"/>
        </w:rPr>
        <w:instrText>‐</w:instrText>
      </w:r>
      <w:r>
        <w:rPr>
          <w:rStyle w:val="current-selection"/>
          <w:rFonts w:eastAsiaTheme="minorEastAsia"/>
        </w:rPr>
        <w:instrText>capital</w:instrText>
      </w:r>
      <w:r>
        <w:rPr>
          <w:rStyle w:val="current-selection"/>
          <w:rFonts w:ascii="Cambria Math" w:eastAsiaTheme="minorEastAsia" w:hAnsi="Cambria Math" w:cs="Cambria Math"/>
        </w:rPr>
        <w:instrText>‐</w:instrText>
      </w:r>
      <w:r>
        <w:rPr>
          <w:rStyle w:val="current-selection"/>
          <w:rFonts w:eastAsiaTheme="minorEastAsia"/>
        </w:rPr>
        <w:instrText>intensive firms through incentives: Evidence from M&amp;A legal advisors","type":"article-journal","volume":"38"},"uris":["http://www.mendeley.com/documents/?uuid=054bfa9c-9462-4b18-b00c-183131cc4cb1"]},{"id":"ITEM-2","itemData":{"ISSN":"0143-2095","author":[{"dropping-particle":"","family":"Harris","given":"Dawn","non-dropping-particle":"","parse-names":false,"suffix":""},{"dropping-particle":"","family":"Helfat","given":"Constance","non-dropping-particle":"","parse-names":false,"suffix":""}],"container-title":"Strategic Management Journal","id":"ITEM-2","issue":"11","issued":{"date-parts":[["1997"]]},"page":"895-920","publisher":"Wiley Online Library","title":"Specificity of CEO human capital and compensation","type":"article-journal","volume":"18"},"uris":["http://www.mendeley.com/documents/?uuid=b1059c33-f4c6-4015-a89d-0164b7fe9fec"]},{"id":"ITEM-3","itemData":{"ISSN":"0149-2063","author":[{"dropping-particle":"","family":"Mawdsley","given":"John K","non-dropping-particle":"","parse-names":false,"suffix":""},{"dropping-particle":"","family":"Somaya","given":"Deepak","non-dropping-particle":"","parse-names":false,"suffix":""}],"container-title":"Journal of Management","id":"ITEM-3","issue":"1","issued":{"date-parts":[["2016"]]},"page":"85-113","publisher":"Sage Publications Sage CA: Los Angeles, CA","title":"Employee mobility and organizational outcomes: An integrative conceptual framework and research agenda","type":"article-journal","volume":"42"},"uris":["http://www.mendeley.com/documents/?uuid=e0091b01-4fcc-4cb0-bf6a-a9c1240dac87"]},{"id":"ITEM-4","itemData":{"ISSN":"0143-2095","author":[{"dropping-particle":"","family":"Starr","given":"Evan","non-dropping-particle":"","parse-names":false,"suffix":""},{"dropping-particle":"","family":"Ganco","given":"Martin","non-dropping-particle":"","parse-names":false,"suffix":""},{"dropping-particle":"","family":"Campbell","given":"Benjamin A","non-dropping-particle":"","parse-names":false,"suffix":""}],"container-title":"Strategic Management Journal","id":"ITEM-4","issue":"8","issued":{"date-parts":[["2018"]]},"page":"2226-2254","publisher":"Wiley Online Library","title":"Strategic human capital management in the context of cross</w:instrText>
      </w:r>
      <w:r>
        <w:rPr>
          <w:rStyle w:val="current-selection"/>
          <w:rFonts w:ascii="Cambria Math" w:eastAsiaTheme="minorEastAsia" w:hAnsi="Cambria Math" w:cs="Cambria Math"/>
        </w:rPr>
        <w:instrText>‐</w:instrText>
      </w:r>
      <w:r>
        <w:rPr>
          <w:rStyle w:val="current-selection"/>
          <w:rFonts w:eastAsiaTheme="minorEastAsia"/>
        </w:rPr>
        <w:instrText>industry and within</w:instrText>
      </w:r>
      <w:r>
        <w:rPr>
          <w:rStyle w:val="current-selection"/>
          <w:rFonts w:ascii="Cambria Math" w:eastAsiaTheme="minorEastAsia" w:hAnsi="Cambria Math" w:cs="Cambria Math"/>
        </w:rPr>
        <w:instrText>‐</w:instrText>
      </w:r>
      <w:r>
        <w:rPr>
          <w:rStyle w:val="current-selection"/>
          <w:rFonts w:eastAsiaTheme="minorEastAsia"/>
        </w:rPr>
        <w:instrText>industry mobility frictions","type":"article-journal","volume":"39"},"uris":["http://www.mendeley.com/documents/?uuid=e41f8ec1-1b90-4180-b889-e630e7f0d1a3"]},{"id":"ITEM-5","itemData":{"ISSN":"0363-7425","author":[{"dropping-particle":"","family":"Coff","given":"Russell W","non-dropping-particle":"","parse-names":false,"suffix":""}],"container-title":"Academy of management review","id":"ITEM-5","issue":"2","issued":{"date-parts":[["1997"]]},"page":"374-402","publisher":"Academy of Management Briarcliff Manor, NY 10510","title":"Human assets and management dilemmas: Coping with hazards on the road to resource-based theory","type":"article-journal","volume":"22"},"uris":["http://www.mendeley.com/documents/?uuid=fed0e081-101d-4896-9019-81f14d9738db"]},{"id":"ITEM-6","itemData":{"ISSN":"0143-2095","author":[{"dropping-particle":"","family":"Ganco","given":"Martin","non-dropping-particle":"","parse-names":false,"suffix":""},{"dropping-particle":"","family":"Ziedonis","given":"Rosemarie H","non-dropping-particle":"","parse-names":false,"suffix":""},{"dropping-particle":"","family":"Agarwal","given":"Rajshree","non-dropping-particle":"","parse-names":false,"suffix":""}],"container-title":"Strategic Management Journal","id":"ITEM-6","issue":"5","issued":{"date-parts":[["2015"]]},"page":"659-685","publisher":"Wiley Online Library","title":"More stars stay, but the brightest ones still leave: Job hopping in the shadow of patent enforcement","type":"article-journal","volume":"36"},"uris":["http://www.mendeley.com/documents/?uuid=423643c0-c50a-4688-a573-11b8e75a75dc"]},{"id":"ITEM-7","itemData":{"DOI":"10.1287/mnsc.2015.2229","ISBN":"9788578110796","ISSN":"0025-1909","PMID":"25246403","abstract":"In this study, we assess the causal impact of stakeholder orientation on innovation. To obtain exogenous variation in stakeholder orientation, we exploit the enactment of state-level constituency statutes, which allow directors to consider stakeholders’ interests when making business decisions. Using a difference-in-differences methodology, we find that the enactment of constituency statutes leads to a significant increase in the number of patents and citations per patent. We further argue and provide evidence suggesting that stakeholder orientation sparks innovation by encouraging experimentation and enhancing employees’ innovative productivity. Finally, we find that the positive effect of stakeholder orientation on innovation is larger in consumer-focused and less eco-friendly industries. Data, as supplemental material, are available at http://dx.doi.org/10.1287/mnsc.2015.2229. This paper was accepted by Lee Fleming, entrepreneurship and innovation.","author":[{"dropping-particle":"","family":"Flammer","given":"Caroline","non-dropping-particle":"","parse-names":false,"suffix":""},{"dropping-particle":"","family":"Kacperczyk","given":"Aleksandra","non-dropping-particle":"","parse-names":false,"suffix":""}],"container-title":"Management Science","id":"ITEM-7","issue":"7","issued":{"date-parts":[["2016"]]},"page":"1982-2001","title":"The Impact of Stakeholder Orientation on Innovation: Evidence from a Natural Experiment","type":"article-journal","volume":"62"},"uris":["http://www.mendeley.com/documents/?uuid=424bab0a-db55-4f67-a818-a296a5d39c93"]}],"mendeley":{"formattedCitation":"(Chatain and Meyer</w:instrText>
      </w:r>
      <w:r>
        <w:rPr>
          <w:rStyle w:val="current-selection"/>
          <w:rFonts w:ascii="Cambria Math" w:eastAsiaTheme="minorEastAsia" w:hAnsi="Cambria Math" w:cs="Cambria Math"/>
        </w:rPr>
        <w:instrText>‐</w:instrText>
      </w:r>
      <w:r>
        <w:rPr>
          <w:rStyle w:val="current-selection"/>
          <w:rFonts w:eastAsiaTheme="minorEastAsia"/>
        </w:rPr>
        <w:instrText>Doyle, 2017; Coff, 1997; Flammer and Kacperczyk, 2016; Ganco &lt;i&gt;et al.&lt;/i&gt;, 2015; Harris and Helfat, 1997; Mawdsley and Somaya, 2016; Starr &lt;i&gt;et al.&lt;/i&gt;, 2018)","manualFormatting":"(e.g., Chatain and Meyer</w:instrText>
      </w:r>
      <w:r>
        <w:rPr>
          <w:rStyle w:val="current-selection"/>
          <w:rFonts w:ascii="Cambria Math" w:eastAsiaTheme="minorEastAsia" w:hAnsi="Cambria Math" w:cs="Cambria Math"/>
        </w:rPr>
        <w:instrText>‐</w:instrText>
      </w:r>
      <w:r>
        <w:rPr>
          <w:rStyle w:val="current-selection"/>
          <w:rFonts w:eastAsiaTheme="minorEastAsia"/>
        </w:rPr>
        <w:instrText>Doyle, 2017; Coff, 1997; Flammer and Kacperczyk, 2016; Ganco, Ziedonis, and Agarwal, 2015; Harris and Helfat, 1997; Mawdsley and Somaya, 2016; Starr et al., 2018)","plainTextFormattedCitation":"(Chatain and Meyer</w:instrText>
      </w:r>
      <w:r>
        <w:rPr>
          <w:rStyle w:val="current-selection"/>
          <w:rFonts w:ascii="Cambria Math" w:eastAsiaTheme="minorEastAsia" w:hAnsi="Cambria Math" w:cs="Cambria Math"/>
        </w:rPr>
        <w:instrText>‐</w:instrText>
      </w:r>
      <w:r>
        <w:rPr>
          <w:rStyle w:val="current-selection"/>
          <w:rFonts w:eastAsiaTheme="minorEastAsia"/>
        </w:rPr>
        <w:instrText>Doyle, 2017; Coff, 1997; Flammer and Kacperczyk, 2016; Ganco et al., 2015; Harris and Helfat, 1997; Mawdsley and Somaya, 2016; Starr et al., 2018)","previouslyFormattedCitation":"(Chatain and Meyer</w:instrText>
      </w:r>
      <w:r>
        <w:rPr>
          <w:rStyle w:val="current-selection"/>
          <w:rFonts w:ascii="Cambria Math" w:eastAsiaTheme="minorEastAsia" w:hAnsi="Cambria Math" w:cs="Cambria Math"/>
        </w:rPr>
        <w:instrText>‐</w:instrText>
      </w:r>
      <w:r>
        <w:rPr>
          <w:rStyle w:val="current-selection"/>
          <w:rFonts w:eastAsiaTheme="minorEastAsia"/>
        </w:rPr>
        <w:instrText>Doyle, 2017; Coff, 1997; Flammer and Kacperczyk, 2016; Ganco &lt;i&gt;et al.&lt;/i&gt;, 2015; Harris and Helfat, 1997; Mawdsley and Somaya, 2016; Starr &lt;i&gt;et al.&lt;/i&gt;, 2018)"},"properties":{"noteIndex":0},"schema":"https://github.com/citation-style-language/schema/raw/master/csl-citation.json"}</w:instrText>
      </w:r>
      <w:r>
        <w:rPr>
          <w:rStyle w:val="current-selection"/>
          <w:rFonts w:eastAsiaTheme="minorEastAsia"/>
        </w:rPr>
        <w:fldChar w:fldCharType="separate"/>
      </w:r>
      <w:r w:rsidRPr="003E3185">
        <w:rPr>
          <w:rStyle w:val="current-selection"/>
          <w:rFonts w:eastAsiaTheme="minorEastAsia"/>
          <w:noProof/>
        </w:rPr>
        <w:t>(</w:t>
      </w:r>
      <w:r>
        <w:rPr>
          <w:rStyle w:val="current-selection"/>
          <w:rFonts w:eastAsiaTheme="minorEastAsia"/>
          <w:noProof/>
        </w:rPr>
        <w:t xml:space="preserve">e.g., </w:t>
      </w:r>
      <w:r w:rsidRPr="003E3185">
        <w:rPr>
          <w:rStyle w:val="current-selection"/>
          <w:rFonts w:eastAsiaTheme="minorEastAsia"/>
          <w:noProof/>
        </w:rPr>
        <w:t xml:space="preserve">Coff, 1997; Flammer and Kacperczyk, 2016; Ganco, Ziedonis, and Agarwal, 2015; Harris and Helfat, 1997; Mawdsley and Somaya, 2016; Starr </w:t>
      </w:r>
      <w:r w:rsidRPr="003E3185">
        <w:rPr>
          <w:rStyle w:val="current-selection"/>
          <w:rFonts w:eastAsiaTheme="minorEastAsia"/>
          <w:i/>
          <w:noProof/>
        </w:rPr>
        <w:t>et al.</w:t>
      </w:r>
      <w:r w:rsidRPr="003E3185">
        <w:rPr>
          <w:rStyle w:val="current-selection"/>
          <w:rFonts w:eastAsiaTheme="minorEastAsia"/>
          <w:noProof/>
        </w:rPr>
        <w:t>, 2018)</w:t>
      </w:r>
      <w:r>
        <w:rPr>
          <w:rStyle w:val="current-selection"/>
          <w:rFonts w:eastAsiaTheme="minorEastAsia"/>
        </w:rPr>
        <w:fldChar w:fldCharType="end"/>
      </w:r>
      <w:r w:rsidRPr="00D14C68">
        <w:t xml:space="preserve">. Multiple studies in this vein have documented that startups threaten incumbents by decreasing retention of valuable talent and therefore a firm’s know-how </w:t>
      </w:r>
      <w:r w:rsidRPr="00D14C68">
        <w:rPr>
          <w:rStyle w:val="current-selection"/>
          <w:rFonts w:eastAsiaTheme="minorEastAsia"/>
        </w:rPr>
        <w:t>(</w:t>
      </w:r>
      <w:r w:rsidRPr="00D14C68">
        <w:t xml:space="preserve">Agarwal et al., 2004; Agarwal et al., 2015), if workers decide to “walk out the door,” </w:t>
      </w:r>
      <w:r w:rsidRPr="00461B8A">
        <w:t xml:space="preserve">taking with them the most valuable knowledge assets to startup </w:t>
      </w:r>
      <w:r w:rsidRPr="00926BE3">
        <w:t>firms (Wezel, Phillips, 2004; Campbell et al., 2011; Agarwal et al., 2016). W</w:t>
      </w:r>
      <w:r w:rsidRPr="000E6728">
        <w:t>e</w:t>
      </w:r>
      <w:r w:rsidRPr="00D14C68">
        <w:t xml:space="preserve"> complement this line of research by documenting that institutional regulations that facilitate entry have yet another effect on some groups of workers within incumbents: women, who tend to suffer losses in productivity and bargaining power, appropriating less value, as a result</w:t>
      </w:r>
      <w:r w:rsidRPr="00D14C68">
        <w:rPr>
          <w:rStyle w:val="current-selection"/>
          <w:rFonts w:eastAsiaTheme="minorEastAsia"/>
        </w:rPr>
        <w:t xml:space="preserve">. </w:t>
      </w:r>
    </w:p>
    <w:p w14:paraId="75EF2EC8" w14:textId="142E2986" w:rsidR="00D95F9F" w:rsidRPr="00D14C68" w:rsidRDefault="00D95F9F" w:rsidP="00D95F9F">
      <w:pPr>
        <w:pStyle w:val="BodyTextIndent"/>
      </w:pPr>
      <w:r w:rsidRPr="00D14C68">
        <w:t xml:space="preserve">We further offer direct contributions to the long line of inquiry on gender disparities in pay. A central insight in this research is that there exists a significant gap in the distribution of resources across women and men </w:t>
      </w:r>
      <w:r w:rsidRPr="001A090F">
        <w:fldChar w:fldCharType="begin" w:fldLock="1"/>
      </w:r>
      <w:r w:rsidRPr="00D14C68">
        <w:instrText>ADDIN CSL_CITATION {"citationItems":[{"id":"ITEM-1","itemData":{"DOI":"10.1177/0003122411401250","ISBN":"00031224","ISSN":"00031224","PMID":"908526142","abstract":"One of the great paradoxes of inequality in organizations is that even when organizations introduce new programs designed to help employees in traditionally disadvantaged groups succeed, employees who use these programs often suffer negative career consequences. This study helps to fill a significant gap in the literature by investigating how local employer practices can enable employees to successfully use the programs designed to benefit them. Using a research approach that controls for regulatory environment and program design, we analyze unique longitudinal personnel data from a large law firm to demonstrate that assignment to powerful supervisors upon organization entry improves career outcomes for individuals who later use a reduced-hours program. Additionally, we find that initial assignment to powerful supervisors is more important to positive career outcomes-that is, employee retention and performance-based pay-than are factors such as supervisor assignment at the time of program use. Initial assignment affects career outcomes for later program users through the mechanism of improved access to reputation-building work opportunities. These findings have implications for research on work-family programs and other employeerights programs and for the role of social capital in careers. [PUBLICATION ABSTRACT]","author":[{"dropping-particle":"","family":"Briscoe","given":"Forrest","non-dropping-particle":"","parse-names":false,"suffix":""},{"dropping-particle":"","family":"Kellogg","given":"Katherine C.","non-dropping-particle":"","parse-names":false,"suffix":""}],"container-title":"American Sociological Review","id":"ITEM-1","issue":"2","issued":{"date-parts":[["2011"]]},"page":"291-319","title":"The initial assignment effect: Local employer practices and positive career outcomes for work-family program users","type":"article-journal","volume":"76"},"uris":["http://www.mendeley.com/documents/?uuid=7f6215a6-3239-47b9-afd3-84f8927e8838"]},{"id":"ITEM-2","itemData":{"DOI":"10.1177/0003122411420814","ISBN":"0003-1224","ISSN":"00031224","PMID":"67004298","abstract":"While great progress has been made in documenting that organizational practices affect workplace inequality, little is known about how managers in particular may shape the careers of the employees below them. Using unique longitudinal personnel data on managers and their subordinates, this study identifies and tests for evidence of three distinct mechanisms by which managers potentially influence the assessment of employee performance in the workplace: (1) social network influence between employees’ current and former managers; (2) manager–manager (horizontal) homophily; and (3) manager–employee (vertical) homophily. I find evidence of the independent effects of all three mechanisms of managerial influence on the outcome of disagreement in the performance evaluation ratings of the same worker between former and current managers. In particular, my results stress that both managerial network influence and horizontal homophily affect the process of employee performance assessments, over and above the well-studied vertical homophily mechanism. I conclude by discussing the theoretical implications of these findings for future research regarding the interactional aspects of workplace inequality within contemporary organizations.","author":[{"dropping-particle":"","family":"Castilla","given":"Emilio J.","non-dropping-particle":"","parse-names":false,"suffix":""}],"container-title":"American Sociological Review","id":"ITEM-2","issue":"5","issued":{"date-parts":[["2011"]]},"page":"667-694","title":"Bringing managers back in: Managerial influences on workplace inequality","type":"article-journal","volume":"76"},"uris":["http://www.mendeley.com/documents/?uuid=9a35e334-8fe3-4760-8a40-2904a7e2c9d7"]},{"id":"ITEM-3","itemData":{"DOI":"10.1177/000312240707200502","ISBN":"0003-1224","ISSN":"00031224","PMID":"218797331","abstract":"Most previous research on gender inequality and management has been concerned with the question of access to managerial jobs and the “glass ceiling.” We offer the first large- scale analysis that turns this question around, asking whether the gender characteristics of managers—specifically, the gender composition and relative status of female managers—affect inequality for the nonmanagerial workers beneath them. Results from three-level hierarchical linear models, estimated on a unique nested data set drawn from the 2000 Census, suggest that greater representation of women in management does narrow the gender wage gap. Model predictions show, however, that the presence of high-status female managers has a much larger impact on gender wage inequality. We conclude that the promotion of women into management positions may benefit all women, but only if female managers reach relatively high-status positions.","author":[{"dropping-particle":"","family":"Cohen","given":"Philip N.","non-dropping-particle":"","parse-names":false,"suffix":""},{"dropping-particle":"","family":"Huffman","given":"Matt L.","non-dropping-particle":"","parse-names":false,"suffix":""}],"container-title":"American Sociological Review","id":"ITEM-3","issue":"5","issued":{"date-parts":[["2007"]]},"page":"681-704","title":"Working for the woman? Female managers and the gender wage gap","type":"article-journal","volume":"72"},"uris":["http://www.mendeley.com/documents/?uuid=2fcbb3a6-e289-4c3d-a378-4d389dc804f4"]},{"id":"ITEM-4","itemData":{"DOI":"10.1287/orsc.13.6.601.499","ISBN":"10477039","ISSN":"1047-7039","PMID":"8681190","abstract":"Drawing on neoclassical economic, internal labor market, and devaluation theories, we examine how the sex composition of jobs and the sex of individual workers affect earnings, depend- ing upon the formalization of the pay type. Using personnel data for over 8,000 employees, we confirm the existence of a negative relationship between earnings and the proportion fe- male in a job. We also find that for less-formalized pay types (cash incentive bonuses), sex-composition and individual-sex effects are larger than for more formalized pay (merit raises and base salary). Together, these findings support devaluation ex- planations, suggest that incentive bonuses may widen the earn- ings gap between women and men, and have implications for the design of pay structures in organization","author":[{"dropping-particle":"","family":"Elvira","given":"Marta M.","non-dropping-particle":"","parse-names":false,"suffix":""},{"dropping-particle":"","family":"Graham","given":"Mary E.","non-dropping-particle":"","parse-names":false,"suffix":""}],"container-title":"Organization Science","id":"ITEM-4","issue":"6","issued":{"date-parts":[["2002"]]},"page":"601-617","title":"Not Just a Formality: Pay System Formalization and Sex-Related Earnings Effects","type":"article-journal","volume":"13"},"uris":["http://www.mendeley.com/documents/?uuid=352acc70-cb9c-4125-9033-ffcf2d4bfc7d"]},{"id":"ITEM-5","itemData":{"DOI":"10.1177/000312240607100103","ISBN":"9781424478552","ISSN":"00031224","PMID":"19968256","abstract":"JSTOR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about","author":[{"dropping-particle":"","family":"Fernandez","given":"Roberto M.","non-dropping-particle":"","parse-names":false,"suffix":""},{"dropping-particle":"","family":"Fernandez-Mateo","given":"Isabel","non-dropping-particle":"","parse-names":false,"suffix":""}],"container-title":"American Sociological Review","id":"ITEM-5","issue":"1","issued":{"date-parts":[["2006"]]},"page":"42-71","title":"Networks, race, and hiring","type":"article-journal","volume":"71"},"uris":["http://www.mendeley.com/documents/?uuid=2021bcbb-b43c-4dda-a367-43cb804e12bd"]}],"mendeley":{"formattedCitation":"(Briscoe and Kellogg, 2011; Castilla, 2011; Cohen and Huffman, 2007; Elvira and Graham, 2002; Fernandez and Fernandez-Mateo, 2006)","manualFormatting":"(e.g., Briscoe and Kellogg 2011, Castilla 2011, Cohen and Huffman 2007, Elvira and Graham 2002, Fernandez and Fernandez-Mateo 2006)","plainTextFormattedCitation":"(Briscoe and Kellogg, 2011; Castilla, 2011; Cohen and Huffman, 2007; Elvira and Graham, 2002; Fernandez and Fernandez-Mateo, 2006)","previouslyFormattedCitation":"(Briscoe and Kellogg, 2011; Castilla, 2011; Cohen and Huffman, 2007; Elvira and Graham, 2002; Fernandez and Fernandez-Mateo, 2006)"},"properties":{"noteIndex":0},"schema":"https://github.com/citation-style-language/schema/raw/master/csl-citation.json"}</w:instrText>
      </w:r>
      <w:r w:rsidRPr="001A090F">
        <w:fldChar w:fldCharType="separate"/>
      </w:r>
      <w:r w:rsidRPr="00D14C68">
        <w:rPr>
          <w:noProof/>
        </w:rPr>
        <w:t>(e.g., Briscoe and Kellogg 2011, Castilla 2011, Cohen and Huffman 2007, )</w:t>
      </w:r>
      <w:r w:rsidRPr="001A090F">
        <w:fldChar w:fldCharType="end"/>
      </w:r>
      <w:r w:rsidRPr="00D14C68">
        <w:t xml:space="preserve">, and that such differences cannot be entirely attributed to observable differences in skill or productivity or to differential sorting of women into lower-paying positions, occupations, or industries alone </w:t>
      </w:r>
      <w:r w:rsidRPr="001A090F">
        <w:fldChar w:fldCharType="begin" w:fldLock="1"/>
      </w:r>
      <w:r w:rsidRPr="00D14C68">
        <w:instrText>ADDIN CSL_CITATION {"citationItems":[{"id":"ITEM-1","itemData":{"DOI":"10.1016/j.ssresearch.2007.10.003","ISBN":"0049-089X (Print)\\n0049-089X (Linking)","ISSN":"0049089X","PMID":"19227692","abstract":"While much research has documented the pattern and extent of sex segregation of workers once they are employed, few studies have addressed the pre-hire mechanisms that are posited to produce sex segregation in employment. While the notion of a labor queue-the rank order of the set of people that employers choose among-plays a prominent role in pre-hire accounts of job sex sorting mechanisms, few studies have examined the ways in which job candidates are sorted into labor queues. In this paper, we explore the mechanisms by which labor queues contribute to the gendering of jobs by studying the hiring process for all jobs at a call center. Being placed in a queue has a clear gendering effect on the hiring process: the sex distribution of applicants who are matched to queues and those who are rejected at this phase diverge, and among those assigned to queues, women are prevalent in queues for low pay, low status jobs. The screening process also contributes to the gendering of the population of hires at this firm. Females are more prevalent among hires than they are among candidates at initial queue assignment. Among high status jobs, however, males are more prevalent than females. Moreover, there are important wage implications associated with matching to queues. While there are large between-queue sex differences in the paid wages associated with allocation to queues, once allocated to queues the wage differences between male and female candidates are nil. Consequently, the roots of gender wage inequality in this setting lie in the initial sorting of candidates to labor queues. © 2007 Elsevier Inc. All rights reserved.","author":[{"dropping-particle":"","family":"Fernandez","given":"Roberto M.","non-dropping-particle":"","parse-names":false,"suffix":""},{"dropping-particle":"","family":"Mors","given":"Marie Louise","non-dropping-particle":"","parse-names":false,"suffix":""}],"container-title":"Social Science Research","id":"ITEM-1","issue":"4","issued":{"date-parts":[["2008"]]},"page":"1061-1080","title":"Competing for jobs: Labor queues and gender sorting in the hiring process","type":"article-journal","volume":"37"},"uris":["http://www.mendeley.com/documents/?uuid=c1ec187a-640e-4726-9899-cf53f55f867f"]},{"id":"ITEM-2","itemData":{"DOI":"10.1086/378536","ISBN":"0002-9602","ISSN":"0002-9602","PMID":"22006","abstract":"Gender disparities in wages and attainment caused by employer discrimination can come about by three very different processes: allocative discrimination, within-job wage discrimination, and valuative discrimination. For the United States, it has been established that within-job wage discrimination no longer is a major source of wage differences, while valuative discrimination potentially is. Less known is the role of allocative discrimination, especially in the hiring process, which we identify as the point where discrimination is most feasible. Our analysis uses personnel data on all entrants into a large U.S. service organization in the period 1978-86, focusing on managerial, administrative, and professional employees. We study the placement at initial hire and then follow job levels, wages, promotions, as well as departures, in years subsequent to hire.","author":[{"dropping-particle":"","family":"Petersen","given":"Trond","non-dropping-particle":"","parse-names":false,"suffix":""},{"dropping-particle":"","family":"Saporta","given":"Ishak","non-dropping-particle":"","parse-names":false,"suffix":""}],"container-title":"American Journal of Sociology","id":"ITEM-2","issue":"4","issued":{"date-parts":[["2004"]]},"page":"852-901","title":"The Opportunity Structure for Discrimination","type":"article-journal","volume":"109"},"uris":["http://www.mendeley.com/documents/?uuid=34b2a474-dce0-41e4-98c9-9828f3c06387"]}],"mendeley":{"formattedCitation":"(Fernandez and Mors, 2008; Petersen and Saporta, 2004)","plainTextFormattedCitation":"(Fernandez and Mors, 2008; Petersen and Saporta, 2004)","previouslyFormattedCitation":"(Fernandez and Mors, 2008; Petersen and Saporta, 2004)"},"properties":{"noteIndex":0},"schema":"https://github.com/citation-style-language/schema/raw/master/csl-citation.json"}</w:instrText>
      </w:r>
      <w:r w:rsidRPr="001A090F">
        <w:fldChar w:fldCharType="separate"/>
      </w:r>
      <w:r w:rsidRPr="00D14C68">
        <w:rPr>
          <w:noProof/>
        </w:rPr>
        <w:t>(Fernandez and Mors, 2008; Petersen and Saporta, 2004)</w:t>
      </w:r>
      <w:r w:rsidRPr="001A090F">
        <w:fldChar w:fldCharType="end"/>
      </w:r>
      <w:r w:rsidRPr="00D14C68">
        <w:t xml:space="preserve">. Instead, scholars have suggested that organizational decision-makers might exhibit persistent stereotypes and cultural beliefs that play a crucial role in placing minorities at systematic disadvantage in labor markets </w:t>
      </w:r>
      <w:r w:rsidRPr="001A090F">
        <w:fldChar w:fldCharType="begin" w:fldLock="1"/>
      </w:r>
      <w:r w:rsidRPr="00D14C68">
        <w:instrText>ADDIN CSL_CITATION {"citationItems":[{"id":"ITEM-1","itemData":{"DOI":"10.1177/0003122411401250","ISBN":"00031224","ISSN":"00031224","PMID":"908526142","abstract":"One of the great paradoxes of inequality in organizations is that even when organizations introduce new programs designed to help employees in traditionally disadvantaged groups succeed, employees who use these programs often suffer negative career consequences. This study helps to fill a significant gap in the literature by investigating how local employer practices can enable employees to successfully use the programs designed to benefit them. Using a research approach that controls for regulatory environment and program design, we analyze unique longitudinal personnel data from a large law firm to demonstrate that assignment to powerful supervisors upon organization entry improves career outcomes for individuals who later use a reduced-hours program. Additionally, we find that initial assignment to powerful supervisors is more important to positive career outcomes-that is, employee retention and performance-based pay-than are factors such as supervisor assignment at the time of program use. Initial assignment affects career outcomes for later program users through the mechanism of improved access to reputation-building work opportunities. These findings have implications for research on work-family programs and other employeerights programs and for the role of social capital in careers. [PUBLICATION ABSTRACT]","author":[{"dropping-particle":"","family":"Briscoe","given":"Forrest","non-dropping-particle":"","parse-names":false,"suffix":""},{"dropping-particle":"","family":"Kellogg","given":"Katherine C.","non-dropping-particle":"","parse-names":false,"suffix":""}],"container-title":"American Sociological Review","id":"ITEM-1","issue":"2","issued":{"date-parts":[["2011"]]},"page":"291-319","title":"The initial assignment effect: Local employer practices and positive career outcomes for work-family program users","type":"article-journal","volume":"76"},"uris":["http://www.mendeley.com/documents/?uuid=7f6215a6-3239-47b9-afd3-84f8927e8838"]},{"id":"ITEM-2","itemData":{"DOI":"10.1177/0003122411420814","ISBN":"0003-1224","ISSN":"00031224","PMID":"67004298","abstract":"While great progress has been made in documenting that organizational practices affect workplace inequality, little is known about how managers in particular may shape the careers of the employees below them. Using unique longitudinal personnel data on managers and their subordinates, this study identifies and tests for evidence of three distinct mechanisms by which managers potentially influence the assessment of employee performance in the workplace: (1) social network influence between employees’ current and former managers; (2) manager–manager (horizontal) homophily; and (3) manager–employee (vertical) homophily. I find evidence of the independent effects of all three mechanisms of managerial influence on the outcome of disagreement in the performance evaluation ratings of the same worker between former and current managers. In particular, my results stress that both managerial network influence and horizontal homophily affect the process of employee performance assessments, over and above the well-studied vertical homophily mechanism. I conclude by discussing the theoretical implications of these findings for future research regarding the interactional aspects of workplace inequality within contemporary organizations.","author":[{"dropping-particle":"","family":"Castilla","given":"Emilio J.","non-dropping-particle":"","parse-names":false,"suffix":""}],"container-title":"American Sociological Review","id":"ITEM-2","issue":"5","issued":{"date-parts":[["2011"]]},"page":"667-694","title":"Bringing managers back in: Managerial influences on workplace inequality","type":"article-journal","volume":"76"},"uris":["http://www.mendeley.com/documents/?uuid=9a35e334-8fe3-4760-8a40-2904a7e2c9d7"]},{"id":"ITEM-3","itemData":{"DOI":"10.1177/000312240707200502","ISBN":"0003-1224","ISSN":"00031224","PMID":"218797331","abstract":"Most previous research on gender inequality and management has been concerned with the question of access to managerial jobs and the “glass ceiling.” We offer the first large- scale analysis that turns this question around, asking whether the gender characteristics of managers—specifically, the gender composition and relative status of female managers—affect inequality for the nonmanagerial workers beneath them. Results from three-level hierarchical linear models, estimated on a unique nested data set drawn from the 2000 Census, suggest that greater representation of women in management does narrow the gender wage gap. Model predictions show, however, that the presence of high-status female managers has a much larger impact on gender wage inequality. We conclude that the promotion of women into management positions may benefit all women, but only if female managers reach relatively high-status positions.","author":[{"dropping-particle":"","family":"Cohen","given":"Philip N.","non-dropping-particle":"","parse-names":false,"suffix":""},{"dropping-particle":"","family":"Huffman","given":"Matt L.","non-dropping-particle":"","parse-names":false,"suffix":""}],"container-title":"American Sociological Review","id":"ITEM-3","issue":"5","issued":{"date-parts":[["2007"]]},"page":"681-704","title":"Working for the woman? Female managers and the gender wage gap","type":"article-journal","volume":"72"},"uris":["http://www.mendeley.com/documents/?uuid=2fcbb3a6-e289-4c3d-a378-4d389dc804f4"]},{"id":"ITEM-4","itemData":{"DOI":"10.1287/orsc.13.6.601.499","ISBN":"10477039","ISSN":"1047-7039","PMID":"8681190","abstract":"Drawing on neoclassical economic, internal labor market, and devaluation theories, we examine how the sex composition of jobs and the sex of individual workers affect earnings, depend- ing upon the formalization of the pay type. Using personnel data for over 8,000 employees, we confirm the existence of a negative relationship between earnings and the proportion fe- male in a job. We also find that for less-formalized pay types (cash incentive bonuses), sex-composition and individual-sex effects are larger than for more formalized pay (merit raises and base salary). Together, these findings support devaluation ex- planations, suggest that incentive bonuses may widen the earn- ings gap between women and men, and have implications for the design of pay structures in organization","author":[{"dropping-particle":"","family":"Elvira","given":"Marta M.","non-dropping-particle":"","parse-names":false,"suffix":""},{"dropping-particle":"","family":"Graham","given":"Mary E.","non-dropping-particle":"","parse-names":false,"suffix":""}],"container-title":"Organization Science","id":"ITEM-4","issue":"6","issued":{"date-parts":[["2002"]]},"page":"601-617","title":"Not Just a Formality: Pay System Formalization and Sex-Related Earnings Effects","type":"article-journal","volume":"13"},"uris":["http://www.mendeley.com/documents/?uuid=352acc70-cb9c-4125-9033-ffcf2d4bfc7d"]},{"id":"ITEM-5","itemData":{"DOI":"10.1177/000312240607100103","ISBN":"9781424478552","ISSN":"00031224","PMID":"19968256","abstract":"JSTOR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about","author":[{"dropping-particle":"","family":"Fernandez","given":"Roberto M.","non-dropping-particle":"","parse-names":false,"suffix":""},{"dropping-particle":"","family":"Fernandez-Mateo","given":"Isabel","non-dropping-particle":"","parse-names":false,"suffix":""}],"container-title":"American Sociological Review","id":"ITEM-5","issue":"1","issued":{"date-parts":[["2006"]]},"page":"42-71","title":"Networks, race, and hiring","type":"article-journal","volume":"71"},"uris":["http://www.mendeley.com/documents/?uuid=2021bcbb-b43c-4dda-a367-43cb804e12bd"]}],"mendeley":{"formattedCitation":"(Briscoe and Kellogg, 2011; Castilla, 2011; Cohen and Huffman, 2007; Elvira and Graham, 2002; Fernandez and Fernandez-Mateo, 2006)","manualFormatting":"(e.g., Briscoe and Kellogg 2011, Castilla 2011, Cohen and Huffman 2007, Elvira and Graham 2002, Fernandez and Fernandez-Mateo 2006)","plainTextFormattedCitation":"(Briscoe and Kellogg, 2011; Castilla, 2011; Cohen and Huffman, 2007; Elvira and Graham, 2002; Fernandez and Fernandez-Mateo, 2006)","previouslyFormattedCitation":"(Briscoe and Kellogg, 2011; Castilla, 2011; Cohen and Huffman, 2007; Elvira and Graham, 2002; Fernandez and Fernandez-Mateo, 2006)"},"properties":{"noteIndex":0},"schema":"https://github.com/citation-style-language/schema/raw/master/csl-citation.json"}</w:instrText>
      </w:r>
      <w:r w:rsidRPr="001A090F">
        <w:fldChar w:fldCharType="separate"/>
      </w:r>
      <w:r w:rsidRPr="00D14C68">
        <w:rPr>
          <w:noProof/>
        </w:rPr>
        <w:t>(e.g., Castilla 2011, Cohen and Huffman 2007, )</w:t>
      </w:r>
      <w:r w:rsidRPr="001A090F">
        <w:fldChar w:fldCharType="end"/>
      </w:r>
      <w:r w:rsidRPr="00D14C68">
        <w:t xml:space="preserve">. We contribute to this literature by </w:t>
      </w:r>
      <w:r w:rsidR="00E94CC0">
        <w:t xml:space="preserve">highlighting </w:t>
      </w:r>
      <w:r w:rsidRPr="00D14C68">
        <w:t xml:space="preserve">conditions – startup entry by female employees – under which such persistent stereotypes might even be reinforced and result in even greater gender differences in pay. </w:t>
      </w:r>
    </w:p>
    <w:p w14:paraId="67F88ADC" w14:textId="59848E4D" w:rsidR="00D957C7" w:rsidRPr="00403F3C" w:rsidRDefault="002A017B" w:rsidP="00D957C7">
      <w:pPr>
        <w:spacing w:line="480" w:lineRule="auto"/>
        <w:ind w:firstLine="720"/>
        <w:rPr>
          <w:sz w:val="22"/>
          <w:szCs w:val="22"/>
        </w:rPr>
      </w:pPr>
      <w:r>
        <w:rPr>
          <w:sz w:val="22"/>
          <w:szCs w:val="22"/>
        </w:rPr>
        <w:t>Finally</w:t>
      </w:r>
      <w:r w:rsidR="00D95F9F" w:rsidRPr="002A017B">
        <w:rPr>
          <w:sz w:val="22"/>
          <w:szCs w:val="22"/>
        </w:rPr>
        <w:t xml:space="preserve">, our findings have important implications for </w:t>
      </w:r>
      <w:r w:rsidRPr="002A017B">
        <w:rPr>
          <w:sz w:val="22"/>
          <w:szCs w:val="22"/>
        </w:rPr>
        <w:t>future research</w:t>
      </w:r>
      <w:r w:rsidR="00D95F9F" w:rsidRPr="002A017B">
        <w:rPr>
          <w:sz w:val="22"/>
          <w:szCs w:val="22"/>
        </w:rPr>
        <w:t>.</w:t>
      </w:r>
      <w:r w:rsidRPr="002A017B">
        <w:rPr>
          <w:sz w:val="22"/>
          <w:szCs w:val="22"/>
        </w:rPr>
        <w:t xml:space="preserve"> Although </w:t>
      </w:r>
      <w:r>
        <w:rPr>
          <w:sz w:val="22"/>
          <w:szCs w:val="22"/>
        </w:rPr>
        <w:t>the results we present in this paper are</w:t>
      </w:r>
      <w:r w:rsidRPr="002A017B">
        <w:rPr>
          <w:sz w:val="22"/>
          <w:szCs w:val="22"/>
        </w:rPr>
        <w:t xml:space="preserve"> suggestive </w:t>
      </w:r>
      <w:r w:rsidRPr="00A43CB6">
        <w:rPr>
          <w:sz w:val="22"/>
          <w:szCs w:val="22"/>
        </w:rPr>
        <w:t>of a decrease in bargaining power or reductions in productivity that women experience</w:t>
      </w:r>
      <w:r>
        <w:rPr>
          <w:sz w:val="22"/>
          <w:szCs w:val="22"/>
        </w:rPr>
        <w:t>,</w:t>
      </w:r>
      <w:r w:rsidRPr="00A43CB6">
        <w:rPr>
          <w:sz w:val="22"/>
          <w:szCs w:val="22"/>
        </w:rPr>
        <w:t xml:space="preserve"> following the deregulation reform, future research should investigate those processes in greater depth, providing more direct evidence for each. </w:t>
      </w:r>
      <w:r>
        <w:rPr>
          <w:sz w:val="22"/>
          <w:szCs w:val="22"/>
        </w:rPr>
        <w:t xml:space="preserve">This might require </w:t>
      </w:r>
      <w:r w:rsidR="00D957C7">
        <w:rPr>
          <w:sz w:val="22"/>
          <w:szCs w:val="22"/>
        </w:rPr>
        <w:t xml:space="preserve">more fine-grained-level data sourced from a company or qualitative interviews with women and men affected by the reforms. Such findings, in combination with our results, are likely to have important policy implications. </w:t>
      </w:r>
      <w:r w:rsidR="00D95F9F" w:rsidRPr="00D14C68">
        <w:rPr>
          <w:sz w:val="22"/>
          <w:szCs w:val="22"/>
        </w:rPr>
        <w:t xml:space="preserve"> The main implication </w:t>
      </w:r>
      <w:r w:rsidR="00D957C7">
        <w:rPr>
          <w:sz w:val="22"/>
          <w:szCs w:val="22"/>
        </w:rPr>
        <w:t xml:space="preserve">of our study </w:t>
      </w:r>
      <w:r w:rsidR="00D95F9F" w:rsidRPr="00D14C68">
        <w:rPr>
          <w:sz w:val="22"/>
          <w:szCs w:val="22"/>
        </w:rPr>
        <w:t>is that policy interventions t</w:t>
      </w:r>
      <w:r w:rsidR="00D95F9F">
        <w:rPr>
          <w:sz w:val="22"/>
          <w:szCs w:val="22"/>
        </w:rPr>
        <w:t>hat</w:t>
      </w:r>
      <w:r w:rsidR="00D95F9F" w:rsidRPr="00D14C68">
        <w:rPr>
          <w:sz w:val="22"/>
          <w:szCs w:val="22"/>
        </w:rPr>
        <w:t xml:space="preserve"> </w:t>
      </w:r>
      <w:r w:rsidR="00D95F9F">
        <w:rPr>
          <w:sz w:val="22"/>
          <w:szCs w:val="22"/>
        </w:rPr>
        <w:t xml:space="preserve">promote </w:t>
      </w:r>
      <w:r w:rsidR="00D95F9F" w:rsidRPr="00D14C68">
        <w:rPr>
          <w:sz w:val="22"/>
          <w:szCs w:val="22"/>
        </w:rPr>
        <w:t xml:space="preserve">entrepreneurship should pay greater attention to the potential downsides, especially those which represent the </w:t>
      </w:r>
      <w:r w:rsidR="00D95F9F">
        <w:rPr>
          <w:sz w:val="22"/>
          <w:szCs w:val="22"/>
        </w:rPr>
        <w:t>unforeseen</w:t>
      </w:r>
      <w:r w:rsidR="00D95F9F" w:rsidRPr="00D14C68">
        <w:rPr>
          <w:sz w:val="22"/>
          <w:szCs w:val="22"/>
        </w:rPr>
        <w:t xml:space="preserve"> consequences of such policies. In this respect, our study shows that lowering barriers to entry increases female representation among founders, while simultaneously harming women who stay in paid employment and witness reductions in their productivity </w:t>
      </w:r>
      <w:r w:rsidR="00D95F9F">
        <w:rPr>
          <w:sz w:val="22"/>
          <w:szCs w:val="22"/>
        </w:rPr>
        <w:t>and</w:t>
      </w:r>
      <w:r w:rsidR="00D95F9F" w:rsidRPr="00D14C68">
        <w:rPr>
          <w:sz w:val="22"/>
          <w:szCs w:val="22"/>
        </w:rPr>
        <w:t xml:space="preserve"> bargaining power, following the departure of </w:t>
      </w:r>
      <w:r w:rsidR="00D95F9F">
        <w:rPr>
          <w:sz w:val="22"/>
          <w:szCs w:val="22"/>
        </w:rPr>
        <w:t xml:space="preserve">their </w:t>
      </w:r>
      <w:r w:rsidR="00D95F9F" w:rsidRPr="00D14C68">
        <w:rPr>
          <w:sz w:val="22"/>
          <w:szCs w:val="22"/>
        </w:rPr>
        <w:t xml:space="preserve">female colleagues into entrepreneurship. Hence, policy makers should pay greater attention to the notion that </w:t>
      </w:r>
      <w:r w:rsidR="00D95F9F">
        <w:rPr>
          <w:sz w:val="22"/>
          <w:szCs w:val="22"/>
        </w:rPr>
        <w:t xml:space="preserve">regulations </w:t>
      </w:r>
      <w:r w:rsidR="00D95F9F" w:rsidRPr="00D14C68">
        <w:rPr>
          <w:sz w:val="22"/>
          <w:szCs w:val="22"/>
        </w:rPr>
        <w:t>increasing entry rates might be a double-edge</w:t>
      </w:r>
      <w:r w:rsidR="00D95F9F">
        <w:rPr>
          <w:sz w:val="22"/>
          <w:szCs w:val="22"/>
        </w:rPr>
        <w:t>d sword</w:t>
      </w:r>
      <w:r w:rsidR="00D95F9F" w:rsidRPr="00D14C68">
        <w:rPr>
          <w:sz w:val="22"/>
          <w:szCs w:val="22"/>
        </w:rPr>
        <w:t xml:space="preserve"> when it comes to gender inequality. </w:t>
      </w:r>
      <w:r w:rsidR="00D957C7">
        <w:rPr>
          <w:sz w:val="22"/>
          <w:szCs w:val="22"/>
        </w:rPr>
        <w:t xml:space="preserve">Policy </w:t>
      </w:r>
      <w:r w:rsidR="00D957C7" w:rsidRPr="00403F3C">
        <w:rPr>
          <w:sz w:val="22"/>
          <w:szCs w:val="22"/>
        </w:rPr>
        <w:t xml:space="preserve">responses might </w:t>
      </w:r>
      <w:r w:rsidR="00D957C7">
        <w:rPr>
          <w:sz w:val="22"/>
          <w:szCs w:val="22"/>
        </w:rPr>
        <w:t xml:space="preserve">further </w:t>
      </w:r>
      <w:r w:rsidR="00D957C7" w:rsidRPr="00403F3C">
        <w:rPr>
          <w:sz w:val="22"/>
          <w:szCs w:val="22"/>
        </w:rPr>
        <w:t xml:space="preserve">differ depending </w:t>
      </w:r>
      <w:r w:rsidR="00D957C7">
        <w:rPr>
          <w:sz w:val="22"/>
          <w:szCs w:val="22"/>
        </w:rPr>
        <w:t xml:space="preserve">on whether reduction </w:t>
      </w:r>
      <w:r w:rsidR="00D957C7" w:rsidRPr="00403F3C">
        <w:rPr>
          <w:sz w:val="22"/>
          <w:szCs w:val="22"/>
        </w:rPr>
        <w:t xml:space="preserve">in bargaining power </w:t>
      </w:r>
      <w:r w:rsidR="00D957C7">
        <w:rPr>
          <w:sz w:val="22"/>
          <w:szCs w:val="22"/>
        </w:rPr>
        <w:t>or productivity is the main driver behind the widening gender gap. For example, if</w:t>
      </w:r>
      <w:r w:rsidR="00D957C7" w:rsidRPr="00403F3C">
        <w:rPr>
          <w:sz w:val="22"/>
          <w:szCs w:val="22"/>
        </w:rPr>
        <w:t xml:space="preserve"> </w:t>
      </w:r>
      <w:r w:rsidR="00D957C7">
        <w:rPr>
          <w:sz w:val="22"/>
          <w:szCs w:val="22"/>
        </w:rPr>
        <w:t xml:space="preserve">reduction in bargaining power are the main driver, then wage </w:t>
      </w:r>
      <w:r w:rsidR="00D957C7" w:rsidRPr="00403F3C">
        <w:rPr>
          <w:sz w:val="22"/>
          <w:szCs w:val="22"/>
        </w:rPr>
        <w:t xml:space="preserve">equality laws may be needed. </w:t>
      </w:r>
      <w:r w:rsidR="00D957C7">
        <w:rPr>
          <w:sz w:val="22"/>
          <w:szCs w:val="22"/>
        </w:rPr>
        <w:t>Conversely, if decreases in</w:t>
      </w:r>
      <w:r w:rsidR="00D957C7" w:rsidRPr="00403F3C">
        <w:rPr>
          <w:sz w:val="22"/>
          <w:szCs w:val="22"/>
        </w:rPr>
        <w:t xml:space="preserve"> productivity </w:t>
      </w:r>
      <w:r w:rsidR="00D957C7">
        <w:rPr>
          <w:sz w:val="22"/>
          <w:szCs w:val="22"/>
        </w:rPr>
        <w:t xml:space="preserve">are the main culprit, then </w:t>
      </w:r>
      <w:r w:rsidR="00D957C7" w:rsidRPr="00403F3C">
        <w:rPr>
          <w:sz w:val="22"/>
          <w:szCs w:val="22"/>
        </w:rPr>
        <w:t>educational or firm level responses may need to be developed to rectify the problem.</w:t>
      </w:r>
    </w:p>
    <w:p w14:paraId="4564E452" w14:textId="4D54128A" w:rsidR="00D95F9F" w:rsidRPr="0058683A" w:rsidRDefault="00D95F9F" w:rsidP="00A43CB6">
      <w:pPr>
        <w:spacing w:line="480" w:lineRule="auto"/>
        <w:ind w:firstLine="720"/>
      </w:pPr>
      <w:r w:rsidRPr="00D14C68">
        <w:rPr>
          <w:sz w:val="22"/>
          <w:szCs w:val="22"/>
        </w:rPr>
        <w:t xml:space="preserve">More broadly, our findings suggest that </w:t>
      </w:r>
      <w:r>
        <w:rPr>
          <w:sz w:val="22"/>
          <w:szCs w:val="22"/>
        </w:rPr>
        <w:t>such interventions</w:t>
      </w:r>
      <w:r w:rsidRPr="00D14C68">
        <w:rPr>
          <w:sz w:val="22"/>
          <w:szCs w:val="22"/>
        </w:rPr>
        <w:t xml:space="preserve"> might paradoxically enhance discriminatory behaviors toward </w:t>
      </w:r>
      <w:r>
        <w:rPr>
          <w:sz w:val="22"/>
          <w:szCs w:val="22"/>
        </w:rPr>
        <w:t xml:space="preserve">women who stay </w:t>
      </w:r>
      <w:r w:rsidRPr="00D14C68">
        <w:rPr>
          <w:sz w:val="22"/>
          <w:szCs w:val="22"/>
        </w:rPr>
        <w:t>in wage employment. Assessing whether the upsides</w:t>
      </w:r>
      <w:r>
        <w:rPr>
          <w:sz w:val="22"/>
          <w:szCs w:val="22"/>
        </w:rPr>
        <w:t xml:space="preserve"> </w:t>
      </w:r>
      <w:r w:rsidRPr="00D14C68">
        <w:rPr>
          <w:sz w:val="22"/>
          <w:szCs w:val="22"/>
        </w:rPr>
        <w:t xml:space="preserve">– in terms of promoting female-founded ventures – outweigh their costs – in terms of </w:t>
      </w:r>
      <w:r>
        <w:rPr>
          <w:sz w:val="22"/>
          <w:szCs w:val="22"/>
        </w:rPr>
        <w:t xml:space="preserve">leading to </w:t>
      </w:r>
      <w:r w:rsidRPr="00D14C68">
        <w:rPr>
          <w:sz w:val="22"/>
          <w:szCs w:val="22"/>
        </w:rPr>
        <w:t>relatively lower salary and less attractive work conditions – is a relevant research avenue we leave for future research.</w:t>
      </w:r>
    </w:p>
    <w:p w14:paraId="5E714414" w14:textId="2D58078F" w:rsidR="00854F34" w:rsidRDefault="00854F34" w:rsidP="00783BCB">
      <w:r w:rsidRPr="00692EB2">
        <w:rPr>
          <w:b/>
        </w:rPr>
        <w:t>References</w:t>
      </w:r>
    </w:p>
    <w:p w14:paraId="7FDC1A1A" w14:textId="6F3B39B5" w:rsidR="00D36933" w:rsidRPr="006F2C49" w:rsidRDefault="00854F34" w:rsidP="00D36933">
      <w:pPr>
        <w:widowControl w:val="0"/>
        <w:autoSpaceDE w:val="0"/>
        <w:autoSpaceDN w:val="0"/>
        <w:adjustRightInd w:val="0"/>
        <w:ind w:left="480" w:hanging="480"/>
        <w:rPr>
          <w:noProof/>
          <w:sz w:val="22"/>
          <w:szCs w:val="22"/>
        </w:rPr>
      </w:pPr>
      <w:r w:rsidRPr="005D4501">
        <w:rPr>
          <w:sz w:val="22"/>
          <w:szCs w:val="22"/>
        </w:rPr>
        <w:fldChar w:fldCharType="begin" w:fldLock="1"/>
      </w:r>
      <w:r w:rsidRPr="001D2D8B">
        <w:rPr>
          <w:sz w:val="22"/>
          <w:szCs w:val="22"/>
        </w:rPr>
        <w:instrText xml:space="preserve">ADDIN Mendeley Bibliography CSL_BIBLIOGRAPHY </w:instrText>
      </w:r>
      <w:r w:rsidRPr="005D4501">
        <w:rPr>
          <w:sz w:val="22"/>
          <w:szCs w:val="22"/>
        </w:rPr>
        <w:fldChar w:fldCharType="separate"/>
      </w:r>
      <w:r w:rsidR="00D36933" w:rsidRPr="001D2D8B">
        <w:rPr>
          <w:noProof/>
          <w:sz w:val="22"/>
          <w:szCs w:val="22"/>
        </w:rPr>
        <w:t xml:space="preserve">Agarwal R, Ganco M, Ziedonis RH. 2009. </w:t>
      </w:r>
      <w:r w:rsidR="00D36933" w:rsidRPr="005D4501">
        <w:rPr>
          <w:noProof/>
          <w:sz w:val="22"/>
          <w:szCs w:val="22"/>
        </w:rPr>
        <w:t xml:space="preserve">Reputations for toughness in patent enforcement: Implications for knowledge spillovers via inventor mobility. </w:t>
      </w:r>
      <w:r w:rsidR="00D36933" w:rsidRPr="00A4092E">
        <w:rPr>
          <w:i/>
          <w:iCs/>
          <w:noProof/>
          <w:sz w:val="22"/>
          <w:szCs w:val="22"/>
        </w:rPr>
        <w:t>Strategic Management Journal</w:t>
      </w:r>
      <w:r w:rsidR="00D36933" w:rsidRPr="00A4092E">
        <w:rPr>
          <w:noProof/>
          <w:sz w:val="22"/>
          <w:szCs w:val="22"/>
        </w:rPr>
        <w:t xml:space="preserve">. Wiley Online Library </w:t>
      </w:r>
      <w:r w:rsidR="00D36933" w:rsidRPr="006F2C49">
        <w:rPr>
          <w:b/>
          <w:bCs/>
          <w:noProof/>
          <w:sz w:val="22"/>
          <w:szCs w:val="22"/>
        </w:rPr>
        <w:t>30</w:t>
      </w:r>
      <w:r w:rsidR="00D36933" w:rsidRPr="006F2C49">
        <w:rPr>
          <w:noProof/>
          <w:sz w:val="22"/>
          <w:szCs w:val="22"/>
        </w:rPr>
        <w:t>(13): 1349–1374.</w:t>
      </w:r>
    </w:p>
    <w:p w14:paraId="39E265CF" w14:textId="77777777" w:rsidR="00D36933" w:rsidRPr="00D03986" w:rsidRDefault="00D36933" w:rsidP="00D36933">
      <w:pPr>
        <w:widowControl w:val="0"/>
        <w:autoSpaceDE w:val="0"/>
        <w:autoSpaceDN w:val="0"/>
        <w:adjustRightInd w:val="0"/>
        <w:ind w:left="480" w:hanging="480"/>
        <w:rPr>
          <w:noProof/>
          <w:sz w:val="22"/>
          <w:szCs w:val="22"/>
        </w:rPr>
      </w:pPr>
      <w:r w:rsidRPr="004534D7">
        <w:rPr>
          <w:noProof/>
          <w:sz w:val="22"/>
          <w:szCs w:val="22"/>
        </w:rPr>
        <w:t xml:space="preserve">Almeida P, Kogut B. 1999. Localization of knowledge and the mobility of engineers in regional networks. </w:t>
      </w:r>
      <w:r w:rsidRPr="004534D7">
        <w:rPr>
          <w:i/>
          <w:iCs/>
          <w:noProof/>
          <w:sz w:val="22"/>
          <w:szCs w:val="22"/>
        </w:rPr>
        <w:t>Management Science</w:t>
      </w:r>
      <w:r w:rsidRPr="004534D7">
        <w:rPr>
          <w:noProof/>
          <w:sz w:val="22"/>
          <w:szCs w:val="22"/>
        </w:rPr>
        <w:t xml:space="preserve"> </w:t>
      </w:r>
      <w:r w:rsidRPr="00D03986">
        <w:rPr>
          <w:b/>
          <w:bCs/>
          <w:noProof/>
          <w:sz w:val="22"/>
          <w:szCs w:val="22"/>
        </w:rPr>
        <w:t>45</w:t>
      </w:r>
      <w:r w:rsidRPr="00D03986">
        <w:rPr>
          <w:noProof/>
          <w:sz w:val="22"/>
          <w:szCs w:val="22"/>
        </w:rPr>
        <w:t>(7): 905–917.</w:t>
      </w:r>
    </w:p>
    <w:p w14:paraId="3D689489" w14:textId="77777777" w:rsidR="00D36933" w:rsidRPr="009C1B65" w:rsidRDefault="00D36933" w:rsidP="00D36933">
      <w:pPr>
        <w:widowControl w:val="0"/>
        <w:autoSpaceDE w:val="0"/>
        <w:autoSpaceDN w:val="0"/>
        <w:adjustRightInd w:val="0"/>
        <w:ind w:left="480" w:hanging="480"/>
        <w:rPr>
          <w:noProof/>
          <w:sz w:val="22"/>
          <w:szCs w:val="22"/>
        </w:rPr>
      </w:pPr>
      <w:r w:rsidRPr="009C1B65">
        <w:rPr>
          <w:noProof/>
          <w:sz w:val="22"/>
          <w:szCs w:val="22"/>
        </w:rPr>
        <w:t xml:space="preserve">Amit R, Muller E, Cockburn I. 1995. Opportunity costs and entrepreneurial activity. </w:t>
      </w:r>
      <w:r w:rsidRPr="009C1B65">
        <w:rPr>
          <w:i/>
          <w:iCs/>
          <w:noProof/>
          <w:sz w:val="22"/>
          <w:szCs w:val="22"/>
        </w:rPr>
        <w:t>Journal of business venturing</w:t>
      </w:r>
      <w:r w:rsidRPr="009C1B65">
        <w:rPr>
          <w:noProof/>
          <w:sz w:val="22"/>
          <w:szCs w:val="22"/>
        </w:rPr>
        <w:t xml:space="preserve">. Elsevier </w:t>
      </w:r>
      <w:r w:rsidRPr="009C1B65">
        <w:rPr>
          <w:b/>
          <w:bCs/>
          <w:noProof/>
          <w:sz w:val="22"/>
          <w:szCs w:val="22"/>
        </w:rPr>
        <w:t>10</w:t>
      </w:r>
      <w:r w:rsidRPr="009C1B65">
        <w:rPr>
          <w:noProof/>
          <w:sz w:val="22"/>
          <w:szCs w:val="22"/>
        </w:rPr>
        <w:t>(2): 95–106.</w:t>
      </w:r>
    </w:p>
    <w:p w14:paraId="7017198B" w14:textId="77777777" w:rsidR="00D36933" w:rsidRPr="004756A3" w:rsidRDefault="00D36933" w:rsidP="00D36933">
      <w:pPr>
        <w:widowControl w:val="0"/>
        <w:autoSpaceDE w:val="0"/>
        <w:autoSpaceDN w:val="0"/>
        <w:adjustRightInd w:val="0"/>
        <w:ind w:left="480" w:hanging="480"/>
        <w:rPr>
          <w:noProof/>
          <w:sz w:val="22"/>
          <w:szCs w:val="22"/>
        </w:rPr>
      </w:pPr>
      <w:r w:rsidRPr="009C1B65">
        <w:rPr>
          <w:noProof/>
          <w:sz w:val="22"/>
          <w:szCs w:val="22"/>
        </w:rPr>
        <w:t xml:space="preserve">Armanios DE, Eesley CE, Li J, Eisenhardt KM. 2017. How entrepreneurs leverage institutional intermediaries in emerging economies to acquire public resources. </w:t>
      </w:r>
      <w:r w:rsidRPr="009C1B65">
        <w:rPr>
          <w:i/>
          <w:iCs/>
          <w:noProof/>
          <w:sz w:val="22"/>
          <w:szCs w:val="22"/>
        </w:rPr>
        <w:t>Strategic Management Journal</w:t>
      </w:r>
      <w:r w:rsidRPr="004100F6">
        <w:rPr>
          <w:noProof/>
          <w:sz w:val="22"/>
          <w:szCs w:val="22"/>
        </w:rPr>
        <w:t xml:space="preserve"> </w:t>
      </w:r>
      <w:r w:rsidRPr="004100F6">
        <w:rPr>
          <w:b/>
          <w:bCs/>
          <w:noProof/>
          <w:sz w:val="22"/>
          <w:szCs w:val="22"/>
        </w:rPr>
        <w:t>38</w:t>
      </w:r>
      <w:r w:rsidRPr="004756A3">
        <w:rPr>
          <w:noProof/>
          <w:sz w:val="22"/>
          <w:szCs w:val="22"/>
        </w:rPr>
        <w:t>(7): 1373–1390.</w:t>
      </w:r>
    </w:p>
    <w:p w14:paraId="413BD82A"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Armour J, Cumming D. 2008. Bankruptcy law and entrepreneurship. </w:t>
      </w:r>
      <w:r w:rsidRPr="004756A3">
        <w:rPr>
          <w:i/>
          <w:iCs/>
          <w:noProof/>
          <w:sz w:val="22"/>
          <w:szCs w:val="22"/>
        </w:rPr>
        <w:t>American Law and Economics Review</w:t>
      </w:r>
      <w:r w:rsidRPr="004756A3">
        <w:rPr>
          <w:noProof/>
          <w:sz w:val="22"/>
          <w:szCs w:val="22"/>
        </w:rPr>
        <w:t xml:space="preserve"> </w:t>
      </w:r>
      <w:r w:rsidRPr="004756A3">
        <w:rPr>
          <w:b/>
          <w:bCs/>
          <w:noProof/>
          <w:sz w:val="22"/>
          <w:szCs w:val="22"/>
        </w:rPr>
        <w:t>10</w:t>
      </w:r>
      <w:r w:rsidRPr="004756A3">
        <w:rPr>
          <w:noProof/>
          <w:sz w:val="22"/>
          <w:szCs w:val="22"/>
        </w:rPr>
        <w:t>(2): 303–350.</w:t>
      </w:r>
    </w:p>
    <w:p w14:paraId="2FE0A80A"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Barney JB. 1991. Firm resources and sustained competitive advantage. </w:t>
      </w:r>
      <w:r w:rsidRPr="004756A3">
        <w:rPr>
          <w:i/>
          <w:iCs/>
          <w:noProof/>
          <w:sz w:val="22"/>
          <w:szCs w:val="22"/>
        </w:rPr>
        <w:t>Journal of Management</w:t>
      </w:r>
      <w:r w:rsidRPr="004756A3">
        <w:rPr>
          <w:noProof/>
          <w:sz w:val="22"/>
          <w:szCs w:val="22"/>
        </w:rPr>
        <w:t xml:space="preserve"> </w:t>
      </w:r>
      <w:r w:rsidRPr="004756A3">
        <w:rPr>
          <w:b/>
          <w:bCs/>
          <w:noProof/>
          <w:sz w:val="22"/>
          <w:szCs w:val="22"/>
        </w:rPr>
        <w:t>17</w:t>
      </w:r>
      <w:r w:rsidRPr="004756A3">
        <w:rPr>
          <w:noProof/>
          <w:sz w:val="22"/>
          <w:szCs w:val="22"/>
        </w:rPr>
        <w:t>(1): 99–120.</w:t>
      </w:r>
    </w:p>
    <w:p w14:paraId="589B46DF"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Baron JN, Hannan MT, Burton MD. 2001. Labor pains: change in organizational models and employee turnover in young, high-tech firms. </w:t>
      </w:r>
      <w:r w:rsidRPr="004756A3">
        <w:rPr>
          <w:i/>
          <w:iCs/>
          <w:noProof/>
          <w:sz w:val="22"/>
          <w:szCs w:val="22"/>
        </w:rPr>
        <w:t>American Journal of Sociology</w:t>
      </w:r>
      <w:r w:rsidRPr="004756A3">
        <w:rPr>
          <w:noProof/>
          <w:sz w:val="22"/>
          <w:szCs w:val="22"/>
        </w:rPr>
        <w:t xml:space="preserve"> </w:t>
      </w:r>
      <w:r w:rsidRPr="004756A3">
        <w:rPr>
          <w:b/>
          <w:bCs/>
          <w:noProof/>
          <w:sz w:val="22"/>
          <w:szCs w:val="22"/>
        </w:rPr>
        <w:t>106</w:t>
      </w:r>
      <w:r w:rsidRPr="004756A3">
        <w:rPr>
          <w:noProof/>
          <w:sz w:val="22"/>
          <w:szCs w:val="22"/>
        </w:rPr>
        <w:t>(4): 960–1012.</w:t>
      </w:r>
    </w:p>
    <w:p w14:paraId="57FABE8A"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Bertrand M, Mullainathan S. 2003. Enjoying the Quiet Life? Corporate Governance and Managerial Preferences. </w:t>
      </w:r>
      <w:r w:rsidRPr="004756A3">
        <w:rPr>
          <w:i/>
          <w:iCs/>
          <w:noProof/>
          <w:sz w:val="22"/>
          <w:szCs w:val="22"/>
        </w:rPr>
        <w:t>Journal of Political Economy</w:t>
      </w:r>
      <w:r w:rsidRPr="004756A3">
        <w:rPr>
          <w:noProof/>
          <w:sz w:val="22"/>
          <w:szCs w:val="22"/>
        </w:rPr>
        <w:t xml:space="preserve"> </w:t>
      </w:r>
      <w:r w:rsidRPr="004756A3">
        <w:rPr>
          <w:b/>
          <w:bCs/>
          <w:noProof/>
          <w:sz w:val="22"/>
          <w:szCs w:val="22"/>
        </w:rPr>
        <w:t>111</w:t>
      </w:r>
      <w:r w:rsidRPr="004756A3">
        <w:rPr>
          <w:noProof/>
          <w:sz w:val="22"/>
          <w:szCs w:val="22"/>
        </w:rPr>
        <w:t>(5): 1043–1075.</w:t>
      </w:r>
    </w:p>
    <w:p w14:paraId="496C92B1"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Bidwell M, Won S, Barbulescu R, Mollick E. 2015. I used to work at Goldman Sachs! How firms benefit from organizational status in the market for human capital. </w:t>
      </w:r>
      <w:r w:rsidRPr="004756A3">
        <w:rPr>
          <w:i/>
          <w:iCs/>
          <w:noProof/>
          <w:sz w:val="22"/>
          <w:szCs w:val="22"/>
        </w:rPr>
        <w:t>Strategic Management Journal</w:t>
      </w:r>
      <w:r w:rsidRPr="004756A3">
        <w:rPr>
          <w:noProof/>
          <w:sz w:val="22"/>
          <w:szCs w:val="22"/>
        </w:rPr>
        <w:t xml:space="preserve"> </w:t>
      </w:r>
      <w:r w:rsidRPr="004756A3">
        <w:rPr>
          <w:b/>
          <w:bCs/>
          <w:noProof/>
          <w:sz w:val="22"/>
          <w:szCs w:val="22"/>
        </w:rPr>
        <w:t>36</w:t>
      </w:r>
      <w:r w:rsidRPr="004756A3">
        <w:rPr>
          <w:noProof/>
          <w:sz w:val="22"/>
          <w:szCs w:val="22"/>
        </w:rPr>
        <w:t>(8): 1164–1173.</w:t>
      </w:r>
    </w:p>
    <w:p w14:paraId="654472FB"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Bigelow L, Lundmark L, McLean Parks J, Wuebker R. 2014. Skirting the Issues: Experimental Evidence of Gender Bias in IPO Prospectus Evaluations. </w:t>
      </w:r>
      <w:r w:rsidRPr="004756A3">
        <w:rPr>
          <w:i/>
          <w:iCs/>
          <w:noProof/>
          <w:sz w:val="22"/>
          <w:szCs w:val="22"/>
        </w:rPr>
        <w:t>Journal of Management</w:t>
      </w:r>
      <w:r w:rsidRPr="004756A3">
        <w:rPr>
          <w:noProof/>
          <w:sz w:val="22"/>
          <w:szCs w:val="22"/>
        </w:rPr>
        <w:t xml:space="preserve"> </w:t>
      </w:r>
      <w:r w:rsidRPr="004756A3">
        <w:rPr>
          <w:b/>
          <w:bCs/>
          <w:noProof/>
          <w:sz w:val="22"/>
          <w:szCs w:val="22"/>
        </w:rPr>
        <w:t>40</w:t>
      </w:r>
      <w:r w:rsidRPr="004756A3">
        <w:rPr>
          <w:noProof/>
          <w:sz w:val="22"/>
          <w:szCs w:val="22"/>
        </w:rPr>
        <w:t>(6): 1732–1759.</w:t>
      </w:r>
    </w:p>
    <w:p w14:paraId="0DFBE97E"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Blanchflower DG, Levine PB, Zimmerman DJ. 2003. Discrimination in the small-business credit market. </w:t>
      </w:r>
      <w:r w:rsidRPr="004756A3">
        <w:rPr>
          <w:i/>
          <w:iCs/>
          <w:noProof/>
          <w:sz w:val="22"/>
          <w:szCs w:val="22"/>
        </w:rPr>
        <w:t>Review of Economics and Statistics</w:t>
      </w:r>
      <w:r w:rsidRPr="004756A3">
        <w:rPr>
          <w:noProof/>
          <w:sz w:val="22"/>
          <w:szCs w:val="22"/>
        </w:rPr>
        <w:t xml:space="preserve"> </w:t>
      </w:r>
      <w:r w:rsidRPr="004756A3">
        <w:rPr>
          <w:b/>
          <w:bCs/>
          <w:noProof/>
          <w:sz w:val="22"/>
          <w:szCs w:val="22"/>
        </w:rPr>
        <w:t>85</w:t>
      </w:r>
      <w:r w:rsidRPr="004756A3">
        <w:rPr>
          <w:noProof/>
          <w:sz w:val="22"/>
          <w:szCs w:val="22"/>
        </w:rPr>
        <w:t>(4): 930–943.</w:t>
      </w:r>
    </w:p>
    <w:p w14:paraId="1439463E"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Blyler M, Coff RW. 2003. Dynamic capabilities, social capital, and rent appropriation: Ties that split pies. </w:t>
      </w:r>
      <w:r w:rsidRPr="004756A3">
        <w:rPr>
          <w:i/>
          <w:iCs/>
          <w:noProof/>
          <w:sz w:val="22"/>
          <w:szCs w:val="22"/>
        </w:rPr>
        <w:t>Strategic Management Journal</w:t>
      </w:r>
      <w:r w:rsidRPr="004756A3">
        <w:rPr>
          <w:noProof/>
          <w:sz w:val="22"/>
          <w:szCs w:val="22"/>
        </w:rPr>
        <w:t xml:space="preserve"> </w:t>
      </w:r>
      <w:r w:rsidRPr="004756A3">
        <w:rPr>
          <w:b/>
          <w:bCs/>
          <w:noProof/>
          <w:sz w:val="22"/>
          <w:szCs w:val="22"/>
        </w:rPr>
        <w:t>24</w:t>
      </w:r>
      <w:r w:rsidRPr="004756A3">
        <w:rPr>
          <w:noProof/>
          <w:sz w:val="22"/>
          <w:szCs w:val="22"/>
        </w:rPr>
        <w:t>(7): 677–686. Available at: http://doi.wiley.com/10.1002/smj.327.</w:t>
      </w:r>
    </w:p>
    <w:p w14:paraId="1886B7A2"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Branstetter L, Lima F, Taylor LJ, Venâncio A. 2014. Do entry regulations deter entrepreneurship and job creation? Evidence from recent reforms in Portugal. </w:t>
      </w:r>
      <w:r w:rsidRPr="004756A3">
        <w:rPr>
          <w:i/>
          <w:iCs/>
          <w:noProof/>
          <w:sz w:val="22"/>
          <w:szCs w:val="22"/>
        </w:rPr>
        <w:t>The Economic Journal</w:t>
      </w:r>
      <w:r w:rsidRPr="004756A3">
        <w:rPr>
          <w:noProof/>
          <w:sz w:val="22"/>
          <w:szCs w:val="22"/>
        </w:rPr>
        <w:t xml:space="preserve"> </w:t>
      </w:r>
      <w:r w:rsidRPr="004756A3">
        <w:rPr>
          <w:b/>
          <w:bCs/>
          <w:noProof/>
          <w:sz w:val="22"/>
          <w:szCs w:val="22"/>
        </w:rPr>
        <w:t>124</w:t>
      </w:r>
      <w:r w:rsidRPr="004756A3">
        <w:rPr>
          <w:noProof/>
          <w:sz w:val="22"/>
          <w:szCs w:val="22"/>
        </w:rPr>
        <w:t>(577): 805–832.</w:t>
      </w:r>
    </w:p>
    <w:p w14:paraId="033F7F5F"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Briscoe F, Kellogg KC. 2011. The initial assignment effect: Local employer practices and positive career outcomes for work-family program users. </w:t>
      </w:r>
      <w:r w:rsidRPr="004756A3">
        <w:rPr>
          <w:i/>
          <w:iCs/>
          <w:noProof/>
          <w:sz w:val="22"/>
          <w:szCs w:val="22"/>
        </w:rPr>
        <w:t>American Sociological Review</w:t>
      </w:r>
      <w:r w:rsidRPr="004756A3">
        <w:rPr>
          <w:noProof/>
          <w:sz w:val="22"/>
          <w:szCs w:val="22"/>
        </w:rPr>
        <w:t xml:space="preserve"> </w:t>
      </w:r>
      <w:r w:rsidRPr="004756A3">
        <w:rPr>
          <w:b/>
          <w:bCs/>
          <w:noProof/>
          <w:sz w:val="22"/>
          <w:szCs w:val="22"/>
        </w:rPr>
        <w:t>76</w:t>
      </w:r>
      <w:r w:rsidRPr="004756A3">
        <w:rPr>
          <w:noProof/>
          <w:sz w:val="22"/>
          <w:szCs w:val="22"/>
        </w:rPr>
        <w:t>(2): 291–319.</w:t>
      </w:r>
    </w:p>
    <w:p w14:paraId="360617DC"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Brooks AW, Huang L, Kearney SW, Murray FE. 2014. Investors prefer entrepreneurial ventures pitched by attractive men. </w:t>
      </w:r>
      <w:r w:rsidRPr="004756A3">
        <w:rPr>
          <w:i/>
          <w:iCs/>
          <w:noProof/>
          <w:sz w:val="22"/>
          <w:szCs w:val="22"/>
        </w:rPr>
        <w:t>Proceedings of the National Academy of Sciences</w:t>
      </w:r>
      <w:r w:rsidRPr="004756A3">
        <w:rPr>
          <w:noProof/>
          <w:sz w:val="22"/>
          <w:szCs w:val="22"/>
        </w:rPr>
        <w:t xml:space="preserve"> </w:t>
      </w:r>
      <w:r w:rsidRPr="004756A3">
        <w:rPr>
          <w:b/>
          <w:bCs/>
          <w:noProof/>
          <w:sz w:val="22"/>
          <w:szCs w:val="22"/>
        </w:rPr>
        <w:t>111</w:t>
      </w:r>
      <w:r w:rsidRPr="004756A3">
        <w:rPr>
          <w:noProof/>
          <w:sz w:val="22"/>
          <w:szCs w:val="22"/>
        </w:rPr>
        <w:t>(12): 4427–4431.</w:t>
      </w:r>
    </w:p>
    <w:p w14:paraId="22CE1D2E"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Brush CG, Carter NM, Greene PG, Hart MM, Gatewood L. 2002. The role of social capital and gender in linking financial suppliers and entrepreneurial firms: A framework for future research. </w:t>
      </w:r>
      <w:r w:rsidRPr="004756A3">
        <w:rPr>
          <w:i/>
          <w:iCs/>
          <w:noProof/>
          <w:sz w:val="22"/>
          <w:szCs w:val="22"/>
        </w:rPr>
        <w:t>Venture Capital</w:t>
      </w:r>
      <w:r w:rsidRPr="004756A3">
        <w:rPr>
          <w:noProof/>
          <w:sz w:val="22"/>
          <w:szCs w:val="22"/>
        </w:rPr>
        <w:t xml:space="preserve"> </w:t>
      </w:r>
      <w:r w:rsidRPr="004756A3">
        <w:rPr>
          <w:b/>
          <w:bCs/>
          <w:noProof/>
          <w:sz w:val="22"/>
          <w:szCs w:val="22"/>
        </w:rPr>
        <w:t>4</w:t>
      </w:r>
      <w:r w:rsidRPr="004756A3">
        <w:rPr>
          <w:noProof/>
          <w:sz w:val="22"/>
          <w:szCs w:val="22"/>
        </w:rPr>
        <w:t>(4): 305–323.</w:t>
      </w:r>
    </w:p>
    <w:p w14:paraId="5842386A"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Budig MJ. 2006. Gender, self-employment, and earnings: The interlocking structures of family and professional status. </w:t>
      </w:r>
      <w:r w:rsidRPr="004756A3">
        <w:rPr>
          <w:i/>
          <w:iCs/>
          <w:noProof/>
          <w:sz w:val="22"/>
          <w:szCs w:val="22"/>
        </w:rPr>
        <w:t>Gender and Society</w:t>
      </w:r>
      <w:r w:rsidRPr="004756A3">
        <w:rPr>
          <w:noProof/>
          <w:sz w:val="22"/>
          <w:szCs w:val="22"/>
        </w:rPr>
        <w:t xml:space="preserve"> </w:t>
      </w:r>
      <w:r w:rsidRPr="004756A3">
        <w:rPr>
          <w:b/>
          <w:bCs/>
          <w:noProof/>
          <w:sz w:val="22"/>
          <w:szCs w:val="22"/>
        </w:rPr>
        <w:t>20</w:t>
      </w:r>
      <w:r w:rsidRPr="004756A3">
        <w:rPr>
          <w:noProof/>
          <w:sz w:val="22"/>
          <w:szCs w:val="22"/>
        </w:rPr>
        <w:t>(6): 725–753.</w:t>
      </w:r>
    </w:p>
    <w:p w14:paraId="305545AB" w14:textId="31081BB6" w:rsidR="00D36933" w:rsidRPr="004756A3" w:rsidRDefault="00D36933" w:rsidP="00354B9A">
      <w:pPr>
        <w:widowControl w:val="0"/>
        <w:autoSpaceDE w:val="0"/>
        <w:autoSpaceDN w:val="0"/>
        <w:adjustRightInd w:val="0"/>
        <w:ind w:left="480" w:hanging="480"/>
        <w:rPr>
          <w:noProof/>
          <w:sz w:val="22"/>
          <w:szCs w:val="22"/>
        </w:rPr>
      </w:pPr>
      <w:r w:rsidRPr="004756A3">
        <w:rPr>
          <w:noProof/>
          <w:sz w:val="22"/>
          <w:szCs w:val="22"/>
        </w:rPr>
        <w:t xml:space="preserve">Burke RJ, McKeen CA. 1996. Do women at the top make a difference? Gender proportions and the experiences of managerial and professional women. </w:t>
      </w:r>
      <w:r w:rsidRPr="004756A3">
        <w:rPr>
          <w:i/>
          <w:iCs/>
          <w:noProof/>
          <w:sz w:val="22"/>
          <w:szCs w:val="22"/>
        </w:rPr>
        <w:t>Human Relations</w:t>
      </w:r>
      <w:r w:rsidRPr="004756A3">
        <w:rPr>
          <w:noProof/>
          <w:sz w:val="22"/>
          <w:szCs w:val="22"/>
        </w:rPr>
        <w:t xml:space="preserve">. Periodicals Service Company Germantown, NY </w:t>
      </w:r>
      <w:r w:rsidRPr="004756A3">
        <w:rPr>
          <w:b/>
          <w:bCs/>
          <w:noProof/>
          <w:sz w:val="22"/>
          <w:szCs w:val="22"/>
        </w:rPr>
        <w:t>49</w:t>
      </w:r>
      <w:r w:rsidRPr="004756A3">
        <w:rPr>
          <w:noProof/>
          <w:sz w:val="22"/>
          <w:szCs w:val="22"/>
        </w:rPr>
        <w:t>(8): 1093–1104.</w:t>
      </w:r>
    </w:p>
    <w:p w14:paraId="525E8078"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Campbell B, Ganco M. 2012. Who leaves, where to, and why worry? Employee mobility, entrepreneurship and effects on source firm performance. </w:t>
      </w:r>
      <w:r w:rsidRPr="004756A3">
        <w:rPr>
          <w:i/>
          <w:iCs/>
          <w:noProof/>
          <w:sz w:val="22"/>
          <w:szCs w:val="22"/>
        </w:rPr>
        <w:t>Strategic Management Journal</w:t>
      </w:r>
      <w:r w:rsidRPr="004756A3">
        <w:rPr>
          <w:noProof/>
          <w:sz w:val="22"/>
          <w:szCs w:val="22"/>
        </w:rPr>
        <w:t xml:space="preserve"> </w:t>
      </w:r>
      <w:r w:rsidRPr="004756A3">
        <w:rPr>
          <w:b/>
          <w:bCs/>
          <w:noProof/>
          <w:sz w:val="22"/>
          <w:szCs w:val="22"/>
        </w:rPr>
        <w:t>33</w:t>
      </w:r>
      <w:r w:rsidRPr="004756A3">
        <w:rPr>
          <w:noProof/>
          <w:sz w:val="22"/>
          <w:szCs w:val="22"/>
        </w:rPr>
        <w:t>: 65–87.</w:t>
      </w:r>
    </w:p>
    <w:p w14:paraId="0E736326"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Canning J, Haque M, Wang Y. 2012. Women at the Wheel. </w:t>
      </w:r>
      <w:r w:rsidRPr="004756A3">
        <w:rPr>
          <w:i/>
          <w:iCs/>
          <w:noProof/>
          <w:sz w:val="22"/>
          <w:szCs w:val="22"/>
        </w:rPr>
        <w:t>New York</w:t>
      </w:r>
      <w:r w:rsidRPr="004756A3">
        <w:rPr>
          <w:noProof/>
          <w:sz w:val="22"/>
          <w:szCs w:val="22"/>
        </w:rPr>
        <w:t>.</w:t>
      </w:r>
    </w:p>
    <w:p w14:paraId="7BAF5D53"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Carnahan S, Agarwal R, Campbell BA. 2012. Heterogeneity in turnover: The effect of relative compensation dispersion of firms on the mobility and entrepreneurship of extreme performers. </w:t>
      </w:r>
      <w:r w:rsidRPr="004756A3">
        <w:rPr>
          <w:i/>
          <w:iCs/>
          <w:noProof/>
          <w:sz w:val="22"/>
          <w:szCs w:val="22"/>
        </w:rPr>
        <w:t>Strategic Management Journal</w:t>
      </w:r>
      <w:r w:rsidRPr="004756A3">
        <w:rPr>
          <w:noProof/>
          <w:sz w:val="22"/>
          <w:szCs w:val="22"/>
        </w:rPr>
        <w:t xml:space="preserve"> </w:t>
      </w:r>
      <w:r w:rsidRPr="004756A3">
        <w:rPr>
          <w:b/>
          <w:bCs/>
          <w:noProof/>
          <w:sz w:val="22"/>
          <w:szCs w:val="22"/>
        </w:rPr>
        <w:t>33</w:t>
      </w:r>
      <w:r w:rsidRPr="004756A3">
        <w:rPr>
          <w:noProof/>
          <w:sz w:val="22"/>
          <w:szCs w:val="22"/>
        </w:rPr>
        <w:t>(12): 1411–1430.</w:t>
      </w:r>
    </w:p>
    <w:p w14:paraId="7EE69230" w14:textId="1DA651F1" w:rsidR="002872E1" w:rsidRPr="004756A3" w:rsidRDefault="002872E1">
      <w:pPr>
        <w:widowControl w:val="0"/>
        <w:autoSpaceDE w:val="0"/>
        <w:autoSpaceDN w:val="0"/>
        <w:adjustRightInd w:val="0"/>
        <w:ind w:left="480" w:hanging="480"/>
        <w:rPr>
          <w:noProof/>
          <w:sz w:val="22"/>
          <w:szCs w:val="22"/>
        </w:rPr>
      </w:pPr>
      <w:r w:rsidRPr="004756A3">
        <w:rPr>
          <w:noProof/>
          <w:sz w:val="22"/>
          <w:szCs w:val="22"/>
        </w:rPr>
        <w:t>Castellaneta F, Conti R, Veloso FM,  Kemeny CA. 2016. The effect of trade secret legal protection on venture capital investments: evidence from the inevitable disclosure doctrine, J</w:t>
      </w:r>
      <w:r w:rsidRPr="004756A3">
        <w:rPr>
          <w:i/>
          <w:noProof/>
          <w:sz w:val="22"/>
          <w:szCs w:val="22"/>
        </w:rPr>
        <w:t>ournal of Business Venturing</w:t>
      </w:r>
      <w:r w:rsidRPr="004756A3">
        <w:rPr>
          <w:noProof/>
          <w:sz w:val="22"/>
          <w:szCs w:val="22"/>
        </w:rPr>
        <w:t>, </w:t>
      </w:r>
      <w:r w:rsidRPr="004756A3">
        <w:rPr>
          <w:b/>
          <w:noProof/>
          <w:sz w:val="22"/>
          <w:szCs w:val="22"/>
        </w:rPr>
        <w:t>31</w:t>
      </w:r>
      <w:r w:rsidRPr="004756A3">
        <w:rPr>
          <w:noProof/>
          <w:sz w:val="22"/>
          <w:szCs w:val="22"/>
        </w:rPr>
        <w:t>(5): 524-541</w:t>
      </w:r>
    </w:p>
    <w:p w14:paraId="3336F3E0" w14:textId="3080B2F6" w:rsidR="00D36933" w:rsidRPr="004756A3" w:rsidRDefault="00D36933" w:rsidP="00443EE4">
      <w:pPr>
        <w:widowControl w:val="0"/>
        <w:autoSpaceDE w:val="0"/>
        <w:autoSpaceDN w:val="0"/>
        <w:adjustRightInd w:val="0"/>
        <w:ind w:left="480" w:hanging="480"/>
        <w:rPr>
          <w:noProof/>
          <w:sz w:val="22"/>
          <w:szCs w:val="22"/>
        </w:rPr>
      </w:pPr>
      <w:r w:rsidRPr="004756A3">
        <w:rPr>
          <w:noProof/>
          <w:sz w:val="22"/>
          <w:szCs w:val="22"/>
        </w:rPr>
        <w:t xml:space="preserve">Castilla EJ. 2011. Bringing managers back in: Managerial influences on workplace inequality. </w:t>
      </w:r>
      <w:r w:rsidRPr="004756A3">
        <w:rPr>
          <w:i/>
          <w:iCs/>
          <w:noProof/>
          <w:sz w:val="22"/>
          <w:szCs w:val="22"/>
        </w:rPr>
        <w:t>American Sociological Review</w:t>
      </w:r>
      <w:r w:rsidRPr="004756A3">
        <w:rPr>
          <w:noProof/>
          <w:sz w:val="22"/>
          <w:szCs w:val="22"/>
        </w:rPr>
        <w:t xml:space="preserve"> </w:t>
      </w:r>
      <w:r w:rsidRPr="004756A3">
        <w:rPr>
          <w:b/>
          <w:bCs/>
          <w:noProof/>
          <w:sz w:val="22"/>
          <w:szCs w:val="22"/>
        </w:rPr>
        <w:t>76</w:t>
      </w:r>
      <w:r w:rsidRPr="004756A3">
        <w:rPr>
          <w:noProof/>
          <w:sz w:val="22"/>
          <w:szCs w:val="22"/>
        </w:rPr>
        <w:t>(5): 667–694.</w:t>
      </w:r>
    </w:p>
    <w:p w14:paraId="726B64A4" w14:textId="77777777" w:rsidR="00D36933" w:rsidRPr="005D4501" w:rsidRDefault="00D36933" w:rsidP="00D36933">
      <w:pPr>
        <w:widowControl w:val="0"/>
        <w:autoSpaceDE w:val="0"/>
        <w:autoSpaceDN w:val="0"/>
        <w:adjustRightInd w:val="0"/>
        <w:ind w:left="480" w:hanging="480"/>
        <w:rPr>
          <w:noProof/>
          <w:sz w:val="22"/>
          <w:szCs w:val="22"/>
        </w:rPr>
      </w:pPr>
      <w:r w:rsidRPr="004756A3">
        <w:rPr>
          <w:noProof/>
          <w:sz w:val="22"/>
          <w:szCs w:val="22"/>
        </w:rPr>
        <w:t>Ch</w:t>
      </w:r>
      <w:r w:rsidRPr="005D4501">
        <w:rPr>
          <w:noProof/>
          <w:sz w:val="22"/>
          <w:szCs w:val="22"/>
        </w:rPr>
        <w:t xml:space="preserve">atterji AK, Seamans RC. 2012. Entrepreneurial finance, credit cards, and race. </w:t>
      </w:r>
      <w:r w:rsidRPr="005D4501">
        <w:rPr>
          <w:i/>
          <w:iCs/>
          <w:noProof/>
          <w:sz w:val="22"/>
          <w:szCs w:val="22"/>
        </w:rPr>
        <w:t>Journal of Financial Economics</w:t>
      </w:r>
      <w:r w:rsidRPr="005D4501">
        <w:rPr>
          <w:noProof/>
          <w:sz w:val="22"/>
          <w:szCs w:val="22"/>
        </w:rPr>
        <w:t xml:space="preserve">. Elsevier </w:t>
      </w:r>
      <w:r w:rsidRPr="005D4501">
        <w:rPr>
          <w:b/>
          <w:bCs/>
          <w:noProof/>
          <w:sz w:val="22"/>
          <w:szCs w:val="22"/>
        </w:rPr>
        <w:t>106</w:t>
      </w:r>
      <w:r w:rsidRPr="005D4501">
        <w:rPr>
          <w:noProof/>
          <w:sz w:val="22"/>
          <w:szCs w:val="22"/>
        </w:rPr>
        <w:t>(1): 182–195.</w:t>
      </w:r>
    </w:p>
    <w:p w14:paraId="1D00EC5A" w14:textId="77777777" w:rsidR="00D36933" w:rsidRPr="005D4501" w:rsidRDefault="00D36933" w:rsidP="00D36933">
      <w:pPr>
        <w:widowControl w:val="0"/>
        <w:autoSpaceDE w:val="0"/>
        <w:autoSpaceDN w:val="0"/>
        <w:adjustRightInd w:val="0"/>
        <w:ind w:left="480" w:hanging="480"/>
        <w:rPr>
          <w:noProof/>
          <w:sz w:val="22"/>
          <w:szCs w:val="22"/>
        </w:rPr>
      </w:pPr>
      <w:r w:rsidRPr="005D4501">
        <w:rPr>
          <w:noProof/>
          <w:sz w:val="22"/>
          <w:szCs w:val="22"/>
        </w:rPr>
        <w:t xml:space="preserve">Chava S, Oettl A, Subramanian A, Subramanian K V. 2013. Banking deregulation and innovation. </w:t>
      </w:r>
      <w:r w:rsidRPr="005D4501">
        <w:rPr>
          <w:i/>
          <w:iCs/>
          <w:noProof/>
          <w:sz w:val="22"/>
          <w:szCs w:val="22"/>
        </w:rPr>
        <w:t>Journal of Financial Economics</w:t>
      </w:r>
      <w:r w:rsidRPr="005D4501">
        <w:rPr>
          <w:noProof/>
          <w:sz w:val="22"/>
          <w:szCs w:val="22"/>
        </w:rPr>
        <w:t xml:space="preserve"> </w:t>
      </w:r>
      <w:r w:rsidRPr="005D4501">
        <w:rPr>
          <w:b/>
          <w:bCs/>
          <w:noProof/>
          <w:sz w:val="22"/>
          <w:szCs w:val="22"/>
        </w:rPr>
        <w:t>109</w:t>
      </w:r>
      <w:r w:rsidRPr="005D4501">
        <w:rPr>
          <w:noProof/>
          <w:sz w:val="22"/>
          <w:szCs w:val="22"/>
        </w:rPr>
        <w:t>(3): 759–774.</w:t>
      </w:r>
    </w:p>
    <w:p w14:paraId="1EA0050F" w14:textId="28695818" w:rsidR="00A43CB6" w:rsidRPr="00387B98" w:rsidRDefault="00A43CB6" w:rsidP="00387B98">
      <w:pPr>
        <w:autoSpaceDE w:val="0"/>
        <w:autoSpaceDN w:val="0"/>
        <w:adjustRightInd w:val="0"/>
        <w:rPr>
          <w:rFonts w:eastAsiaTheme="minorHAnsi"/>
          <w:sz w:val="22"/>
          <w:szCs w:val="22"/>
        </w:rPr>
      </w:pPr>
      <w:r w:rsidRPr="00387B98">
        <w:rPr>
          <w:rFonts w:eastAsiaTheme="minorHAnsi"/>
          <w:sz w:val="22"/>
          <w:szCs w:val="22"/>
        </w:rPr>
        <w:t xml:space="preserve">Cotter, D.A., Hermsen, J.M., Ovadia, S. and Vanneman, R., ‘The Glass Ceiling Effect’, </w:t>
      </w:r>
      <w:r w:rsidRPr="00387B98">
        <w:rPr>
          <w:sz w:val="22"/>
          <w:szCs w:val="22"/>
        </w:rPr>
        <w:t xml:space="preserve">2001, </w:t>
      </w:r>
      <w:r w:rsidRPr="00387B98">
        <w:rPr>
          <w:i/>
          <w:iCs/>
          <w:sz w:val="22"/>
          <w:szCs w:val="22"/>
        </w:rPr>
        <w:t xml:space="preserve">Social </w:t>
      </w:r>
      <w:r w:rsidRPr="005D4501">
        <w:rPr>
          <w:i/>
          <w:iCs/>
          <w:sz w:val="22"/>
          <w:szCs w:val="22"/>
        </w:rPr>
        <w:tab/>
      </w:r>
      <w:r w:rsidRPr="00387B98">
        <w:rPr>
          <w:i/>
          <w:iCs/>
          <w:sz w:val="22"/>
          <w:szCs w:val="22"/>
        </w:rPr>
        <w:t>Forces</w:t>
      </w:r>
      <w:r w:rsidRPr="00387B98">
        <w:rPr>
          <w:sz w:val="22"/>
          <w:szCs w:val="22"/>
        </w:rPr>
        <w:t xml:space="preserve">, vol. </w:t>
      </w:r>
      <w:r w:rsidRPr="00387B98">
        <w:rPr>
          <w:b/>
          <w:sz w:val="22"/>
          <w:szCs w:val="22"/>
        </w:rPr>
        <w:t>80,</w:t>
      </w:r>
      <w:r w:rsidRPr="00387B98">
        <w:rPr>
          <w:sz w:val="22"/>
          <w:szCs w:val="22"/>
        </w:rPr>
        <w:t xml:space="preserve"> no. 2, pp. 655-682.</w:t>
      </w:r>
    </w:p>
    <w:p w14:paraId="63A86C3C" w14:textId="631102A9"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Coff RW. 1997. Human assets and management dilemmas: Coping with hazards on the road to resource-based theory. </w:t>
      </w:r>
      <w:r w:rsidRPr="004756A3">
        <w:rPr>
          <w:i/>
          <w:iCs/>
          <w:noProof/>
          <w:sz w:val="22"/>
          <w:szCs w:val="22"/>
        </w:rPr>
        <w:t>Academy of management review</w:t>
      </w:r>
      <w:r w:rsidRPr="004756A3">
        <w:rPr>
          <w:noProof/>
          <w:sz w:val="22"/>
          <w:szCs w:val="22"/>
        </w:rPr>
        <w:t xml:space="preserve">. Academy of Management Briarcliff Manor, NY 10510 </w:t>
      </w:r>
      <w:r w:rsidRPr="004756A3">
        <w:rPr>
          <w:b/>
          <w:bCs/>
          <w:noProof/>
          <w:sz w:val="22"/>
          <w:szCs w:val="22"/>
        </w:rPr>
        <w:t>22</w:t>
      </w:r>
      <w:r w:rsidRPr="004756A3">
        <w:rPr>
          <w:noProof/>
          <w:sz w:val="22"/>
          <w:szCs w:val="22"/>
        </w:rPr>
        <w:t>(2): 374–402.</w:t>
      </w:r>
    </w:p>
    <w:p w14:paraId="4F4D1EE0"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Coff RW. 2010. The coevolution of rent appropriation and capability development. </w:t>
      </w:r>
      <w:r w:rsidRPr="004756A3">
        <w:rPr>
          <w:i/>
          <w:iCs/>
          <w:noProof/>
          <w:sz w:val="22"/>
          <w:szCs w:val="22"/>
        </w:rPr>
        <w:t>Strategic Management Journal</w:t>
      </w:r>
      <w:r w:rsidRPr="004756A3">
        <w:rPr>
          <w:noProof/>
          <w:sz w:val="22"/>
          <w:szCs w:val="22"/>
        </w:rPr>
        <w:t xml:space="preserve">. Wiley Online Library </w:t>
      </w:r>
      <w:r w:rsidRPr="004756A3">
        <w:rPr>
          <w:b/>
          <w:bCs/>
          <w:noProof/>
          <w:sz w:val="22"/>
          <w:szCs w:val="22"/>
        </w:rPr>
        <w:t>31</w:t>
      </w:r>
      <w:r w:rsidRPr="004756A3">
        <w:rPr>
          <w:noProof/>
          <w:sz w:val="22"/>
          <w:szCs w:val="22"/>
        </w:rPr>
        <w:t>(7): 711–733.</w:t>
      </w:r>
    </w:p>
    <w:p w14:paraId="5CA6527D"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Cohen PN, Huffman ML. 2007. Working for the woman? Female managers and the gender wage gap. </w:t>
      </w:r>
      <w:r w:rsidRPr="004756A3">
        <w:rPr>
          <w:i/>
          <w:iCs/>
          <w:noProof/>
          <w:sz w:val="22"/>
          <w:szCs w:val="22"/>
        </w:rPr>
        <w:t>American Sociological Review</w:t>
      </w:r>
      <w:r w:rsidRPr="004756A3">
        <w:rPr>
          <w:noProof/>
          <w:sz w:val="22"/>
          <w:szCs w:val="22"/>
        </w:rPr>
        <w:t xml:space="preserve"> </w:t>
      </w:r>
      <w:r w:rsidRPr="004756A3">
        <w:rPr>
          <w:b/>
          <w:bCs/>
          <w:noProof/>
          <w:sz w:val="22"/>
          <w:szCs w:val="22"/>
        </w:rPr>
        <w:t>72</w:t>
      </w:r>
      <w:r w:rsidRPr="004756A3">
        <w:rPr>
          <w:noProof/>
          <w:sz w:val="22"/>
          <w:szCs w:val="22"/>
        </w:rPr>
        <w:t>(5): 681–704.</w:t>
      </w:r>
    </w:p>
    <w:p w14:paraId="73B75A73"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Conti R. 2014. Do non-competition agreements lead firms to pursue risky R&amp;D projects? </w:t>
      </w:r>
      <w:r w:rsidRPr="004756A3">
        <w:rPr>
          <w:i/>
          <w:iCs/>
          <w:noProof/>
          <w:sz w:val="22"/>
          <w:szCs w:val="22"/>
        </w:rPr>
        <w:t>Strategic Management Journal</w:t>
      </w:r>
      <w:r w:rsidRPr="004756A3">
        <w:rPr>
          <w:noProof/>
          <w:sz w:val="22"/>
          <w:szCs w:val="22"/>
        </w:rPr>
        <w:t xml:space="preserve">. Wiley Online Library </w:t>
      </w:r>
      <w:r w:rsidRPr="004756A3">
        <w:rPr>
          <w:b/>
          <w:bCs/>
          <w:noProof/>
          <w:sz w:val="22"/>
          <w:szCs w:val="22"/>
        </w:rPr>
        <w:t>35</w:t>
      </w:r>
      <w:r w:rsidRPr="004756A3">
        <w:rPr>
          <w:noProof/>
          <w:sz w:val="22"/>
          <w:szCs w:val="22"/>
        </w:rPr>
        <w:t>(8): 1230–1248.</w:t>
      </w:r>
    </w:p>
    <w:p w14:paraId="22513414" w14:textId="486081BD" w:rsidR="00443EE4" w:rsidRPr="00387B98" w:rsidRDefault="00443EE4" w:rsidP="00A43CB6">
      <w:pPr>
        <w:pStyle w:val="s3"/>
        <w:spacing w:before="0" w:beforeAutospacing="0" w:after="0" w:afterAutospacing="0" w:line="254" w:lineRule="atLeast"/>
        <w:rPr>
          <w:color w:val="000000"/>
          <w:sz w:val="22"/>
          <w:szCs w:val="22"/>
        </w:rPr>
      </w:pPr>
      <w:r w:rsidRPr="005D4501">
        <w:rPr>
          <w:noProof/>
          <w:sz w:val="22"/>
          <w:szCs w:val="22"/>
        </w:rPr>
        <w:t xml:space="preserve">Conti, R., Kacperczyk, A., Valentini, G. </w:t>
      </w:r>
      <w:r w:rsidRPr="005D4501">
        <w:rPr>
          <w:rStyle w:val="s4"/>
          <w:b/>
          <w:bCs/>
          <w:color w:val="000000"/>
          <w:sz w:val="22"/>
          <w:szCs w:val="22"/>
        </w:rPr>
        <w:t>T</w:t>
      </w:r>
      <w:r w:rsidRPr="005D4501">
        <w:rPr>
          <w:rStyle w:val="s4"/>
          <w:bCs/>
          <w:color w:val="000000"/>
          <w:sz w:val="22"/>
          <w:szCs w:val="22"/>
        </w:rPr>
        <w:t>he Impact of</w:t>
      </w:r>
      <w:r w:rsidRPr="005D4501">
        <w:rPr>
          <w:rStyle w:val="apple-converted-space"/>
          <w:bCs/>
          <w:color w:val="000000"/>
          <w:sz w:val="22"/>
          <w:szCs w:val="22"/>
        </w:rPr>
        <w:t> </w:t>
      </w:r>
      <w:r w:rsidRPr="005D4501">
        <w:rPr>
          <w:rStyle w:val="s4"/>
          <w:bCs/>
          <w:color w:val="000000"/>
          <w:sz w:val="22"/>
          <w:szCs w:val="22"/>
        </w:rPr>
        <w:t>Antidiscrimination</w:t>
      </w:r>
      <w:r w:rsidRPr="005D4501">
        <w:rPr>
          <w:rStyle w:val="apple-converted-space"/>
          <w:bCs/>
          <w:color w:val="000000"/>
          <w:sz w:val="22"/>
          <w:szCs w:val="22"/>
        </w:rPr>
        <w:t> </w:t>
      </w:r>
      <w:r w:rsidRPr="005D4501">
        <w:rPr>
          <w:rStyle w:val="s4"/>
          <w:bCs/>
          <w:color w:val="000000"/>
          <w:sz w:val="22"/>
          <w:szCs w:val="22"/>
        </w:rPr>
        <w:t>on Entrepreneurship:</w:t>
      </w:r>
      <w:r w:rsidRPr="005D4501">
        <w:rPr>
          <w:rStyle w:val="apple-converted-space"/>
          <w:bCs/>
          <w:color w:val="000000"/>
          <w:sz w:val="22"/>
          <w:szCs w:val="22"/>
        </w:rPr>
        <w:t> </w:t>
      </w:r>
      <w:r w:rsidRPr="005D4501">
        <w:rPr>
          <w:rStyle w:val="s4"/>
          <w:bCs/>
          <w:color w:val="000000"/>
          <w:sz w:val="22"/>
          <w:szCs w:val="22"/>
        </w:rPr>
        <w:t>Evidence</w:t>
      </w:r>
      <w:r w:rsidRPr="005D4501">
        <w:rPr>
          <w:rStyle w:val="s4"/>
          <w:bCs/>
          <w:color w:val="000000"/>
          <w:sz w:val="22"/>
          <w:szCs w:val="22"/>
        </w:rPr>
        <w:tab/>
        <w:t xml:space="preserve"> </w:t>
      </w:r>
      <w:r w:rsidRPr="005D4501">
        <w:rPr>
          <w:rStyle w:val="s4"/>
          <w:bCs/>
          <w:color w:val="000000"/>
          <w:sz w:val="22"/>
          <w:szCs w:val="22"/>
        </w:rPr>
        <w:tab/>
        <w:t xml:space="preserve">from LGBT Rights Laws. </w:t>
      </w:r>
      <w:r w:rsidRPr="00387B98">
        <w:rPr>
          <w:i/>
          <w:color w:val="000000"/>
          <w:sz w:val="22"/>
          <w:szCs w:val="22"/>
        </w:rPr>
        <w:t>Working Paper</w:t>
      </w:r>
    </w:p>
    <w:p w14:paraId="5C15F433" w14:textId="04E362C8" w:rsidR="00D36933" w:rsidRPr="006F2C49" w:rsidRDefault="00D36933" w:rsidP="00D36933">
      <w:pPr>
        <w:widowControl w:val="0"/>
        <w:autoSpaceDE w:val="0"/>
        <w:autoSpaceDN w:val="0"/>
        <w:adjustRightInd w:val="0"/>
        <w:ind w:left="480" w:hanging="480"/>
        <w:rPr>
          <w:noProof/>
          <w:sz w:val="22"/>
          <w:szCs w:val="22"/>
        </w:rPr>
      </w:pPr>
      <w:r w:rsidRPr="005D4501">
        <w:rPr>
          <w:noProof/>
          <w:sz w:val="22"/>
          <w:szCs w:val="22"/>
        </w:rPr>
        <w:t xml:space="preserve">Coyne CJ, Isaacs JP, Schwartz JT. 2010. Entrepreneurship and the taste for discrimination. </w:t>
      </w:r>
      <w:r w:rsidRPr="00FC609D">
        <w:rPr>
          <w:i/>
          <w:iCs/>
          <w:noProof/>
          <w:sz w:val="22"/>
          <w:szCs w:val="22"/>
        </w:rPr>
        <w:t>Journal of Evolutionary Economics</w:t>
      </w:r>
      <w:r w:rsidRPr="00A4092E">
        <w:rPr>
          <w:noProof/>
          <w:sz w:val="22"/>
          <w:szCs w:val="22"/>
        </w:rPr>
        <w:t xml:space="preserve">. Springer </w:t>
      </w:r>
      <w:r w:rsidRPr="00A4092E">
        <w:rPr>
          <w:b/>
          <w:bCs/>
          <w:noProof/>
          <w:sz w:val="22"/>
          <w:szCs w:val="22"/>
        </w:rPr>
        <w:t>20</w:t>
      </w:r>
      <w:r w:rsidRPr="006F2C49">
        <w:rPr>
          <w:noProof/>
          <w:sz w:val="22"/>
          <w:szCs w:val="22"/>
        </w:rPr>
        <w:t>(4): 609–627.</w:t>
      </w:r>
    </w:p>
    <w:p w14:paraId="09DDCA9E" w14:textId="77777777" w:rsidR="00D36933" w:rsidRPr="005D4501" w:rsidRDefault="00D36933" w:rsidP="00D36933">
      <w:pPr>
        <w:widowControl w:val="0"/>
        <w:autoSpaceDE w:val="0"/>
        <w:autoSpaceDN w:val="0"/>
        <w:adjustRightInd w:val="0"/>
        <w:ind w:left="480" w:hanging="480"/>
        <w:rPr>
          <w:noProof/>
          <w:sz w:val="22"/>
          <w:szCs w:val="22"/>
        </w:rPr>
      </w:pPr>
      <w:r w:rsidRPr="004534D7">
        <w:rPr>
          <w:noProof/>
          <w:sz w:val="22"/>
          <w:szCs w:val="22"/>
        </w:rPr>
        <w:t>Duguid</w:t>
      </w:r>
      <w:r w:rsidRPr="005D4501">
        <w:rPr>
          <w:noProof/>
          <w:sz w:val="22"/>
          <w:szCs w:val="22"/>
        </w:rPr>
        <w:t xml:space="preserve"> MM, Loyd DL, Tolbert PS. 2012. The Impact of Categorical Status, Numeric Representation, and Work Group Prestige on Preference for Demographically Similar Others: A Value Threat Approach. </w:t>
      </w:r>
      <w:r w:rsidRPr="005D4501">
        <w:rPr>
          <w:i/>
          <w:iCs/>
          <w:noProof/>
          <w:sz w:val="22"/>
          <w:szCs w:val="22"/>
        </w:rPr>
        <w:t>Organization Science</w:t>
      </w:r>
      <w:r w:rsidRPr="005D4501">
        <w:rPr>
          <w:noProof/>
          <w:sz w:val="22"/>
          <w:szCs w:val="22"/>
        </w:rPr>
        <w:t xml:space="preserve"> </w:t>
      </w:r>
      <w:r w:rsidRPr="005D4501">
        <w:rPr>
          <w:b/>
          <w:bCs/>
          <w:noProof/>
          <w:sz w:val="22"/>
          <w:szCs w:val="22"/>
        </w:rPr>
        <w:t>23</w:t>
      </w:r>
      <w:r w:rsidRPr="005D4501">
        <w:rPr>
          <w:noProof/>
          <w:sz w:val="22"/>
          <w:szCs w:val="22"/>
        </w:rPr>
        <w:t>(2): 386–401.</w:t>
      </w:r>
    </w:p>
    <w:p w14:paraId="7BF3574A" w14:textId="68B42941" w:rsidR="00A43CB6" w:rsidRPr="00387B98" w:rsidRDefault="00A43CB6" w:rsidP="00387B98">
      <w:pPr>
        <w:pStyle w:val="CommentText"/>
        <w:rPr>
          <w:sz w:val="22"/>
          <w:szCs w:val="22"/>
        </w:rPr>
      </w:pPr>
      <w:r w:rsidRPr="00387B98">
        <w:rPr>
          <w:rFonts w:ascii="Times New Roman" w:hAnsi="Times New Roman" w:cs="Times New Roman"/>
          <w:sz w:val="22"/>
          <w:szCs w:val="22"/>
        </w:rPr>
        <w:t xml:space="preserve">Eagly, A., Makhijani, M., &amp; Klonsky, B. (1992). Gender and the Evaluation of Leaders: A MetaAnalysis. </w:t>
      </w:r>
      <w:r w:rsidRPr="00387B98">
        <w:rPr>
          <w:rFonts w:ascii="Times New Roman" w:hAnsi="Times New Roman" w:cs="Times New Roman"/>
          <w:sz w:val="22"/>
          <w:szCs w:val="22"/>
        </w:rPr>
        <w:tab/>
      </w:r>
      <w:r w:rsidRPr="00387B98">
        <w:rPr>
          <w:rFonts w:ascii="Times New Roman" w:hAnsi="Times New Roman" w:cs="Times New Roman"/>
          <w:i/>
          <w:sz w:val="22"/>
          <w:szCs w:val="22"/>
        </w:rPr>
        <w:t>Psychological Bulletin</w:t>
      </w:r>
      <w:r w:rsidRPr="00387B98">
        <w:rPr>
          <w:rFonts w:ascii="Times New Roman" w:hAnsi="Times New Roman" w:cs="Times New Roman"/>
          <w:sz w:val="22"/>
          <w:szCs w:val="22"/>
        </w:rPr>
        <w:t xml:space="preserve">, </w:t>
      </w:r>
      <w:r w:rsidRPr="00387B98">
        <w:rPr>
          <w:rFonts w:ascii="Times New Roman" w:hAnsi="Times New Roman" w:cs="Times New Roman"/>
          <w:b/>
          <w:sz w:val="22"/>
          <w:szCs w:val="22"/>
        </w:rPr>
        <w:t>111</w:t>
      </w:r>
      <w:r w:rsidRPr="00387B98">
        <w:rPr>
          <w:rFonts w:ascii="Times New Roman" w:hAnsi="Times New Roman" w:cs="Times New Roman"/>
          <w:sz w:val="22"/>
          <w:szCs w:val="22"/>
        </w:rPr>
        <w:t>(1), 3-22</w:t>
      </w:r>
    </w:p>
    <w:p w14:paraId="1CB2CE1E" w14:textId="67607EF4" w:rsidR="00D36933" w:rsidRPr="006F2C49" w:rsidRDefault="00D36933" w:rsidP="00D36933">
      <w:pPr>
        <w:widowControl w:val="0"/>
        <w:autoSpaceDE w:val="0"/>
        <w:autoSpaceDN w:val="0"/>
        <w:adjustRightInd w:val="0"/>
        <w:ind w:left="480" w:hanging="480"/>
        <w:rPr>
          <w:noProof/>
          <w:sz w:val="22"/>
          <w:szCs w:val="22"/>
        </w:rPr>
      </w:pPr>
      <w:r w:rsidRPr="005D4501">
        <w:rPr>
          <w:noProof/>
          <w:sz w:val="22"/>
          <w:szCs w:val="22"/>
        </w:rPr>
        <w:t xml:space="preserve">Eberhart RN, Eesley CE, Eisenhardt KM. 2017. Failure is an option: Institutional change, entrepreneurial risk, and new firm growth. </w:t>
      </w:r>
      <w:r w:rsidRPr="00A4092E">
        <w:rPr>
          <w:i/>
          <w:iCs/>
          <w:noProof/>
          <w:sz w:val="22"/>
          <w:szCs w:val="22"/>
        </w:rPr>
        <w:t>Organization Science</w:t>
      </w:r>
      <w:r w:rsidRPr="00A4092E">
        <w:rPr>
          <w:noProof/>
          <w:sz w:val="22"/>
          <w:szCs w:val="22"/>
        </w:rPr>
        <w:t xml:space="preserve"> </w:t>
      </w:r>
      <w:r w:rsidRPr="006F2C49">
        <w:rPr>
          <w:b/>
          <w:bCs/>
          <w:noProof/>
          <w:sz w:val="22"/>
          <w:szCs w:val="22"/>
        </w:rPr>
        <w:t>28</w:t>
      </w:r>
      <w:r w:rsidRPr="006F2C49">
        <w:rPr>
          <w:noProof/>
          <w:sz w:val="22"/>
          <w:szCs w:val="22"/>
        </w:rPr>
        <w:t>(1): 93–112.</w:t>
      </w:r>
    </w:p>
    <w:p w14:paraId="129A09A7" w14:textId="77777777" w:rsidR="00D36933" w:rsidRPr="009C1B65" w:rsidRDefault="00D36933" w:rsidP="00D36933">
      <w:pPr>
        <w:widowControl w:val="0"/>
        <w:autoSpaceDE w:val="0"/>
        <w:autoSpaceDN w:val="0"/>
        <w:adjustRightInd w:val="0"/>
        <w:ind w:left="480" w:hanging="480"/>
        <w:rPr>
          <w:noProof/>
          <w:sz w:val="22"/>
          <w:szCs w:val="22"/>
        </w:rPr>
      </w:pPr>
      <w:r w:rsidRPr="004534D7">
        <w:rPr>
          <w:noProof/>
          <w:sz w:val="22"/>
          <w:szCs w:val="22"/>
        </w:rPr>
        <w:t xml:space="preserve">Eesley C. 2016. Institutional barriers to growth: Entrepreneurship, human capital and institutional change. </w:t>
      </w:r>
      <w:r w:rsidRPr="004534D7">
        <w:rPr>
          <w:i/>
          <w:iCs/>
          <w:noProof/>
          <w:sz w:val="22"/>
          <w:szCs w:val="22"/>
        </w:rPr>
        <w:t>Organization Science</w:t>
      </w:r>
      <w:r w:rsidRPr="00D03986">
        <w:rPr>
          <w:noProof/>
          <w:sz w:val="22"/>
          <w:szCs w:val="22"/>
        </w:rPr>
        <w:t xml:space="preserve">. Informs </w:t>
      </w:r>
      <w:r w:rsidRPr="00D03986">
        <w:rPr>
          <w:b/>
          <w:bCs/>
          <w:noProof/>
          <w:sz w:val="22"/>
          <w:szCs w:val="22"/>
        </w:rPr>
        <w:t>27</w:t>
      </w:r>
      <w:r w:rsidRPr="00304C05">
        <w:rPr>
          <w:noProof/>
          <w:sz w:val="22"/>
          <w:szCs w:val="22"/>
        </w:rPr>
        <w:t>(5): 1290–1306.</w:t>
      </w:r>
    </w:p>
    <w:p w14:paraId="1B410865" w14:textId="77777777" w:rsidR="00D36933" w:rsidRPr="009C1B65" w:rsidRDefault="00D36933" w:rsidP="00D36933">
      <w:pPr>
        <w:widowControl w:val="0"/>
        <w:autoSpaceDE w:val="0"/>
        <w:autoSpaceDN w:val="0"/>
        <w:adjustRightInd w:val="0"/>
        <w:ind w:left="480" w:hanging="480"/>
        <w:rPr>
          <w:noProof/>
          <w:sz w:val="22"/>
          <w:szCs w:val="22"/>
        </w:rPr>
      </w:pPr>
      <w:r w:rsidRPr="009C1B65">
        <w:rPr>
          <w:noProof/>
          <w:sz w:val="22"/>
          <w:szCs w:val="22"/>
        </w:rPr>
        <w:t xml:space="preserve">Ely RJ. 1995. The power in demography: Women’s social constructions of gender identity at work. </w:t>
      </w:r>
      <w:r w:rsidRPr="009C1B65">
        <w:rPr>
          <w:i/>
          <w:iCs/>
          <w:noProof/>
          <w:sz w:val="22"/>
          <w:szCs w:val="22"/>
        </w:rPr>
        <w:t>Academy of Management Journal</w:t>
      </w:r>
      <w:r w:rsidRPr="009C1B65">
        <w:rPr>
          <w:noProof/>
          <w:sz w:val="22"/>
          <w:szCs w:val="22"/>
        </w:rPr>
        <w:t xml:space="preserve"> </w:t>
      </w:r>
      <w:r w:rsidRPr="009C1B65">
        <w:rPr>
          <w:b/>
          <w:bCs/>
          <w:noProof/>
          <w:sz w:val="22"/>
          <w:szCs w:val="22"/>
        </w:rPr>
        <w:t>38</w:t>
      </w:r>
      <w:r w:rsidRPr="009C1B65">
        <w:rPr>
          <w:noProof/>
          <w:sz w:val="22"/>
          <w:szCs w:val="22"/>
        </w:rPr>
        <w:t>(3): 589–634.</w:t>
      </w:r>
    </w:p>
    <w:p w14:paraId="28EBB8ED" w14:textId="77777777" w:rsidR="00D36933" w:rsidRPr="004756A3" w:rsidRDefault="00D36933" w:rsidP="00D36933">
      <w:pPr>
        <w:widowControl w:val="0"/>
        <w:autoSpaceDE w:val="0"/>
        <w:autoSpaceDN w:val="0"/>
        <w:adjustRightInd w:val="0"/>
        <w:ind w:left="480" w:hanging="480"/>
        <w:rPr>
          <w:noProof/>
          <w:sz w:val="22"/>
          <w:szCs w:val="22"/>
        </w:rPr>
      </w:pPr>
      <w:r w:rsidRPr="009C1B65">
        <w:rPr>
          <w:noProof/>
          <w:sz w:val="22"/>
          <w:szCs w:val="22"/>
        </w:rPr>
        <w:t xml:space="preserve">Evans DS, Leighton LS. 1989. The determinants of changes in US self-employment, 1968–1987. </w:t>
      </w:r>
      <w:r w:rsidRPr="004100F6">
        <w:rPr>
          <w:i/>
          <w:iCs/>
          <w:noProof/>
          <w:sz w:val="22"/>
          <w:szCs w:val="22"/>
        </w:rPr>
        <w:t>Small Business Economics</w:t>
      </w:r>
      <w:r w:rsidRPr="004100F6">
        <w:rPr>
          <w:noProof/>
          <w:sz w:val="22"/>
          <w:szCs w:val="22"/>
        </w:rPr>
        <w:t xml:space="preserve">. Springer </w:t>
      </w:r>
      <w:r w:rsidRPr="004756A3">
        <w:rPr>
          <w:b/>
          <w:bCs/>
          <w:noProof/>
          <w:sz w:val="22"/>
          <w:szCs w:val="22"/>
        </w:rPr>
        <w:t>1</w:t>
      </w:r>
      <w:r w:rsidRPr="004756A3">
        <w:rPr>
          <w:noProof/>
          <w:sz w:val="22"/>
          <w:szCs w:val="22"/>
        </w:rPr>
        <w:t>(2): 111–119.</w:t>
      </w:r>
    </w:p>
    <w:p w14:paraId="1426A74B"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Fernandes AP, Ferreira P, Alan Winters L. 2014. Firm entry deregulation, competition and returns to education and skill. </w:t>
      </w:r>
      <w:r w:rsidRPr="004756A3">
        <w:rPr>
          <w:i/>
          <w:iCs/>
          <w:noProof/>
          <w:sz w:val="22"/>
          <w:szCs w:val="22"/>
        </w:rPr>
        <w:t>European Economic Review</w:t>
      </w:r>
      <w:r w:rsidRPr="004756A3">
        <w:rPr>
          <w:noProof/>
          <w:sz w:val="22"/>
          <w:szCs w:val="22"/>
        </w:rPr>
        <w:t xml:space="preserve"> </w:t>
      </w:r>
      <w:r w:rsidRPr="004756A3">
        <w:rPr>
          <w:b/>
          <w:bCs/>
          <w:noProof/>
          <w:sz w:val="22"/>
          <w:szCs w:val="22"/>
        </w:rPr>
        <w:t>70</w:t>
      </w:r>
      <w:r w:rsidRPr="004756A3">
        <w:rPr>
          <w:noProof/>
          <w:sz w:val="22"/>
          <w:szCs w:val="22"/>
        </w:rPr>
        <w:t>: 210–230.</w:t>
      </w:r>
    </w:p>
    <w:p w14:paraId="7535D8D7"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Fernandez RM, Mors ML. 2008. Competing for jobs: Labor queues and gender sorting in the hiring process. </w:t>
      </w:r>
      <w:r w:rsidRPr="004756A3">
        <w:rPr>
          <w:i/>
          <w:iCs/>
          <w:noProof/>
          <w:sz w:val="22"/>
          <w:szCs w:val="22"/>
        </w:rPr>
        <w:t>Social Science Research</w:t>
      </w:r>
      <w:r w:rsidRPr="004756A3">
        <w:rPr>
          <w:noProof/>
          <w:sz w:val="22"/>
          <w:szCs w:val="22"/>
        </w:rPr>
        <w:t xml:space="preserve"> </w:t>
      </w:r>
      <w:r w:rsidRPr="004756A3">
        <w:rPr>
          <w:b/>
          <w:bCs/>
          <w:noProof/>
          <w:sz w:val="22"/>
          <w:szCs w:val="22"/>
        </w:rPr>
        <w:t>37</w:t>
      </w:r>
      <w:r w:rsidRPr="004756A3">
        <w:rPr>
          <w:noProof/>
          <w:sz w:val="22"/>
          <w:szCs w:val="22"/>
        </w:rPr>
        <w:t>(4): 1061–1080.</w:t>
      </w:r>
    </w:p>
    <w:p w14:paraId="2DCCB541" w14:textId="567D99B2"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Flammer C, Kacperczyk A. 2016. The Impact of Stakeholder Orientation on Innovation: Evidence from a Natural Experiment. </w:t>
      </w:r>
      <w:r w:rsidRPr="004756A3">
        <w:rPr>
          <w:i/>
          <w:iCs/>
          <w:noProof/>
          <w:sz w:val="22"/>
          <w:szCs w:val="22"/>
        </w:rPr>
        <w:t>Management Science</w:t>
      </w:r>
      <w:r w:rsidRPr="004756A3">
        <w:rPr>
          <w:noProof/>
          <w:sz w:val="22"/>
          <w:szCs w:val="22"/>
        </w:rPr>
        <w:t xml:space="preserve"> </w:t>
      </w:r>
      <w:r w:rsidRPr="004756A3">
        <w:rPr>
          <w:b/>
          <w:bCs/>
          <w:noProof/>
          <w:sz w:val="22"/>
          <w:szCs w:val="22"/>
        </w:rPr>
        <w:t>62</w:t>
      </w:r>
      <w:r w:rsidRPr="004756A3">
        <w:rPr>
          <w:noProof/>
          <w:sz w:val="22"/>
          <w:szCs w:val="22"/>
        </w:rPr>
        <w:t xml:space="preserve">(7): 1982–2001. </w:t>
      </w:r>
    </w:p>
    <w:p w14:paraId="21524FEA"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Freeland RE, Keister LA. 2016. How Does Race and Ethnicity Affect Persistence in Immature Ventures? </w:t>
      </w:r>
      <w:r w:rsidRPr="004756A3">
        <w:rPr>
          <w:i/>
          <w:iCs/>
          <w:noProof/>
          <w:sz w:val="22"/>
          <w:szCs w:val="22"/>
        </w:rPr>
        <w:t>Journal of Small Business Management</w:t>
      </w:r>
      <w:r w:rsidRPr="004756A3">
        <w:rPr>
          <w:noProof/>
          <w:sz w:val="22"/>
          <w:szCs w:val="22"/>
        </w:rPr>
        <w:t xml:space="preserve"> </w:t>
      </w:r>
      <w:r w:rsidRPr="004756A3">
        <w:rPr>
          <w:b/>
          <w:bCs/>
          <w:noProof/>
          <w:sz w:val="22"/>
          <w:szCs w:val="22"/>
        </w:rPr>
        <w:t>54</w:t>
      </w:r>
      <w:r w:rsidRPr="004756A3">
        <w:rPr>
          <w:noProof/>
          <w:sz w:val="22"/>
          <w:szCs w:val="22"/>
        </w:rPr>
        <w:t>(1): 210–228.</w:t>
      </w:r>
    </w:p>
    <w:p w14:paraId="6DD07A8E"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Ganco M, Ziedonis RH, Agarwal R. 2015. More stars stay, but the brightest ones still leave: Job hopping in the shadow of patent enforcement. </w:t>
      </w:r>
      <w:r w:rsidRPr="004756A3">
        <w:rPr>
          <w:i/>
          <w:iCs/>
          <w:noProof/>
          <w:sz w:val="22"/>
          <w:szCs w:val="22"/>
        </w:rPr>
        <w:t>Strategic Management Journal</w:t>
      </w:r>
      <w:r w:rsidRPr="004756A3">
        <w:rPr>
          <w:noProof/>
          <w:sz w:val="22"/>
          <w:szCs w:val="22"/>
        </w:rPr>
        <w:t xml:space="preserve">. Wiley Online Library </w:t>
      </w:r>
      <w:r w:rsidRPr="004756A3">
        <w:rPr>
          <w:b/>
          <w:bCs/>
          <w:noProof/>
          <w:sz w:val="22"/>
          <w:szCs w:val="22"/>
        </w:rPr>
        <w:t>36</w:t>
      </w:r>
      <w:r w:rsidRPr="004756A3">
        <w:rPr>
          <w:noProof/>
          <w:sz w:val="22"/>
          <w:szCs w:val="22"/>
        </w:rPr>
        <w:t>(5): 659–685.</w:t>
      </w:r>
    </w:p>
    <w:p w14:paraId="71FA7C6A"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Graves LM, Powell GN. 1996. Sex similarity, quality of the employment interview and recruiters’ evaluation of actual applicants. </w:t>
      </w:r>
      <w:r w:rsidRPr="004756A3">
        <w:rPr>
          <w:i/>
          <w:iCs/>
          <w:noProof/>
          <w:sz w:val="22"/>
          <w:szCs w:val="22"/>
        </w:rPr>
        <w:t>Journal of Occupational and Organizational Psychology</w:t>
      </w:r>
      <w:r w:rsidRPr="004756A3">
        <w:rPr>
          <w:noProof/>
          <w:sz w:val="22"/>
          <w:szCs w:val="22"/>
        </w:rPr>
        <w:t xml:space="preserve"> </w:t>
      </w:r>
      <w:r w:rsidRPr="004756A3">
        <w:rPr>
          <w:b/>
          <w:bCs/>
          <w:noProof/>
          <w:sz w:val="22"/>
          <w:szCs w:val="22"/>
        </w:rPr>
        <w:t>69</w:t>
      </w:r>
      <w:r w:rsidRPr="004756A3">
        <w:rPr>
          <w:noProof/>
          <w:sz w:val="22"/>
          <w:szCs w:val="22"/>
        </w:rPr>
        <w:t>(3): 243–261.</w:t>
      </w:r>
    </w:p>
    <w:p w14:paraId="732486D2"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Hall R. 1993. A Framework Linking Intangible Resources and Capabilities to Sustainable Competitive Advantage. </w:t>
      </w:r>
      <w:r w:rsidRPr="004756A3">
        <w:rPr>
          <w:i/>
          <w:iCs/>
          <w:noProof/>
          <w:sz w:val="22"/>
          <w:szCs w:val="22"/>
        </w:rPr>
        <w:t>Strategic Management Journal</w:t>
      </w:r>
      <w:r w:rsidRPr="004756A3">
        <w:rPr>
          <w:noProof/>
          <w:sz w:val="22"/>
          <w:szCs w:val="22"/>
        </w:rPr>
        <w:t xml:space="preserve"> </w:t>
      </w:r>
      <w:r w:rsidRPr="004756A3">
        <w:rPr>
          <w:b/>
          <w:bCs/>
          <w:noProof/>
          <w:sz w:val="22"/>
          <w:szCs w:val="22"/>
        </w:rPr>
        <w:t>14</w:t>
      </w:r>
      <w:r w:rsidRPr="004756A3">
        <w:rPr>
          <w:noProof/>
          <w:sz w:val="22"/>
          <w:szCs w:val="22"/>
        </w:rPr>
        <w:t>: 607–618.</w:t>
      </w:r>
    </w:p>
    <w:p w14:paraId="5B55140F"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Harris D, Helfat C. 1997. Specificity of CEO human capital and compensation. </w:t>
      </w:r>
      <w:r w:rsidRPr="004756A3">
        <w:rPr>
          <w:i/>
          <w:iCs/>
          <w:noProof/>
          <w:sz w:val="22"/>
          <w:szCs w:val="22"/>
        </w:rPr>
        <w:t>Strategic Management Journal</w:t>
      </w:r>
      <w:r w:rsidRPr="004756A3">
        <w:rPr>
          <w:noProof/>
          <w:sz w:val="22"/>
          <w:szCs w:val="22"/>
        </w:rPr>
        <w:t xml:space="preserve">. Wiley Online Library </w:t>
      </w:r>
      <w:r w:rsidRPr="004756A3">
        <w:rPr>
          <w:b/>
          <w:bCs/>
          <w:noProof/>
          <w:sz w:val="22"/>
          <w:szCs w:val="22"/>
        </w:rPr>
        <w:t>18</w:t>
      </w:r>
      <w:r w:rsidRPr="004756A3">
        <w:rPr>
          <w:noProof/>
          <w:sz w:val="22"/>
          <w:szCs w:val="22"/>
        </w:rPr>
        <w:t>(11): 895–920.</w:t>
      </w:r>
    </w:p>
    <w:p w14:paraId="69EF6155"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Hartzell JC, Starks LT. 2003. Institutional investors and executive compensation. </w:t>
      </w:r>
      <w:r w:rsidRPr="004756A3">
        <w:rPr>
          <w:i/>
          <w:iCs/>
          <w:noProof/>
          <w:sz w:val="22"/>
          <w:szCs w:val="22"/>
        </w:rPr>
        <w:t>The journal of finance</w:t>
      </w:r>
      <w:r w:rsidRPr="004756A3">
        <w:rPr>
          <w:noProof/>
          <w:sz w:val="22"/>
          <w:szCs w:val="22"/>
        </w:rPr>
        <w:t xml:space="preserve">. Wiley Online Library </w:t>
      </w:r>
      <w:r w:rsidRPr="004756A3">
        <w:rPr>
          <w:b/>
          <w:bCs/>
          <w:noProof/>
          <w:sz w:val="22"/>
          <w:szCs w:val="22"/>
        </w:rPr>
        <w:t>58</w:t>
      </w:r>
      <w:r w:rsidRPr="004756A3">
        <w:rPr>
          <w:noProof/>
          <w:sz w:val="22"/>
          <w:szCs w:val="22"/>
        </w:rPr>
        <w:t>(6): 2351–2374.</w:t>
      </w:r>
    </w:p>
    <w:p w14:paraId="1F75EA93"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Heilman ME, Chen JJ. 2003. Entrepreneurship as a solution: The allure of self-employment for women and minorities. </w:t>
      </w:r>
      <w:r w:rsidRPr="004756A3">
        <w:rPr>
          <w:i/>
          <w:iCs/>
          <w:noProof/>
          <w:sz w:val="22"/>
          <w:szCs w:val="22"/>
        </w:rPr>
        <w:t>Human Resource Management Review</w:t>
      </w:r>
      <w:r w:rsidRPr="004756A3">
        <w:rPr>
          <w:noProof/>
          <w:sz w:val="22"/>
          <w:szCs w:val="22"/>
        </w:rPr>
        <w:t xml:space="preserve"> </w:t>
      </w:r>
      <w:r w:rsidRPr="004756A3">
        <w:rPr>
          <w:b/>
          <w:bCs/>
          <w:noProof/>
          <w:sz w:val="22"/>
          <w:szCs w:val="22"/>
        </w:rPr>
        <w:t>13</w:t>
      </w:r>
      <w:r w:rsidRPr="004756A3">
        <w:rPr>
          <w:noProof/>
          <w:sz w:val="22"/>
          <w:szCs w:val="22"/>
        </w:rPr>
        <w:t>(2): 347–364.</w:t>
      </w:r>
    </w:p>
    <w:p w14:paraId="09B4C413"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Hornsey MJ, Hogg MA. 2000. Assimilation and diversity: An integrative model of subgroup relations. </w:t>
      </w:r>
      <w:r w:rsidRPr="004756A3">
        <w:rPr>
          <w:i/>
          <w:iCs/>
          <w:noProof/>
          <w:sz w:val="22"/>
          <w:szCs w:val="22"/>
        </w:rPr>
        <w:t>Personality and Social Psychology Review</w:t>
      </w:r>
      <w:r w:rsidRPr="004756A3">
        <w:rPr>
          <w:noProof/>
          <w:sz w:val="22"/>
          <w:szCs w:val="22"/>
        </w:rPr>
        <w:t xml:space="preserve"> </w:t>
      </w:r>
      <w:r w:rsidRPr="004756A3">
        <w:rPr>
          <w:b/>
          <w:bCs/>
          <w:noProof/>
          <w:sz w:val="22"/>
          <w:szCs w:val="22"/>
        </w:rPr>
        <w:t>4</w:t>
      </w:r>
      <w:r w:rsidRPr="004756A3">
        <w:rPr>
          <w:noProof/>
          <w:sz w:val="22"/>
          <w:szCs w:val="22"/>
        </w:rPr>
        <w:t>(2): 143–156.</w:t>
      </w:r>
    </w:p>
    <w:p w14:paraId="76D2C8FE"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Hout M, Rosen H. 2000. Self-Employment, Family Background, and Race. </w:t>
      </w:r>
      <w:r w:rsidRPr="004756A3">
        <w:rPr>
          <w:i/>
          <w:iCs/>
          <w:noProof/>
          <w:sz w:val="22"/>
          <w:szCs w:val="22"/>
        </w:rPr>
        <w:t>The Journal of Human Resources</w:t>
      </w:r>
      <w:r w:rsidRPr="004756A3">
        <w:rPr>
          <w:noProof/>
          <w:sz w:val="22"/>
          <w:szCs w:val="22"/>
        </w:rPr>
        <w:t xml:space="preserve"> </w:t>
      </w:r>
      <w:r w:rsidRPr="004756A3">
        <w:rPr>
          <w:b/>
          <w:bCs/>
          <w:noProof/>
          <w:sz w:val="22"/>
          <w:szCs w:val="22"/>
        </w:rPr>
        <w:t>35</w:t>
      </w:r>
      <w:r w:rsidRPr="004756A3">
        <w:rPr>
          <w:noProof/>
          <w:sz w:val="22"/>
          <w:szCs w:val="22"/>
        </w:rPr>
        <w:t>(4): 670–692.</w:t>
      </w:r>
    </w:p>
    <w:p w14:paraId="0F75AC0A"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Huang L, Pearce JL. 2015. Managing the Unknowable: The Effectiveness of Early-stage Investor Gut Feel in Entrepreneurial Investment Decisions. </w:t>
      </w:r>
      <w:r w:rsidRPr="004756A3">
        <w:rPr>
          <w:i/>
          <w:iCs/>
          <w:noProof/>
          <w:sz w:val="22"/>
          <w:szCs w:val="22"/>
        </w:rPr>
        <w:t>Administrative Science Quarterly</w:t>
      </w:r>
      <w:r w:rsidRPr="004756A3">
        <w:rPr>
          <w:noProof/>
          <w:sz w:val="22"/>
          <w:szCs w:val="22"/>
        </w:rPr>
        <w:t xml:space="preserve"> </w:t>
      </w:r>
      <w:r w:rsidRPr="004756A3">
        <w:rPr>
          <w:b/>
          <w:bCs/>
          <w:noProof/>
          <w:sz w:val="22"/>
          <w:szCs w:val="22"/>
        </w:rPr>
        <w:t>60</w:t>
      </w:r>
      <w:r w:rsidRPr="004756A3">
        <w:rPr>
          <w:noProof/>
          <w:sz w:val="22"/>
          <w:szCs w:val="22"/>
        </w:rPr>
        <w:t>(4): 634–670.</w:t>
      </w:r>
    </w:p>
    <w:p w14:paraId="3055C789"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Ingram P, Morris MW. 2007. Do People Mix at Mixers? Structure, Homophily, and the “Life of the Party”. </w:t>
      </w:r>
      <w:r w:rsidRPr="004756A3">
        <w:rPr>
          <w:i/>
          <w:iCs/>
          <w:noProof/>
          <w:sz w:val="22"/>
          <w:szCs w:val="22"/>
        </w:rPr>
        <w:t>Administrative Science Quarterly</w:t>
      </w:r>
      <w:r w:rsidRPr="004756A3">
        <w:rPr>
          <w:noProof/>
          <w:sz w:val="22"/>
          <w:szCs w:val="22"/>
        </w:rPr>
        <w:t xml:space="preserve"> </w:t>
      </w:r>
      <w:r w:rsidRPr="004756A3">
        <w:rPr>
          <w:b/>
          <w:bCs/>
          <w:noProof/>
          <w:sz w:val="22"/>
          <w:szCs w:val="22"/>
        </w:rPr>
        <w:t>52</w:t>
      </w:r>
      <w:r w:rsidRPr="004756A3">
        <w:rPr>
          <w:noProof/>
          <w:sz w:val="22"/>
          <w:szCs w:val="22"/>
        </w:rPr>
        <w:t>(4): 558–585.</w:t>
      </w:r>
    </w:p>
    <w:p w14:paraId="65D4ACAE"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Jennings JE, Brush CG. 2013. Research on Women Entrepreneurs: Challenges to (and from) the Broader Entrepreneurship Literature? </w:t>
      </w:r>
      <w:r w:rsidRPr="004756A3">
        <w:rPr>
          <w:i/>
          <w:iCs/>
          <w:noProof/>
          <w:sz w:val="22"/>
          <w:szCs w:val="22"/>
        </w:rPr>
        <w:t>The Academy of Management Annals</w:t>
      </w:r>
      <w:r w:rsidRPr="004756A3">
        <w:rPr>
          <w:noProof/>
          <w:sz w:val="22"/>
          <w:szCs w:val="22"/>
        </w:rPr>
        <w:t xml:space="preserve"> </w:t>
      </w:r>
      <w:r w:rsidRPr="004756A3">
        <w:rPr>
          <w:b/>
          <w:bCs/>
          <w:noProof/>
          <w:sz w:val="22"/>
          <w:szCs w:val="22"/>
        </w:rPr>
        <w:t>7</w:t>
      </w:r>
      <w:r w:rsidRPr="004756A3">
        <w:rPr>
          <w:noProof/>
          <w:sz w:val="22"/>
          <w:szCs w:val="22"/>
        </w:rPr>
        <w:t>(1): 663–715.</w:t>
      </w:r>
    </w:p>
    <w:p w14:paraId="0FE9A941" w14:textId="08FBC46E"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Guzman J.</w:t>
      </w:r>
      <w:r w:rsidR="00443EE4" w:rsidRPr="004756A3">
        <w:rPr>
          <w:noProof/>
          <w:sz w:val="22"/>
          <w:szCs w:val="22"/>
        </w:rPr>
        <w:t>, Kacperczyk, A.</w:t>
      </w:r>
      <w:r w:rsidRPr="004756A3">
        <w:rPr>
          <w:noProof/>
          <w:sz w:val="22"/>
          <w:szCs w:val="22"/>
        </w:rPr>
        <w:t xml:space="preserve"> 2019. Gender Gap in Entrepreneurship. </w:t>
      </w:r>
      <w:r w:rsidRPr="004756A3">
        <w:rPr>
          <w:i/>
          <w:iCs/>
          <w:noProof/>
          <w:sz w:val="22"/>
          <w:szCs w:val="22"/>
        </w:rPr>
        <w:t>Research Policy</w:t>
      </w:r>
      <w:r w:rsidRPr="004756A3">
        <w:rPr>
          <w:noProof/>
          <w:sz w:val="22"/>
          <w:szCs w:val="22"/>
        </w:rPr>
        <w:t xml:space="preserve"> </w:t>
      </w:r>
      <w:r w:rsidRPr="004756A3">
        <w:rPr>
          <w:b/>
          <w:bCs/>
          <w:noProof/>
          <w:sz w:val="22"/>
          <w:szCs w:val="22"/>
        </w:rPr>
        <w:t>48</w:t>
      </w:r>
      <w:r w:rsidRPr="004756A3">
        <w:rPr>
          <w:noProof/>
          <w:sz w:val="22"/>
          <w:szCs w:val="22"/>
        </w:rPr>
        <w:t>(7): 1666–1680.</w:t>
      </w:r>
    </w:p>
    <w:p w14:paraId="120ECADA"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Kacperczyk AJ. 2012. Opportunity structures in established firms: Entrepreneurship versus intrapreneurship in mutual funds. </w:t>
      </w:r>
      <w:r w:rsidRPr="004756A3">
        <w:rPr>
          <w:i/>
          <w:iCs/>
          <w:noProof/>
          <w:sz w:val="22"/>
          <w:szCs w:val="22"/>
        </w:rPr>
        <w:t>Administrative Science Quarterly</w:t>
      </w:r>
      <w:r w:rsidRPr="004756A3">
        <w:rPr>
          <w:noProof/>
          <w:sz w:val="22"/>
          <w:szCs w:val="22"/>
        </w:rPr>
        <w:t xml:space="preserve"> </w:t>
      </w:r>
      <w:r w:rsidRPr="004756A3">
        <w:rPr>
          <w:b/>
          <w:bCs/>
          <w:noProof/>
          <w:sz w:val="22"/>
          <w:szCs w:val="22"/>
        </w:rPr>
        <w:t>57</w:t>
      </w:r>
      <w:r w:rsidRPr="004756A3">
        <w:rPr>
          <w:noProof/>
          <w:sz w:val="22"/>
          <w:szCs w:val="22"/>
        </w:rPr>
        <w:t>(3): 484–521.</w:t>
      </w:r>
    </w:p>
    <w:p w14:paraId="5C88D56D"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Kanter RM. 1977. Some effects of proportions on group life: Skewed sex ratios and responses to token women. </w:t>
      </w:r>
      <w:r w:rsidRPr="004756A3">
        <w:rPr>
          <w:i/>
          <w:iCs/>
          <w:noProof/>
          <w:sz w:val="22"/>
          <w:szCs w:val="22"/>
        </w:rPr>
        <w:t>American journal of Sociology</w:t>
      </w:r>
      <w:r w:rsidRPr="004756A3">
        <w:rPr>
          <w:noProof/>
          <w:sz w:val="22"/>
          <w:szCs w:val="22"/>
        </w:rPr>
        <w:t xml:space="preserve"> </w:t>
      </w:r>
      <w:r w:rsidRPr="004756A3">
        <w:rPr>
          <w:b/>
          <w:bCs/>
          <w:noProof/>
          <w:sz w:val="22"/>
          <w:szCs w:val="22"/>
        </w:rPr>
        <w:t>82</w:t>
      </w:r>
      <w:r w:rsidRPr="004756A3">
        <w:rPr>
          <w:noProof/>
          <w:sz w:val="22"/>
          <w:szCs w:val="22"/>
        </w:rPr>
        <w:t>(5): 965–990.</w:t>
      </w:r>
    </w:p>
    <w:p w14:paraId="08709456"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Kanze D, Huang L, Conley MA, Tory Higgins E. 2018. We ask men to win and women not to lose: Closing the gender gap in startup funding. </w:t>
      </w:r>
      <w:r w:rsidRPr="004756A3">
        <w:rPr>
          <w:i/>
          <w:iCs/>
          <w:noProof/>
          <w:sz w:val="22"/>
          <w:szCs w:val="22"/>
        </w:rPr>
        <w:t>Academy of Management Journal</w:t>
      </w:r>
      <w:r w:rsidRPr="004756A3">
        <w:rPr>
          <w:noProof/>
          <w:sz w:val="22"/>
          <w:szCs w:val="22"/>
        </w:rPr>
        <w:t xml:space="preserve"> </w:t>
      </w:r>
      <w:r w:rsidRPr="004756A3">
        <w:rPr>
          <w:b/>
          <w:bCs/>
          <w:noProof/>
          <w:sz w:val="22"/>
          <w:szCs w:val="22"/>
        </w:rPr>
        <w:t>61</w:t>
      </w:r>
      <w:r w:rsidRPr="004756A3">
        <w:rPr>
          <w:noProof/>
          <w:sz w:val="22"/>
          <w:szCs w:val="22"/>
        </w:rPr>
        <w:t>(2): 586–614.</w:t>
      </w:r>
    </w:p>
    <w:p w14:paraId="61F763A2"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Kaplan DS, Piedra E, Seira E. 2011. Entry regulation and business start-ups: Evidence from Mexico. </w:t>
      </w:r>
      <w:r w:rsidRPr="004756A3">
        <w:rPr>
          <w:i/>
          <w:iCs/>
          <w:noProof/>
          <w:sz w:val="22"/>
          <w:szCs w:val="22"/>
        </w:rPr>
        <w:t>Journal of Public Economics</w:t>
      </w:r>
      <w:r w:rsidRPr="004756A3">
        <w:rPr>
          <w:noProof/>
          <w:sz w:val="22"/>
          <w:szCs w:val="22"/>
        </w:rPr>
        <w:t xml:space="preserve"> </w:t>
      </w:r>
      <w:r w:rsidRPr="004756A3">
        <w:rPr>
          <w:b/>
          <w:bCs/>
          <w:noProof/>
          <w:sz w:val="22"/>
          <w:szCs w:val="22"/>
        </w:rPr>
        <w:t>95</w:t>
      </w:r>
      <w:r w:rsidRPr="004756A3">
        <w:rPr>
          <w:noProof/>
          <w:sz w:val="22"/>
          <w:szCs w:val="22"/>
        </w:rPr>
        <w:t>(11–12): 1501–1515.</w:t>
      </w:r>
    </w:p>
    <w:p w14:paraId="6AB62720"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Keister LA, Moller S. 2000. Wealth Inequality in the United States. </w:t>
      </w:r>
      <w:r w:rsidRPr="004756A3">
        <w:rPr>
          <w:i/>
          <w:iCs/>
          <w:noProof/>
          <w:sz w:val="22"/>
          <w:szCs w:val="22"/>
        </w:rPr>
        <w:t>Annual Review of Sociology</w:t>
      </w:r>
      <w:r w:rsidRPr="004756A3">
        <w:rPr>
          <w:noProof/>
          <w:sz w:val="22"/>
          <w:szCs w:val="22"/>
        </w:rPr>
        <w:t xml:space="preserve"> </w:t>
      </w:r>
      <w:r w:rsidRPr="004756A3">
        <w:rPr>
          <w:b/>
          <w:bCs/>
          <w:noProof/>
          <w:sz w:val="22"/>
          <w:szCs w:val="22"/>
        </w:rPr>
        <w:t>26</w:t>
      </w:r>
      <w:r w:rsidRPr="004756A3">
        <w:rPr>
          <w:noProof/>
          <w:sz w:val="22"/>
          <w:szCs w:val="22"/>
        </w:rPr>
        <w:t>(1): 63–81.</w:t>
      </w:r>
    </w:p>
    <w:p w14:paraId="6907D854"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Kim PH, Aldrich HE, Keister LA. 2006. Access (not) denied: The impact of financial, human, and cultural capital on entrepreneurial entryin the United States. </w:t>
      </w:r>
      <w:r w:rsidRPr="004756A3">
        <w:rPr>
          <w:i/>
          <w:iCs/>
          <w:noProof/>
          <w:sz w:val="22"/>
          <w:szCs w:val="22"/>
        </w:rPr>
        <w:t>Small Business Economics</w:t>
      </w:r>
      <w:r w:rsidRPr="004756A3">
        <w:rPr>
          <w:noProof/>
          <w:sz w:val="22"/>
          <w:szCs w:val="22"/>
        </w:rPr>
        <w:t xml:space="preserve"> </w:t>
      </w:r>
      <w:r w:rsidRPr="004756A3">
        <w:rPr>
          <w:b/>
          <w:bCs/>
          <w:noProof/>
          <w:sz w:val="22"/>
          <w:szCs w:val="22"/>
        </w:rPr>
        <w:t>27</w:t>
      </w:r>
      <w:r w:rsidRPr="004756A3">
        <w:rPr>
          <w:noProof/>
          <w:sz w:val="22"/>
          <w:szCs w:val="22"/>
        </w:rPr>
        <w:t>(1): 5–22.</w:t>
      </w:r>
    </w:p>
    <w:p w14:paraId="6D030952"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Kouriloff M. 2000. Exploring perceptions of a priori barriers to entrepreneurship: A multidisciplinary approach. </w:t>
      </w:r>
      <w:r w:rsidRPr="004756A3">
        <w:rPr>
          <w:i/>
          <w:iCs/>
          <w:noProof/>
          <w:sz w:val="22"/>
          <w:szCs w:val="22"/>
        </w:rPr>
        <w:t>Entrepreneurship: Theory and practice</w:t>
      </w:r>
      <w:r w:rsidRPr="004756A3">
        <w:rPr>
          <w:noProof/>
          <w:sz w:val="22"/>
          <w:szCs w:val="22"/>
        </w:rPr>
        <w:t xml:space="preserve"> </w:t>
      </w:r>
      <w:r w:rsidRPr="004756A3">
        <w:rPr>
          <w:b/>
          <w:bCs/>
          <w:noProof/>
          <w:sz w:val="22"/>
          <w:szCs w:val="22"/>
        </w:rPr>
        <w:t>25</w:t>
      </w:r>
      <w:r w:rsidRPr="004756A3">
        <w:rPr>
          <w:noProof/>
          <w:sz w:val="22"/>
          <w:szCs w:val="22"/>
        </w:rPr>
        <w:t>(2): 59–80.</w:t>
      </w:r>
    </w:p>
    <w:p w14:paraId="288983D4"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Levie J, Autio E. 2010. Regulatory Burden, Rule of Law, and Entry of Strategic Entrepreneurs: An International Panel Study. </w:t>
      </w:r>
      <w:r w:rsidRPr="004756A3">
        <w:rPr>
          <w:i/>
          <w:iCs/>
          <w:noProof/>
          <w:sz w:val="22"/>
          <w:szCs w:val="22"/>
        </w:rPr>
        <w:t>Journal of Management Studies</w:t>
      </w:r>
      <w:r w:rsidRPr="004756A3">
        <w:rPr>
          <w:noProof/>
          <w:sz w:val="22"/>
          <w:szCs w:val="22"/>
        </w:rPr>
        <w:t xml:space="preserve"> </w:t>
      </w:r>
      <w:r w:rsidRPr="004756A3">
        <w:rPr>
          <w:b/>
          <w:bCs/>
          <w:noProof/>
          <w:sz w:val="22"/>
          <w:szCs w:val="22"/>
        </w:rPr>
        <w:t>48</w:t>
      </w:r>
      <w:r w:rsidRPr="004756A3">
        <w:rPr>
          <w:noProof/>
          <w:sz w:val="22"/>
          <w:szCs w:val="22"/>
        </w:rPr>
        <w:t>(6): 1392–1419.</w:t>
      </w:r>
    </w:p>
    <w:p w14:paraId="3E932B5D"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Levine R, Rubinstein Y. 2013. Smart and illicit: Who becomes an entrepreneur and does it pay? </w:t>
      </w:r>
      <w:r w:rsidRPr="004756A3">
        <w:rPr>
          <w:i/>
          <w:iCs/>
          <w:noProof/>
          <w:sz w:val="22"/>
          <w:szCs w:val="22"/>
        </w:rPr>
        <w:t>Available at SSRN 2314667</w:t>
      </w:r>
      <w:r w:rsidRPr="004756A3">
        <w:rPr>
          <w:noProof/>
          <w:sz w:val="22"/>
          <w:szCs w:val="22"/>
        </w:rPr>
        <w:t>.</w:t>
      </w:r>
    </w:p>
    <w:p w14:paraId="4D0F9C21"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Lippman SA, Rumelt RP. 1982. Uncertain imitability: An analysis of interfirm differences in efficiency under competition. </w:t>
      </w:r>
      <w:r w:rsidRPr="004756A3">
        <w:rPr>
          <w:i/>
          <w:iCs/>
          <w:noProof/>
          <w:sz w:val="22"/>
          <w:szCs w:val="22"/>
        </w:rPr>
        <w:t>Bell Journal of Economics</w:t>
      </w:r>
      <w:r w:rsidRPr="004756A3">
        <w:rPr>
          <w:noProof/>
          <w:sz w:val="22"/>
          <w:szCs w:val="22"/>
        </w:rPr>
        <w:t xml:space="preserve"> </w:t>
      </w:r>
      <w:r w:rsidRPr="004756A3">
        <w:rPr>
          <w:b/>
          <w:bCs/>
          <w:noProof/>
          <w:sz w:val="22"/>
          <w:szCs w:val="22"/>
        </w:rPr>
        <w:t>13</w:t>
      </w:r>
      <w:r w:rsidRPr="004756A3">
        <w:rPr>
          <w:noProof/>
          <w:sz w:val="22"/>
          <w:szCs w:val="22"/>
        </w:rPr>
        <w:t>(2): 418–438.</w:t>
      </w:r>
    </w:p>
    <w:p w14:paraId="02189BD6"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Mawdsley JK, Somaya D. 2016. Employee mobility and organizational outcomes: An integrative conceptual framework and research agenda. </w:t>
      </w:r>
      <w:r w:rsidRPr="004756A3">
        <w:rPr>
          <w:i/>
          <w:iCs/>
          <w:noProof/>
          <w:sz w:val="22"/>
          <w:szCs w:val="22"/>
        </w:rPr>
        <w:t>Journal of Management</w:t>
      </w:r>
      <w:r w:rsidRPr="004756A3">
        <w:rPr>
          <w:noProof/>
          <w:sz w:val="22"/>
          <w:szCs w:val="22"/>
        </w:rPr>
        <w:t xml:space="preserve">. Sage Publications Sage CA: Los Angeles, CA </w:t>
      </w:r>
      <w:r w:rsidRPr="004756A3">
        <w:rPr>
          <w:b/>
          <w:bCs/>
          <w:noProof/>
          <w:sz w:val="22"/>
          <w:szCs w:val="22"/>
        </w:rPr>
        <w:t>42</w:t>
      </w:r>
      <w:r w:rsidRPr="004756A3">
        <w:rPr>
          <w:noProof/>
          <w:sz w:val="22"/>
          <w:szCs w:val="22"/>
        </w:rPr>
        <w:t>(1): 85–113.</w:t>
      </w:r>
    </w:p>
    <w:p w14:paraId="051F0DEE"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Meek WR, Pacheco DF, York JG. 2010. The impact of social norms on entrepreneurial action: Evidence from the environmental entrepreneurship context. </w:t>
      </w:r>
      <w:r w:rsidRPr="004756A3">
        <w:rPr>
          <w:i/>
          <w:iCs/>
          <w:noProof/>
          <w:sz w:val="22"/>
          <w:szCs w:val="22"/>
        </w:rPr>
        <w:t>Journal of Business Venturing</w:t>
      </w:r>
      <w:r w:rsidRPr="004756A3">
        <w:rPr>
          <w:noProof/>
          <w:sz w:val="22"/>
          <w:szCs w:val="22"/>
        </w:rPr>
        <w:t xml:space="preserve"> </w:t>
      </w:r>
      <w:r w:rsidRPr="004756A3">
        <w:rPr>
          <w:b/>
          <w:bCs/>
          <w:noProof/>
          <w:sz w:val="22"/>
          <w:szCs w:val="22"/>
        </w:rPr>
        <w:t>25</w:t>
      </w:r>
      <w:r w:rsidRPr="004756A3">
        <w:rPr>
          <w:noProof/>
          <w:sz w:val="22"/>
          <w:szCs w:val="22"/>
        </w:rPr>
        <w:t>(5): 493–509.</w:t>
      </w:r>
    </w:p>
    <w:p w14:paraId="545EDA3B"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Petersen T, Saporta I. 2004. The Opportunity Structure for Discrimination. </w:t>
      </w:r>
      <w:r w:rsidRPr="004756A3">
        <w:rPr>
          <w:i/>
          <w:iCs/>
          <w:noProof/>
          <w:sz w:val="22"/>
          <w:szCs w:val="22"/>
        </w:rPr>
        <w:t>American Journal of Sociology</w:t>
      </w:r>
      <w:r w:rsidRPr="004756A3">
        <w:rPr>
          <w:noProof/>
          <w:sz w:val="22"/>
          <w:szCs w:val="22"/>
        </w:rPr>
        <w:t xml:space="preserve"> </w:t>
      </w:r>
      <w:r w:rsidRPr="004756A3">
        <w:rPr>
          <w:b/>
          <w:bCs/>
          <w:noProof/>
          <w:sz w:val="22"/>
          <w:szCs w:val="22"/>
        </w:rPr>
        <w:t>109</w:t>
      </w:r>
      <w:r w:rsidRPr="004756A3">
        <w:rPr>
          <w:noProof/>
          <w:sz w:val="22"/>
          <w:szCs w:val="22"/>
        </w:rPr>
        <w:t>(4): 852–901.</w:t>
      </w:r>
    </w:p>
    <w:p w14:paraId="6DA9E14F" w14:textId="2843E2A0" w:rsidR="00472D2A" w:rsidRPr="005D4501" w:rsidRDefault="00472D2A" w:rsidP="00472D2A">
      <w:pPr>
        <w:pStyle w:val="ReferenceListEntry"/>
        <w:spacing w:after="20" w:line="240" w:lineRule="auto"/>
        <w:ind w:left="284" w:hanging="284"/>
      </w:pPr>
      <w:r w:rsidRPr="005D4501">
        <w:t xml:space="preserve">Porter M.E. 1980. </w:t>
      </w:r>
      <w:r w:rsidRPr="005D4501">
        <w:rPr>
          <w:rStyle w:val="Emphasis"/>
        </w:rPr>
        <w:t>Competitive Strategy. Techniques for Analyzing Industries and Competitors</w:t>
      </w:r>
      <w:r w:rsidRPr="005D4501">
        <w:t>. New York: The Free Press.</w:t>
      </w:r>
    </w:p>
    <w:p w14:paraId="55E6F52E" w14:textId="77777777" w:rsidR="00D36933" w:rsidRPr="004534D7" w:rsidRDefault="00D36933" w:rsidP="00D36933">
      <w:pPr>
        <w:widowControl w:val="0"/>
        <w:autoSpaceDE w:val="0"/>
        <w:autoSpaceDN w:val="0"/>
        <w:adjustRightInd w:val="0"/>
        <w:ind w:left="480" w:hanging="480"/>
        <w:rPr>
          <w:noProof/>
          <w:sz w:val="22"/>
          <w:szCs w:val="22"/>
        </w:rPr>
      </w:pPr>
      <w:r w:rsidRPr="00A4092E">
        <w:rPr>
          <w:noProof/>
          <w:sz w:val="22"/>
          <w:szCs w:val="22"/>
        </w:rPr>
        <w:t xml:space="preserve">Prantl S. 2012. The impact of firm entry regulation on long-living entrants. </w:t>
      </w:r>
      <w:r w:rsidRPr="00A4092E">
        <w:rPr>
          <w:i/>
          <w:iCs/>
          <w:noProof/>
          <w:sz w:val="22"/>
          <w:szCs w:val="22"/>
        </w:rPr>
        <w:t>Small Business Economics</w:t>
      </w:r>
      <w:r w:rsidRPr="006F2C49">
        <w:rPr>
          <w:noProof/>
          <w:sz w:val="22"/>
          <w:szCs w:val="22"/>
        </w:rPr>
        <w:t xml:space="preserve"> </w:t>
      </w:r>
      <w:r w:rsidRPr="004534D7">
        <w:rPr>
          <w:b/>
          <w:bCs/>
          <w:noProof/>
          <w:sz w:val="22"/>
          <w:szCs w:val="22"/>
        </w:rPr>
        <w:t>39</w:t>
      </w:r>
      <w:r w:rsidRPr="004534D7">
        <w:rPr>
          <w:noProof/>
          <w:sz w:val="22"/>
          <w:szCs w:val="22"/>
        </w:rPr>
        <w:t>(1): 61–67.</w:t>
      </w:r>
    </w:p>
    <w:p w14:paraId="730465DD" w14:textId="39B2E10F" w:rsidR="00A43CB6" w:rsidRPr="005D4501" w:rsidRDefault="00D36933" w:rsidP="00A43CB6">
      <w:pPr>
        <w:pStyle w:val="CommentText"/>
        <w:rPr>
          <w:rFonts w:ascii="Times New Roman" w:hAnsi="Times New Roman" w:cs="Times New Roman"/>
          <w:i/>
          <w:iCs/>
          <w:noProof/>
          <w:sz w:val="22"/>
          <w:szCs w:val="22"/>
        </w:rPr>
      </w:pPr>
      <w:r w:rsidRPr="00387B98">
        <w:rPr>
          <w:rFonts w:ascii="Times New Roman" w:hAnsi="Times New Roman" w:cs="Times New Roman"/>
          <w:noProof/>
          <w:sz w:val="22"/>
          <w:szCs w:val="22"/>
        </w:rPr>
        <w:t xml:space="preserve">Qian C, Wang H, Geng X, Yu Y. 2017. Rent appropriation of knowledge‐based assets and firm </w:t>
      </w:r>
      <w:r w:rsidR="00A43CB6" w:rsidRPr="005D4501">
        <w:rPr>
          <w:rFonts w:ascii="Times New Roman" w:hAnsi="Times New Roman" w:cs="Times New Roman"/>
          <w:noProof/>
          <w:sz w:val="22"/>
          <w:szCs w:val="22"/>
        </w:rPr>
        <w:tab/>
      </w:r>
      <w:r w:rsidRPr="00387B98">
        <w:rPr>
          <w:rFonts w:ascii="Times New Roman" w:hAnsi="Times New Roman" w:cs="Times New Roman"/>
          <w:noProof/>
          <w:sz w:val="22"/>
          <w:szCs w:val="22"/>
        </w:rPr>
        <w:t xml:space="preserve">performance when institutions are weak: A study of Chinese publicly listed firms. </w:t>
      </w:r>
      <w:r w:rsidRPr="00387B98">
        <w:rPr>
          <w:rFonts w:ascii="Times New Roman" w:hAnsi="Times New Roman" w:cs="Times New Roman"/>
          <w:i/>
          <w:iCs/>
          <w:noProof/>
          <w:sz w:val="22"/>
          <w:szCs w:val="22"/>
        </w:rPr>
        <w:t xml:space="preserve">Strategic </w:t>
      </w:r>
    </w:p>
    <w:p w14:paraId="213B23E4" w14:textId="7B7D167D" w:rsidR="00A43CB6" w:rsidRPr="00387B98" w:rsidRDefault="00A43CB6" w:rsidP="00387B98">
      <w:pPr>
        <w:pStyle w:val="CommentText"/>
        <w:rPr>
          <w:rFonts w:ascii="Times New Roman" w:hAnsi="Times New Roman" w:cs="Times New Roman"/>
          <w:noProof/>
          <w:sz w:val="22"/>
          <w:szCs w:val="22"/>
        </w:rPr>
      </w:pPr>
      <w:r w:rsidRPr="00387B98">
        <w:rPr>
          <w:rFonts w:ascii="Times New Roman" w:hAnsi="Times New Roman" w:cs="Times New Roman"/>
          <w:sz w:val="22"/>
          <w:szCs w:val="22"/>
        </w:rPr>
        <w:t xml:space="preserve">Ridgeway, C., Correll, S. Consensus and the Creation of Status Beliefs. </w:t>
      </w:r>
      <w:r w:rsidRPr="00387B98">
        <w:rPr>
          <w:rFonts w:ascii="Times New Roman" w:hAnsi="Times New Roman" w:cs="Times New Roman"/>
          <w:i/>
          <w:sz w:val="22"/>
          <w:szCs w:val="22"/>
        </w:rPr>
        <w:t>Social Forces</w:t>
      </w:r>
      <w:r w:rsidRPr="00387B98">
        <w:rPr>
          <w:rFonts w:ascii="Times New Roman" w:hAnsi="Times New Roman" w:cs="Times New Roman"/>
          <w:sz w:val="22"/>
          <w:szCs w:val="22"/>
        </w:rPr>
        <w:t xml:space="preserve">, 2006, </w:t>
      </w:r>
      <w:r w:rsidRPr="00387B98">
        <w:rPr>
          <w:rFonts w:ascii="Times New Roman" w:hAnsi="Times New Roman" w:cs="Times New Roman"/>
          <w:b/>
          <w:sz w:val="22"/>
          <w:szCs w:val="22"/>
        </w:rPr>
        <w:t>85</w:t>
      </w:r>
      <w:r w:rsidRPr="00387B98">
        <w:rPr>
          <w:rFonts w:ascii="Times New Roman" w:hAnsi="Times New Roman" w:cs="Times New Roman"/>
          <w:sz w:val="22"/>
          <w:szCs w:val="22"/>
        </w:rPr>
        <w:t xml:space="preserve">(1-Sept): </w:t>
      </w:r>
      <w:r w:rsidRPr="00387B98">
        <w:rPr>
          <w:rFonts w:ascii="Times New Roman" w:hAnsi="Times New Roman" w:cs="Times New Roman"/>
          <w:sz w:val="22"/>
          <w:szCs w:val="22"/>
        </w:rPr>
        <w:tab/>
        <w:t xml:space="preserve">431-454. </w:t>
      </w:r>
      <w:r w:rsidR="00D36933" w:rsidRPr="00387B98">
        <w:rPr>
          <w:rFonts w:ascii="Times New Roman" w:hAnsi="Times New Roman" w:cs="Times New Roman"/>
          <w:i/>
          <w:iCs/>
          <w:noProof/>
          <w:sz w:val="22"/>
          <w:szCs w:val="22"/>
        </w:rPr>
        <w:t>Management Journal</w:t>
      </w:r>
      <w:r w:rsidR="00D36933" w:rsidRPr="00387B98">
        <w:rPr>
          <w:rFonts w:ascii="Times New Roman" w:hAnsi="Times New Roman" w:cs="Times New Roman"/>
          <w:noProof/>
          <w:sz w:val="22"/>
          <w:szCs w:val="22"/>
        </w:rPr>
        <w:t xml:space="preserve">. Wiley Online Library </w:t>
      </w:r>
      <w:r w:rsidR="00D36933" w:rsidRPr="00387B98">
        <w:rPr>
          <w:rFonts w:ascii="Times New Roman" w:hAnsi="Times New Roman" w:cs="Times New Roman"/>
          <w:b/>
          <w:bCs/>
          <w:noProof/>
          <w:sz w:val="22"/>
          <w:szCs w:val="22"/>
        </w:rPr>
        <w:t>38</w:t>
      </w:r>
      <w:r w:rsidR="00D36933" w:rsidRPr="00387B98">
        <w:rPr>
          <w:rFonts w:ascii="Times New Roman" w:hAnsi="Times New Roman" w:cs="Times New Roman"/>
          <w:noProof/>
          <w:sz w:val="22"/>
          <w:szCs w:val="22"/>
        </w:rPr>
        <w:t>(4): 892–911.</w:t>
      </w:r>
    </w:p>
    <w:p w14:paraId="20DE88B5" w14:textId="06DE8258" w:rsidR="00D36933" w:rsidRPr="006F2C49" w:rsidRDefault="00D36933" w:rsidP="00D36933">
      <w:pPr>
        <w:widowControl w:val="0"/>
        <w:autoSpaceDE w:val="0"/>
        <w:autoSpaceDN w:val="0"/>
        <w:adjustRightInd w:val="0"/>
        <w:ind w:left="480" w:hanging="480"/>
        <w:rPr>
          <w:noProof/>
          <w:sz w:val="22"/>
          <w:szCs w:val="22"/>
        </w:rPr>
      </w:pPr>
      <w:r w:rsidRPr="005D4501">
        <w:rPr>
          <w:noProof/>
          <w:sz w:val="22"/>
          <w:szCs w:val="22"/>
        </w:rPr>
        <w:t xml:space="preserve">Rosenkopf L, Almeida P. 2003. Overcoming Local Search Through Alliances and Mobility. </w:t>
      </w:r>
      <w:r w:rsidRPr="005D4501">
        <w:rPr>
          <w:i/>
          <w:iCs/>
          <w:noProof/>
          <w:sz w:val="22"/>
          <w:szCs w:val="22"/>
        </w:rPr>
        <w:t>Management Science</w:t>
      </w:r>
      <w:r w:rsidRPr="00A4092E">
        <w:rPr>
          <w:noProof/>
          <w:sz w:val="22"/>
          <w:szCs w:val="22"/>
        </w:rPr>
        <w:t xml:space="preserve"> </w:t>
      </w:r>
      <w:r w:rsidRPr="00A4092E">
        <w:rPr>
          <w:b/>
          <w:bCs/>
          <w:noProof/>
          <w:sz w:val="22"/>
          <w:szCs w:val="22"/>
        </w:rPr>
        <w:t>49</w:t>
      </w:r>
      <w:r w:rsidRPr="006F2C49">
        <w:rPr>
          <w:noProof/>
          <w:sz w:val="22"/>
          <w:szCs w:val="22"/>
        </w:rPr>
        <w:t>(6): 751–766. Available at: http://mansci.journal.informs.org/cgi/doi/10.1287/mnsc.49.6.751.16026.</w:t>
      </w:r>
    </w:p>
    <w:p w14:paraId="142F3C6E" w14:textId="77777777" w:rsidR="00D36933" w:rsidRPr="00D03986" w:rsidRDefault="00D36933" w:rsidP="00D36933">
      <w:pPr>
        <w:widowControl w:val="0"/>
        <w:autoSpaceDE w:val="0"/>
        <w:autoSpaceDN w:val="0"/>
        <w:adjustRightInd w:val="0"/>
        <w:ind w:left="480" w:hanging="480"/>
        <w:rPr>
          <w:noProof/>
          <w:sz w:val="22"/>
          <w:szCs w:val="22"/>
        </w:rPr>
      </w:pPr>
      <w:r w:rsidRPr="004534D7">
        <w:rPr>
          <w:noProof/>
          <w:sz w:val="22"/>
          <w:szCs w:val="22"/>
        </w:rPr>
        <w:t xml:space="preserve">Ruef M, Aldrich HE, Carter NM. 2003. The Structure of Founding Teams: Homophily, Strong Ties, and Isolation among U.S. Entrepreneurs. </w:t>
      </w:r>
      <w:r w:rsidRPr="004534D7">
        <w:rPr>
          <w:i/>
          <w:iCs/>
          <w:noProof/>
          <w:sz w:val="22"/>
          <w:szCs w:val="22"/>
        </w:rPr>
        <w:t>American Sociological Review</w:t>
      </w:r>
      <w:r w:rsidRPr="004534D7">
        <w:rPr>
          <w:noProof/>
          <w:sz w:val="22"/>
          <w:szCs w:val="22"/>
        </w:rPr>
        <w:t xml:space="preserve"> </w:t>
      </w:r>
      <w:r w:rsidRPr="00D03986">
        <w:rPr>
          <w:b/>
          <w:bCs/>
          <w:noProof/>
          <w:sz w:val="22"/>
          <w:szCs w:val="22"/>
        </w:rPr>
        <w:t>68</w:t>
      </w:r>
      <w:r w:rsidRPr="00D03986">
        <w:rPr>
          <w:noProof/>
          <w:sz w:val="22"/>
          <w:szCs w:val="22"/>
        </w:rPr>
        <w:t>(2): 195–222.</w:t>
      </w:r>
    </w:p>
    <w:p w14:paraId="732E1609" w14:textId="074A60D2" w:rsidR="00D36933" w:rsidRPr="009C1B65" w:rsidRDefault="00D36933" w:rsidP="00D36933">
      <w:pPr>
        <w:widowControl w:val="0"/>
        <w:autoSpaceDE w:val="0"/>
        <w:autoSpaceDN w:val="0"/>
        <w:adjustRightInd w:val="0"/>
        <w:ind w:left="480" w:hanging="480"/>
        <w:rPr>
          <w:noProof/>
          <w:sz w:val="22"/>
          <w:szCs w:val="22"/>
        </w:rPr>
      </w:pPr>
      <w:r w:rsidRPr="009C1B65">
        <w:rPr>
          <w:noProof/>
          <w:sz w:val="22"/>
          <w:szCs w:val="22"/>
        </w:rPr>
        <w:t xml:space="preserve">Shane S, Venkataraman S. 2000. The Promise of Entrepreneurship as a Field of Research. </w:t>
      </w:r>
      <w:r w:rsidRPr="009C1B65">
        <w:rPr>
          <w:i/>
          <w:iCs/>
          <w:noProof/>
          <w:sz w:val="22"/>
          <w:szCs w:val="22"/>
        </w:rPr>
        <w:t>Academy of Management Review</w:t>
      </w:r>
      <w:r w:rsidRPr="009C1B65">
        <w:rPr>
          <w:noProof/>
          <w:sz w:val="22"/>
          <w:szCs w:val="22"/>
        </w:rPr>
        <w:t xml:space="preserve"> </w:t>
      </w:r>
      <w:r w:rsidRPr="009C1B65">
        <w:rPr>
          <w:b/>
          <w:bCs/>
          <w:noProof/>
          <w:sz w:val="22"/>
          <w:szCs w:val="22"/>
        </w:rPr>
        <w:t>25</w:t>
      </w:r>
      <w:r w:rsidRPr="009C1B65">
        <w:rPr>
          <w:noProof/>
          <w:sz w:val="22"/>
          <w:szCs w:val="22"/>
        </w:rPr>
        <w:t>(1): 217.</w:t>
      </w:r>
    </w:p>
    <w:p w14:paraId="6BC57F12" w14:textId="77777777" w:rsidR="00D36933" w:rsidRPr="009C1B65" w:rsidRDefault="00D36933" w:rsidP="00D36933">
      <w:pPr>
        <w:widowControl w:val="0"/>
        <w:autoSpaceDE w:val="0"/>
        <w:autoSpaceDN w:val="0"/>
        <w:adjustRightInd w:val="0"/>
        <w:ind w:left="480" w:hanging="480"/>
        <w:rPr>
          <w:noProof/>
          <w:sz w:val="22"/>
          <w:szCs w:val="22"/>
        </w:rPr>
      </w:pPr>
      <w:r w:rsidRPr="009C1B65">
        <w:rPr>
          <w:noProof/>
          <w:sz w:val="22"/>
          <w:szCs w:val="22"/>
        </w:rPr>
        <w:t xml:space="preserve">Sine WD, David RJ. 2003. Environmental jolts, institutional change, and the creation of entrepreneurial opportunity in the US electric power industry. </w:t>
      </w:r>
      <w:r w:rsidRPr="009C1B65">
        <w:rPr>
          <w:i/>
          <w:iCs/>
          <w:noProof/>
          <w:sz w:val="22"/>
          <w:szCs w:val="22"/>
        </w:rPr>
        <w:t>Research Policy</w:t>
      </w:r>
      <w:r w:rsidRPr="009C1B65">
        <w:rPr>
          <w:noProof/>
          <w:sz w:val="22"/>
          <w:szCs w:val="22"/>
        </w:rPr>
        <w:t xml:space="preserve"> </w:t>
      </w:r>
      <w:r w:rsidRPr="009C1B65">
        <w:rPr>
          <w:b/>
          <w:bCs/>
          <w:noProof/>
          <w:sz w:val="22"/>
          <w:szCs w:val="22"/>
        </w:rPr>
        <w:t>32</w:t>
      </w:r>
      <w:r w:rsidRPr="009C1B65">
        <w:rPr>
          <w:noProof/>
          <w:sz w:val="22"/>
          <w:szCs w:val="22"/>
        </w:rPr>
        <w:t>(2): 185–207.</w:t>
      </w:r>
    </w:p>
    <w:p w14:paraId="12A8BCA5" w14:textId="77777777" w:rsidR="00D36933" w:rsidRPr="004756A3" w:rsidRDefault="00D36933" w:rsidP="00D36933">
      <w:pPr>
        <w:widowControl w:val="0"/>
        <w:autoSpaceDE w:val="0"/>
        <w:autoSpaceDN w:val="0"/>
        <w:adjustRightInd w:val="0"/>
        <w:ind w:left="480" w:hanging="480"/>
        <w:rPr>
          <w:noProof/>
          <w:sz w:val="22"/>
          <w:szCs w:val="22"/>
        </w:rPr>
      </w:pPr>
      <w:r w:rsidRPr="004100F6">
        <w:rPr>
          <w:noProof/>
          <w:sz w:val="22"/>
          <w:szCs w:val="22"/>
        </w:rPr>
        <w:t xml:space="preserve">Sine WD, Haveman HA, Tolbert PS. 2005. Risky Business? Entrepreneurship in the New Independent-Power Sector. </w:t>
      </w:r>
      <w:r w:rsidRPr="004100F6">
        <w:rPr>
          <w:i/>
          <w:iCs/>
          <w:noProof/>
          <w:sz w:val="22"/>
          <w:szCs w:val="22"/>
        </w:rPr>
        <w:t>Administrative Science Quarterly</w:t>
      </w:r>
      <w:r w:rsidRPr="004756A3">
        <w:rPr>
          <w:noProof/>
          <w:sz w:val="22"/>
          <w:szCs w:val="22"/>
        </w:rPr>
        <w:t xml:space="preserve"> </w:t>
      </w:r>
      <w:r w:rsidRPr="004756A3">
        <w:rPr>
          <w:b/>
          <w:bCs/>
          <w:noProof/>
          <w:sz w:val="22"/>
          <w:szCs w:val="22"/>
        </w:rPr>
        <w:t>50</w:t>
      </w:r>
      <w:r w:rsidRPr="004756A3">
        <w:rPr>
          <w:noProof/>
          <w:sz w:val="22"/>
          <w:szCs w:val="22"/>
        </w:rPr>
        <w:t>(2): 200–232.</w:t>
      </w:r>
    </w:p>
    <w:p w14:paraId="02CF13AF" w14:textId="77777777" w:rsidR="00D36933" w:rsidRPr="006F2C49" w:rsidRDefault="00D36933" w:rsidP="00D36933">
      <w:pPr>
        <w:widowControl w:val="0"/>
        <w:autoSpaceDE w:val="0"/>
        <w:autoSpaceDN w:val="0"/>
        <w:adjustRightInd w:val="0"/>
        <w:ind w:left="480" w:hanging="480"/>
        <w:rPr>
          <w:noProof/>
          <w:sz w:val="22"/>
          <w:szCs w:val="22"/>
        </w:rPr>
      </w:pPr>
      <w:r w:rsidRPr="004756A3">
        <w:rPr>
          <w:noProof/>
          <w:sz w:val="22"/>
          <w:szCs w:val="22"/>
        </w:rPr>
        <w:t>Starr E, Ganco M, Campbell BA. 2018. Strategic human capital management in the context of cross</w:t>
      </w:r>
      <w:r w:rsidRPr="00387B98">
        <w:rPr>
          <w:noProof/>
          <w:sz w:val="22"/>
          <w:szCs w:val="22"/>
        </w:rPr>
        <w:t>‐</w:t>
      </w:r>
      <w:r w:rsidRPr="005D4501">
        <w:rPr>
          <w:noProof/>
          <w:sz w:val="22"/>
          <w:szCs w:val="22"/>
        </w:rPr>
        <w:t>industry and within</w:t>
      </w:r>
      <w:r w:rsidRPr="00387B98">
        <w:rPr>
          <w:noProof/>
          <w:sz w:val="22"/>
          <w:szCs w:val="22"/>
        </w:rPr>
        <w:t>‐</w:t>
      </w:r>
      <w:r w:rsidRPr="005D4501">
        <w:rPr>
          <w:noProof/>
          <w:sz w:val="22"/>
          <w:szCs w:val="22"/>
        </w:rPr>
        <w:t xml:space="preserve">industry mobility frictions. </w:t>
      </w:r>
      <w:r w:rsidRPr="005D4501">
        <w:rPr>
          <w:i/>
          <w:iCs/>
          <w:noProof/>
          <w:sz w:val="22"/>
          <w:szCs w:val="22"/>
        </w:rPr>
        <w:t>Strategic Management Journal</w:t>
      </w:r>
      <w:r w:rsidRPr="00A4092E">
        <w:rPr>
          <w:noProof/>
          <w:sz w:val="22"/>
          <w:szCs w:val="22"/>
        </w:rPr>
        <w:t xml:space="preserve">. Wiley Online Library </w:t>
      </w:r>
      <w:r w:rsidRPr="00A4092E">
        <w:rPr>
          <w:b/>
          <w:bCs/>
          <w:noProof/>
          <w:sz w:val="22"/>
          <w:szCs w:val="22"/>
        </w:rPr>
        <w:t>39</w:t>
      </w:r>
      <w:r w:rsidRPr="006F2C49">
        <w:rPr>
          <w:noProof/>
          <w:sz w:val="22"/>
          <w:szCs w:val="22"/>
        </w:rPr>
        <w:t>(8): 2226–2254.</w:t>
      </w:r>
    </w:p>
    <w:p w14:paraId="04762BF3" w14:textId="77777777" w:rsidR="00D36933" w:rsidRPr="00D03986" w:rsidRDefault="00D36933" w:rsidP="00D36933">
      <w:pPr>
        <w:widowControl w:val="0"/>
        <w:autoSpaceDE w:val="0"/>
        <w:autoSpaceDN w:val="0"/>
        <w:adjustRightInd w:val="0"/>
        <w:ind w:left="480" w:hanging="480"/>
        <w:rPr>
          <w:noProof/>
          <w:sz w:val="22"/>
          <w:szCs w:val="22"/>
        </w:rPr>
      </w:pPr>
      <w:r w:rsidRPr="004534D7">
        <w:rPr>
          <w:noProof/>
          <w:sz w:val="22"/>
          <w:szCs w:val="22"/>
        </w:rPr>
        <w:t xml:space="preserve">Thébaud S. 2010. Gender and entrepreneurship as a career choice: Do self-assessments of ability matter? </w:t>
      </w:r>
      <w:r w:rsidRPr="004534D7">
        <w:rPr>
          <w:i/>
          <w:iCs/>
          <w:noProof/>
          <w:sz w:val="22"/>
          <w:szCs w:val="22"/>
        </w:rPr>
        <w:t>Social Psychology Quarterly</w:t>
      </w:r>
      <w:r w:rsidRPr="004534D7">
        <w:rPr>
          <w:noProof/>
          <w:sz w:val="22"/>
          <w:szCs w:val="22"/>
        </w:rPr>
        <w:t xml:space="preserve"> </w:t>
      </w:r>
      <w:r w:rsidRPr="00D03986">
        <w:rPr>
          <w:b/>
          <w:bCs/>
          <w:noProof/>
          <w:sz w:val="22"/>
          <w:szCs w:val="22"/>
        </w:rPr>
        <w:t>73</w:t>
      </w:r>
      <w:r w:rsidRPr="00D03986">
        <w:rPr>
          <w:noProof/>
          <w:sz w:val="22"/>
          <w:szCs w:val="22"/>
        </w:rPr>
        <w:t>(3): 288–304.</w:t>
      </w:r>
    </w:p>
    <w:p w14:paraId="4480BB08" w14:textId="77777777" w:rsidR="00D36933" w:rsidRPr="009C1B65" w:rsidRDefault="00D36933" w:rsidP="00D36933">
      <w:pPr>
        <w:widowControl w:val="0"/>
        <w:autoSpaceDE w:val="0"/>
        <w:autoSpaceDN w:val="0"/>
        <w:adjustRightInd w:val="0"/>
        <w:ind w:left="480" w:hanging="480"/>
        <w:rPr>
          <w:noProof/>
          <w:sz w:val="22"/>
          <w:szCs w:val="22"/>
        </w:rPr>
      </w:pPr>
      <w:r w:rsidRPr="009C1B65">
        <w:rPr>
          <w:noProof/>
          <w:sz w:val="22"/>
          <w:szCs w:val="22"/>
        </w:rPr>
        <w:t xml:space="preserve">Thébaud S. 2015. Business as Plan B: Institutional Foundations of Gender Inequality in Entrepreneurship across 24 Industrialized Countries. </w:t>
      </w:r>
      <w:r w:rsidRPr="009C1B65">
        <w:rPr>
          <w:i/>
          <w:iCs/>
          <w:noProof/>
          <w:sz w:val="22"/>
          <w:szCs w:val="22"/>
        </w:rPr>
        <w:t>Administrative Science Quarterly</w:t>
      </w:r>
      <w:r w:rsidRPr="009C1B65">
        <w:rPr>
          <w:noProof/>
          <w:sz w:val="22"/>
          <w:szCs w:val="22"/>
        </w:rPr>
        <w:t xml:space="preserve"> </w:t>
      </w:r>
      <w:r w:rsidRPr="009C1B65">
        <w:rPr>
          <w:b/>
          <w:bCs/>
          <w:noProof/>
          <w:sz w:val="22"/>
          <w:szCs w:val="22"/>
        </w:rPr>
        <w:t>60</w:t>
      </w:r>
      <w:r w:rsidRPr="009C1B65">
        <w:rPr>
          <w:noProof/>
          <w:sz w:val="22"/>
          <w:szCs w:val="22"/>
        </w:rPr>
        <w:t>(4): 671–711.</w:t>
      </w:r>
    </w:p>
    <w:p w14:paraId="1993ECC3" w14:textId="77777777" w:rsidR="00D36933" w:rsidRPr="009C1B65" w:rsidRDefault="00D36933" w:rsidP="00D36933">
      <w:pPr>
        <w:widowControl w:val="0"/>
        <w:autoSpaceDE w:val="0"/>
        <w:autoSpaceDN w:val="0"/>
        <w:adjustRightInd w:val="0"/>
        <w:ind w:left="480" w:hanging="480"/>
        <w:rPr>
          <w:noProof/>
          <w:sz w:val="22"/>
          <w:szCs w:val="22"/>
        </w:rPr>
      </w:pPr>
      <w:r w:rsidRPr="009C1B65">
        <w:rPr>
          <w:noProof/>
          <w:sz w:val="22"/>
          <w:szCs w:val="22"/>
        </w:rPr>
        <w:t xml:space="preserve">Thébaud S, Sharkey AJ. 2016. Unequal hard times: The influence of the great recession on gender bias in entrepreneurial financing. </w:t>
      </w:r>
      <w:r w:rsidRPr="009C1B65">
        <w:rPr>
          <w:i/>
          <w:iCs/>
          <w:noProof/>
          <w:sz w:val="22"/>
          <w:szCs w:val="22"/>
        </w:rPr>
        <w:t>Sociological Science</w:t>
      </w:r>
      <w:r w:rsidRPr="009C1B65">
        <w:rPr>
          <w:noProof/>
          <w:sz w:val="22"/>
          <w:szCs w:val="22"/>
        </w:rPr>
        <w:t xml:space="preserve"> </w:t>
      </w:r>
      <w:r w:rsidRPr="009C1B65">
        <w:rPr>
          <w:b/>
          <w:bCs/>
          <w:noProof/>
          <w:sz w:val="22"/>
          <w:szCs w:val="22"/>
        </w:rPr>
        <w:t>1</w:t>
      </w:r>
      <w:r w:rsidRPr="009C1B65">
        <w:rPr>
          <w:noProof/>
          <w:sz w:val="22"/>
          <w:szCs w:val="22"/>
        </w:rPr>
        <w:t>(3): 1–31.</w:t>
      </w:r>
    </w:p>
    <w:p w14:paraId="5AEEB9EC" w14:textId="77777777" w:rsidR="00D36933" w:rsidRPr="004756A3" w:rsidRDefault="00D36933" w:rsidP="00D36933">
      <w:pPr>
        <w:widowControl w:val="0"/>
        <w:autoSpaceDE w:val="0"/>
        <w:autoSpaceDN w:val="0"/>
        <w:adjustRightInd w:val="0"/>
        <w:ind w:left="480" w:hanging="480"/>
        <w:rPr>
          <w:noProof/>
          <w:sz w:val="22"/>
          <w:szCs w:val="22"/>
        </w:rPr>
      </w:pPr>
      <w:r w:rsidRPr="009C1B65">
        <w:rPr>
          <w:noProof/>
          <w:sz w:val="22"/>
          <w:szCs w:val="22"/>
        </w:rPr>
        <w:t xml:space="preserve">Torchia M, Calabrò A, Huse M. 2011. Women Directors on Corporate Boards: From Tokenism to Critical Mass. </w:t>
      </w:r>
      <w:r w:rsidRPr="009C1B65">
        <w:rPr>
          <w:i/>
          <w:iCs/>
          <w:noProof/>
          <w:sz w:val="22"/>
          <w:szCs w:val="22"/>
        </w:rPr>
        <w:t>Journal of Business Ethics</w:t>
      </w:r>
      <w:r w:rsidRPr="004100F6">
        <w:rPr>
          <w:noProof/>
          <w:sz w:val="22"/>
          <w:szCs w:val="22"/>
        </w:rPr>
        <w:t xml:space="preserve"> </w:t>
      </w:r>
      <w:r w:rsidRPr="004100F6">
        <w:rPr>
          <w:b/>
          <w:bCs/>
          <w:noProof/>
          <w:sz w:val="22"/>
          <w:szCs w:val="22"/>
        </w:rPr>
        <w:t>102</w:t>
      </w:r>
      <w:r w:rsidRPr="004100F6">
        <w:rPr>
          <w:noProof/>
          <w:sz w:val="22"/>
          <w:szCs w:val="22"/>
        </w:rPr>
        <w:t>(2): 299–317.</w:t>
      </w:r>
    </w:p>
    <w:p w14:paraId="135F7EB6" w14:textId="77777777" w:rsidR="00D36933" w:rsidRPr="00387B98" w:rsidRDefault="00D36933" w:rsidP="00D36933">
      <w:pPr>
        <w:widowControl w:val="0"/>
        <w:autoSpaceDE w:val="0"/>
        <w:autoSpaceDN w:val="0"/>
        <w:adjustRightInd w:val="0"/>
        <w:ind w:left="480" w:hanging="480"/>
        <w:rPr>
          <w:noProof/>
          <w:sz w:val="22"/>
          <w:szCs w:val="22"/>
          <w:lang w:val="fr-FR"/>
        </w:rPr>
      </w:pPr>
      <w:r w:rsidRPr="004756A3">
        <w:rPr>
          <w:noProof/>
          <w:sz w:val="22"/>
          <w:szCs w:val="22"/>
        </w:rPr>
        <w:t xml:space="preserve">Verbrugge LM. 1977. The structure of adult friendship choices. </w:t>
      </w:r>
      <w:r w:rsidRPr="00387B98">
        <w:rPr>
          <w:i/>
          <w:iCs/>
          <w:noProof/>
          <w:sz w:val="22"/>
          <w:szCs w:val="22"/>
          <w:lang w:val="fr-FR"/>
        </w:rPr>
        <w:t>Social Forces</w:t>
      </w:r>
      <w:r w:rsidRPr="00387B98">
        <w:rPr>
          <w:noProof/>
          <w:sz w:val="22"/>
          <w:szCs w:val="22"/>
          <w:lang w:val="fr-FR"/>
        </w:rPr>
        <w:t xml:space="preserve"> </w:t>
      </w:r>
      <w:r w:rsidRPr="00387B98">
        <w:rPr>
          <w:b/>
          <w:bCs/>
          <w:noProof/>
          <w:sz w:val="22"/>
          <w:szCs w:val="22"/>
          <w:lang w:val="fr-FR"/>
        </w:rPr>
        <w:t>56</w:t>
      </w:r>
      <w:r w:rsidRPr="00387B98">
        <w:rPr>
          <w:noProof/>
          <w:sz w:val="22"/>
          <w:szCs w:val="22"/>
          <w:lang w:val="fr-FR"/>
        </w:rPr>
        <w:t>(2): 576–597.</w:t>
      </w:r>
    </w:p>
    <w:p w14:paraId="518CB5C7" w14:textId="77777777" w:rsidR="00D36933" w:rsidRPr="006F2C49" w:rsidRDefault="00D36933" w:rsidP="00D36933">
      <w:pPr>
        <w:widowControl w:val="0"/>
        <w:autoSpaceDE w:val="0"/>
        <w:autoSpaceDN w:val="0"/>
        <w:adjustRightInd w:val="0"/>
        <w:ind w:left="480" w:hanging="480"/>
        <w:rPr>
          <w:noProof/>
          <w:sz w:val="22"/>
          <w:szCs w:val="22"/>
        </w:rPr>
      </w:pPr>
      <w:r w:rsidRPr="00387B98">
        <w:rPr>
          <w:noProof/>
          <w:sz w:val="22"/>
          <w:szCs w:val="22"/>
          <w:lang w:val="fr-FR"/>
        </w:rPr>
        <w:t xml:space="preserve">Vieira JAC, Cardoso AR, Portela M. 2005. </w:t>
      </w:r>
      <w:r w:rsidRPr="005D4501">
        <w:rPr>
          <w:noProof/>
          <w:sz w:val="22"/>
          <w:szCs w:val="22"/>
        </w:rPr>
        <w:t xml:space="preserve">Gender segregation and the wage gap in Portugal: An analysis at the establishment level. </w:t>
      </w:r>
      <w:r w:rsidRPr="005D4501">
        <w:rPr>
          <w:i/>
          <w:iCs/>
          <w:noProof/>
          <w:sz w:val="22"/>
          <w:szCs w:val="22"/>
        </w:rPr>
        <w:t>Journal of Economic Inequality</w:t>
      </w:r>
      <w:r w:rsidRPr="00A4092E">
        <w:rPr>
          <w:noProof/>
          <w:sz w:val="22"/>
          <w:szCs w:val="22"/>
        </w:rPr>
        <w:t xml:space="preserve"> </w:t>
      </w:r>
      <w:r w:rsidRPr="00A4092E">
        <w:rPr>
          <w:b/>
          <w:bCs/>
          <w:noProof/>
          <w:sz w:val="22"/>
          <w:szCs w:val="22"/>
        </w:rPr>
        <w:t>3</w:t>
      </w:r>
      <w:r w:rsidRPr="006F2C49">
        <w:rPr>
          <w:noProof/>
          <w:sz w:val="22"/>
          <w:szCs w:val="22"/>
        </w:rPr>
        <w:t>(2): 145–168.</w:t>
      </w:r>
    </w:p>
    <w:p w14:paraId="1E266CD6" w14:textId="77777777" w:rsidR="00D36933" w:rsidRPr="00D03986" w:rsidRDefault="00D36933" w:rsidP="00D36933">
      <w:pPr>
        <w:widowControl w:val="0"/>
        <w:autoSpaceDE w:val="0"/>
        <w:autoSpaceDN w:val="0"/>
        <w:adjustRightInd w:val="0"/>
        <w:ind w:left="480" w:hanging="480"/>
        <w:rPr>
          <w:noProof/>
          <w:sz w:val="22"/>
          <w:szCs w:val="22"/>
        </w:rPr>
      </w:pPr>
      <w:r w:rsidRPr="004534D7">
        <w:rPr>
          <w:noProof/>
          <w:sz w:val="22"/>
          <w:szCs w:val="22"/>
        </w:rPr>
        <w:t xml:space="preserve">Westphal JD, Milton LP. 2000. How Experience and Network Ties Affect the Influence of Demographic Minorities on Corporate Boards. </w:t>
      </w:r>
      <w:r w:rsidRPr="004534D7">
        <w:rPr>
          <w:i/>
          <w:iCs/>
          <w:noProof/>
          <w:sz w:val="22"/>
          <w:szCs w:val="22"/>
        </w:rPr>
        <w:t>Administrative Science Quarterly</w:t>
      </w:r>
      <w:r w:rsidRPr="004534D7">
        <w:rPr>
          <w:noProof/>
          <w:sz w:val="22"/>
          <w:szCs w:val="22"/>
        </w:rPr>
        <w:t xml:space="preserve"> </w:t>
      </w:r>
      <w:r w:rsidRPr="00D03986">
        <w:rPr>
          <w:b/>
          <w:bCs/>
          <w:noProof/>
          <w:sz w:val="22"/>
          <w:szCs w:val="22"/>
        </w:rPr>
        <w:t>45</w:t>
      </w:r>
      <w:r w:rsidRPr="00D03986">
        <w:rPr>
          <w:noProof/>
          <w:sz w:val="22"/>
          <w:szCs w:val="22"/>
        </w:rPr>
        <w:t>(2): 366–398.</w:t>
      </w:r>
    </w:p>
    <w:p w14:paraId="432A038A" w14:textId="77777777" w:rsidR="00D36933" w:rsidRPr="009C1B65" w:rsidRDefault="00D36933" w:rsidP="00D36933">
      <w:pPr>
        <w:widowControl w:val="0"/>
        <w:autoSpaceDE w:val="0"/>
        <w:autoSpaceDN w:val="0"/>
        <w:adjustRightInd w:val="0"/>
        <w:ind w:left="480" w:hanging="480"/>
        <w:rPr>
          <w:noProof/>
          <w:sz w:val="22"/>
          <w:szCs w:val="22"/>
        </w:rPr>
      </w:pPr>
      <w:r w:rsidRPr="009C1B65">
        <w:rPr>
          <w:noProof/>
          <w:sz w:val="22"/>
          <w:szCs w:val="22"/>
        </w:rPr>
        <w:t xml:space="preserve">Westphal JD, Zajac EJ. 1995. Who shall govern? CEO/board power, demographic similarity, and new director selection. </w:t>
      </w:r>
      <w:r w:rsidRPr="009C1B65">
        <w:rPr>
          <w:i/>
          <w:iCs/>
          <w:noProof/>
          <w:sz w:val="22"/>
          <w:szCs w:val="22"/>
        </w:rPr>
        <w:t>Administrative science quarterly</w:t>
      </w:r>
      <w:r w:rsidRPr="009C1B65">
        <w:rPr>
          <w:noProof/>
          <w:sz w:val="22"/>
          <w:szCs w:val="22"/>
        </w:rPr>
        <w:t xml:space="preserve"> </w:t>
      </w:r>
      <w:r w:rsidRPr="009C1B65">
        <w:rPr>
          <w:b/>
          <w:bCs/>
          <w:noProof/>
          <w:sz w:val="22"/>
          <w:szCs w:val="22"/>
        </w:rPr>
        <w:t>40</w:t>
      </w:r>
      <w:r w:rsidRPr="009C1B65">
        <w:rPr>
          <w:noProof/>
          <w:sz w:val="22"/>
          <w:szCs w:val="22"/>
        </w:rPr>
        <w:t>(1): 60–83.</w:t>
      </w:r>
    </w:p>
    <w:p w14:paraId="7004AC73" w14:textId="77777777" w:rsidR="00D36933" w:rsidRPr="009C1B65" w:rsidRDefault="00D36933" w:rsidP="00D36933">
      <w:pPr>
        <w:widowControl w:val="0"/>
        <w:autoSpaceDE w:val="0"/>
        <w:autoSpaceDN w:val="0"/>
        <w:adjustRightInd w:val="0"/>
        <w:ind w:left="480" w:hanging="480"/>
        <w:rPr>
          <w:noProof/>
          <w:sz w:val="22"/>
          <w:szCs w:val="22"/>
        </w:rPr>
      </w:pPr>
      <w:r w:rsidRPr="009C1B65">
        <w:rPr>
          <w:noProof/>
          <w:sz w:val="22"/>
          <w:szCs w:val="22"/>
        </w:rPr>
        <w:t xml:space="preserve">Yang T, Aldrich HE. 2014. Who’s the Boss? Explaining Gender Inequality in Entrepreneurial Teams. </w:t>
      </w:r>
      <w:r w:rsidRPr="009C1B65">
        <w:rPr>
          <w:i/>
          <w:iCs/>
          <w:noProof/>
          <w:sz w:val="22"/>
          <w:szCs w:val="22"/>
        </w:rPr>
        <w:t>American Sociological Review</w:t>
      </w:r>
      <w:r w:rsidRPr="009C1B65">
        <w:rPr>
          <w:noProof/>
          <w:sz w:val="22"/>
          <w:szCs w:val="22"/>
        </w:rPr>
        <w:t xml:space="preserve"> </w:t>
      </w:r>
      <w:r w:rsidRPr="009C1B65">
        <w:rPr>
          <w:b/>
          <w:bCs/>
          <w:noProof/>
          <w:sz w:val="22"/>
          <w:szCs w:val="22"/>
        </w:rPr>
        <w:t>79</w:t>
      </w:r>
      <w:r w:rsidRPr="009C1B65">
        <w:rPr>
          <w:noProof/>
          <w:sz w:val="22"/>
          <w:szCs w:val="22"/>
        </w:rPr>
        <w:t>(2): 303–327.</w:t>
      </w:r>
    </w:p>
    <w:p w14:paraId="2C96E9EF" w14:textId="77777777" w:rsidR="00D36933" w:rsidRPr="004756A3" w:rsidRDefault="00D36933" w:rsidP="00D36933">
      <w:pPr>
        <w:widowControl w:val="0"/>
        <w:autoSpaceDE w:val="0"/>
        <w:autoSpaceDN w:val="0"/>
        <w:adjustRightInd w:val="0"/>
        <w:ind w:left="480" w:hanging="480"/>
        <w:rPr>
          <w:noProof/>
          <w:sz w:val="22"/>
          <w:szCs w:val="22"/>
        </w:rPr>
      </w:pPr>
      <w:r w:rsidRPr="004100F6">
        <w:rPr>
          <w:noProof/>
          <w:sz w:val="22"/>
          <w:szCs w:val="22"/>
        </w:rPr>
        <w:t xml:space="preserve">Yang T, Kacperczyk A, Naldi L. 2019. </w:t>
      </w:r>
      <w:r w:rsidRPr="004100F6">
        <w:rPr>
          <w:i/>
          <w:iCs/>
          <w:noProof/>
          <w:sz w:val="22"/>
          <w:szCs w:val="22"/>
        </w:rPr>
        <w:t>Career Antecedents of Female Entrepreneurship</w:t>
      </w:r>
      <w:r w:rsidRPr="004756A3">
        <w:rPr>
          <w:noProof/>
          <w:sz w:val="22"/>
          <w:szCs w:val="22"/>
        </w:rPr>
        <w:t>.</w:t>
      </w:r>
    </w:p>
    <w:p w14:paraId="34992FE5"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Younkin P, Kuppuswamy V. n.d. Discounted: The effect of founder race on the price of new products. </w:t>
      </w:r>
      <w:r w:rsidRPr="004756A3">
        <w:rPr>
          <w:i/>
          <w:iCs/>
          <w:noProof/>
          <w:sz w:val="22"/>
          <w:szCs w:val="22"/>
        </w:rPr>
        <w:t>Journal of Business Venturing</w:t>
      </w:r>
      <w:r w:rsidRPr="004756A3">
        <w:rPr>
          <w:noProof/>
          <w:sz w:val="22"/>
          <w:szCs w:val="22"/>
        </w:rPr>
        <w:t>.</w:t>
      </w:r>
    </w:p>
    <w:p w14:paraId="73CF3543" w14:textId="77777777" w:rsidR="00D36933" w:rsidRPr="004756A3" w:rsidRDefault="00D36933" w:rsidP="00D36933">
      <w:pPr>
        <w:widowControl w:val="0"/>
        <w:autoSpaceDE w:val="0"/>
        <w:autoSpaceDN w:val="0"/>
        <w:adjustRightInd w:val="0"/>
        <w:ind w:left="480" w:hanging="480"/>
        <w:rPr>
          <w:noProof/>
          <w:sz w:val="22"/>
          <w:szCs w:val="22"/>
        </w:rPr>
      </w:pPr>
      <w:r w:rsidRPr="004756A3">
        <w:rPr>
          <w:noProof/>
          <w:sz w:val="22"/>
          <w:szCs w:val="22"/>
        </w:rPr>
        <w:t xml:space="preserve">Younkin P, Kuppuswamy V. 2017. Paying for Mirrors or Windows? Consumer Discrimination and Hollywood Films. In </w:t>
      </w:r>
      <w:r w:rsidRPr="004756A3">
        <w:rPr>
          <w:i/>
          <w:iCs/>
          <w:noProof/>
          <w:sz w:val="22"/>
          <w:szCs w:val="22"/>
        </w:rPr>
        <w:t>Academy of Management Proceedings</w:t>
      </w:r>
      <w:r w:rsidRPr="004756A3">
        <w:rPr>
          <w:noProof/>
          <w:sz w:val="22"/>
          <w:szCs w:val="22"/>
        </w:rPr>
        <w:t>, 2017: 12601.</w:t>
      </w:r>
    </w:p>
    <w:p w14:paraId="4A17DEDF" w14:textId="150312BA" w:rsidR="002872E1" w:rsidRDefault="00854F34" w:rsidP="00E27DCC">
      <w:pPr>
        <w:rPr>
          <w:b/>
        </w:rPr>
      </w:pPr>
      <w:r w:rsidRPr="005D4501">
        <w:rPr>
          <w:sz w:val="22"/>
          <w:szCs w:val="22"/>
        </w:rPr>
        <w:fldChar w:fldCharType="end"/>
      </w:r>
      <w:r w:rsidR="002872E1">
        <w:rPr>
          <w:b/>
        </w:rPr>
        <w:br w:type="page"/>
      </w:r>
    </w:p>
    <w:p w14:paraId="5DA0DB71" w14:textId="77777777" w:rsidR="003E148C" w:rsidRPr="00AB2AF4" w:rsidRDefault="003E148C" w:rsidP="00A43CB6">
      <w:pPr>
        <w:spacing w:after="160" w:line="259" w:lineRule="auto"/>
        <w:rPr>
          <w:b/>
        </w:rPr>
      </w:pPr>
      <w:r w:rsidRPr="00AB2AF4">
        <w:rPr>
          <w:b/>
        </w:rPr>
        <w:t>TABLES</w:t>
      </w:r>
    </w:p>
    <w:p w14:paraId="61012ABA" w14:textId="66448436" w:rsidR="00CF35A6" w:rsidRDefault="003E148C" w:rsidP="004756A3">
      <w:pPr>
        <w:pStyle w:val="TableCaption"/>
        <w:spacing w:line="240" w:lineRule="auto"/>
        <w:contextualSpacing/>
        <w:rPr>
          <w:b/>
        </w:rPr>
      </w:pPr>
      <w:r w:rsidRPr="00E94742">
        <w:rPr>
          <w:b/>
        </w:rPr>
        <w:t>Table 1. Descriptive statistics</w:t>
      </w:r>
    </w:p>
    <w:p w14:paraId="6D90ED2C" w14:textId="77777777" w:rsidR="0043236F" w:rsidRDefault="0043236F" w:rsidP="004756A3">
      <w:pPr>
        <w:pStyle w:val="TableCaption"/>
        <w:spacing w:line="240" w:lineRule="auto"/>
        <w:contextualSpacing/>
        <w:rPr>
          <w:sz w:val="20"/>
          <w:szCs w:val="20"/>
          <w:highlight w:val="yellow"/>
        </w:rPr>
      </w:pPr>
    </w:p>
    <w:tbl>
      <w:tblPr>
        <w:tblW w:w="8388" w:type="dxa"/>
        <w:tblLayout w:type="fixed"/>
        <w:tblLook w:val="0000" w:firstRow="0" w:lastRow="0" w:firstColumn="0" w:lastColumn="0" w:noHBand="0" w:noVBand="0"/>
      </w:tblPr>
      <w:tblGrid>
        <w:gridCol w:w="2538"/>
        <w:gridCol w:w="1260"/>
        <w:gridCol w:w="1170"/>
        <w:gridCol w:w="1080"/>
        <w:gridCol w:w="810"/>
        <w:gridCol w:w="1530"/>
      </w:tblGrid>
      <w:tr w:rsidR="004756A3" w:rsidRPr="005F7752" w14:paraId="6FC942C8" w14:textId="77777777" w:rsidTr="00515F1C">
        <w:tc>
          <w:tcPr>
            <w:tcW w:w="2538" w:type="dxa"/>
            <w:tcBorders>
              <w:top w:val="single" w:sz="4" w:space="0" w:color="auto"/>
              <w:left w:val="nil"/>
              <w:bottom w:val="nil"/>
              <w:right w:val="nil"/>
            </w:tcBorders>
          </w:tcPr>
          <w:p w14:paraId="7754964C" w14:textId="77777777" w:rsidR="004756A3" w:rsidRPr="00F25A78" w:rsidRDefault="004756A3" w:rsidP="00515F1C">
            <w:pPr>
              <w:widowControl w:val="0"/>
              <w:autoSpaceDE w:val="0"/>
              <w:autoSpaceDN w:val="0"/>
              <w:adjustRightInd w:val="0"/>
              <w:spacing w:line="259" w:lineRule="auto"/>
              <w:contextualSpacing/>
              <w:jc w:val="center"/>
              <w:rPr>
                <w:sz w:val="20"/>
                <w:szCs w:val="20"/>
              </w:rPr>
            </w:pPr>
          </w:p>
        </w:tc>
        <w:tc>
          <w:tcPr>
            <w:tcW w:w="1260" w:type="dxa"/>
            <w:tcBorders>
              <w:top w:val="single" w:sz="4" w:space="0" w:color="auto"/>
              <w:left w:val="nil"/>
              <w:bottom w:val="nil"/>
              <w:right w:val="nil"/>
            </w:tcBorders>
          </w:tcPr>
          <w:p w14:paraId="0316CE8F" w14:textId="77777777" w:rsidR="004756A3" w:rsidRPr="005F7752" w:rsidRDefault="004756A3" w:rsidP="00515F1C">
            <w:pPr>
              <w:widowControl w:val="0"/>
              <w:autoSpaceDE w:val="0"/>
              <w:autoSpaceDN w:val="0"/>
              <w:adjustRightInd w:val="0"/>
              <w:contextualSpacing/>
              <w:jc w:val="center"/>
              <w:rPr>
                <w:sz w:val="20"/>
                <w:szCs w:val="20"/>
              </w:rPr>
            </w:pPr>
            <w:r w:rsidRPr="005F7752">
              <w:rPr>
                <w:sz w:val="20"/>
                <w:szCs w:val="20"/>
              </w:rPr>
              <w:t>Count</w:t>
            </w:r>
          </w:p>
        </w:tc>
        <w:tc>
          <w:tcPr>
            <w:tcW w:w="1170" w:type="dxa"/>
            <w:tcBorders>
              <w:top w:val="single" w:sz="4" w:space="0" w:color="auto"/>
              <w:left w:val="nil"/>
              <w:bottom w:val="nil"/>
              <w:right w:val="nil"/>
            </w:tcBorders>
          </w:tcPr>
          <w:p w14:paraId="1CFEFBA0" w14:textId="77777777" w:rsidR="004756A3" w:rsidRPr="005F7752" w:rsidRDefault="004756A3" w:rsidP="00515F1C">
            <w:pPr>
              <w:widowControl w:val="0"/>
              <w:autoSpaceDE w:val="0"/>
              <w:autoSpaceDN w:val="0"/>
              <w:adjustRightInd w:val="0"/>
              <w:contextualSpacing/>
              <w:jc w:val="center"/>
              <w:rPr>
                <w:sz w:val="20"/>
                <w:szCs w:val="20"/>
              </w:rPr>
            </w:pPr>
            <w:r w:rsidRPr="005F7752">
              <w:rPr>
                <w:sz w:val="20"/>
                <w:szCs w:val="20"/>
              </w:rPr>
              <w:t>Mean</w:t>
            </w:r>
          </w:p>
        </w:tc>
        <w:tc>
          <w:tcPr>
            <w:tcW w:w="1080" w:type="dxa"/>
            <w:tcBorders>
              <w:top w:val="single" w:sz="4" w:space="0" w:color="auto"/>
              <w:left w:val="nil"/>
              <w:bottom w:val="nil"/>
              <w:right w:val="nil"/>
            </w:tcBorders>
          </w:tcPr>
          <w:p w14:paraId="7D07DB07" w14:textId="77777777" w:rsidR="004756A3" w:rsidRPr="005F7752" w:rsidRDefault="004756A3" w:rsidP="00515F1C">
            <w:pPr>
              <w:widowControl w:val="0"/>
              <w:autoSpaceDE w:val="0"/>
              <w:autoSpaceDN w:val="0"/>
              <w:adjustRightInd w:val="0"/>
              <w:contextualSpacing/>
              <w:jc w:val="center"/>
              <w:rPr>
                <w:sz w:val="20"/>
                <w:szCs w:val="20"/>
              </w:rPr>
            </w:pPr>
            <w:r w:rsidRPr="005F7752">
              <w:rPr>
                <w:sz w:val="20"/>
                <w:szCs w:val="20"/>
              </w:rPr>
              <w:t>SD</w:t>
            </w:r>
          </w:p>
        </w:tc>
        <w:tc>
          <w:tcPr>
            <w:tcW w:w="810" w:type="dxa"/>
            <w:tcBorders>
              <w:top w:val="single" w:sz="4" w:space="0" w:color="auto"/>
              <w:left w:val="nil"/>
              <w:bottom w:val="nil"/>
              <w:right w:val="nil"/>
            </w:tcBorders>
          </w:tcPr>
          <w:p w14:paraId="316A8B56" w14:textId="77777777" w:rsidR="004756A3" w:rsidRPr="005F7752" w:rsidRDefault="004756A3" w:rsidP="00515F1C">
            <w:pPr>
              <w:widowControl w:val="0"/>
              <w:autoSpaceDE w:val="0"/>
              <w:autoSpaceDN w:val="0"/>
              <w:adjustRightInd w:val="0"/>
              <w:contextualSpacing/>
              <w:jc w:val="center"/>
              <w:rPr>
                <w:sz w:val="20"/>
                <w:szCs w:val="20"/>
              </w:rPr>
            </w:pPr>
            <w:r w:rsidRPr="005F7752">
              <w:rPr>
                <w:sz w:val="20"/>
                <w:szCs w:val="20"/>
              </w:rPr>
              <w:t>Min</w:t>
            </w:r>
          </w:p>
        </w:tc>
        <w:tc>
          <w:tcPr>
            <w:tcW w:w="1530" w:type="dxa"/>
            <w:tcBorders>
              <w:top w:val="single" w:sz="4" w:space="0" w:color="auto"/>
              <w:left w:val="nil"/>
              <w:bottom w:val="nil"/>
              <w:right w:val="nil"/>
            </w:tcBorders>
          </w:tcPr>
          <w:p w14:paraId="5F703C61" w14:textId="77777777" w:rsidR="004756A3" w:rsidRPr="005F7752" w:rsidRDefault="004756A3" w:rsidP="00515F1C">
            <w:pPr>
              <w:widowControl w:val="0"/>
              <w:autoSpaceDE w:val="0"/>
              <w:autoSpaceDN w:val="0"/>
              <w:adjustRightInd w:val="0"/>
              <w:contextualSpacing/>
              <w:jc w:val="center"/>
              <w:rPr>
                <w:sz w:val="20"/>
                <w:szCs w:val="20"/>
              </w:rPr>
            </w:pPr>
            <w:r w:rsidRPr="005F7752">
              <w:rPr>
                <w:sz w:val="20"/>
                <w:szCs w:val="20"/>
              </w:rPr>
              <w:t>Max</w:t>
            </w:r>
          </w:p>
        </w:tc>
      </w:tr>
      <w:tr w:rsidR="004756A3" w:rsidRPr="005F7752" w14:paraId="3E791FBB" w14:textId="77777777" w:rsidTr="00515F1C">
        <w:tc>
          <w:tcPr>
            <w:tcW w:w="2538" w:type="dxa"/>
            <w:tcBorders>
              <w:top w:val="single" w:sz="4" w:space="0" w:color="auto"/>
              <w:left w:val="nil"/>
              <w:bottom w:val="nil"/>
              <w:right w:val="nil"/>
            </w:tcBorders>
          </w:tcPr>
          <w:p w14:paraId="1713E1ED" w14:textId="77777777" w:rsidR="004756A3" w:rsidRPr="005F7752" w:rsidRDefault="004756A3" w:rsidP="00515F1C">
            <w:pPr>
              <w:widowControl w:val="0"/>
              <w:autoSpaceDE w:val="0"/>
              <w:autoSpaceDN w:val="0"/>
              <w:adjustRightInd w:val="0"/>
              <w:rPr>
                <w:sz w:val="20"/>
                <w:szCs w:val="20"/>
              </w:rPr>
            </w:pPr>
          </w:p>
        </w:tc>
        <w:tc>
          <w:tcPr>
            <w:tcW w:w="1260" w:type="dxa"/>
            <w:tcBorders>
              <w:top w:val="single" w:sz="4" w:space="0" w:color="auto"/>
              <w:left w:val="nil"/>
              <w:bottom w:val="nil"/>
              <w:right w:val="nil"/>
            </w:tcBorders>
          </w:tcPr>
          <w:p w14:paraId="70CF10E5" w14:textId="77777777" w:rsidR="004756A3" w:rsidRPr="005F7752" w:rsidRDefault="004756A3" w:rsidP="00515F1C">
            <w:pPr>
              <w:widowControl w:val="0"/>
              <w:autoSpaceDE w:val="0"/>
              <w:autoSpaceDN w:val="0"/>
              <w:adjustRightInd w:val="0"/>
              <w:jc w:val="center"/>
              <w:rPr>
                <w:sz w:val="20"/>
                <w:szCs w:val="20"/>
              </w:rPr>
            </w:pPr>
          </w:p>
        </w:tc>
        <w:tc>
          <w:tcPr>
            <w:tcW w:w="1170" w:type="dxa"/>
            <w:tcBorders>
              <w:top w:val="single" w:sz="4" w:space="0" w:color="auto"/>
              <w:left w:val="nil"/>
              <w:bottom w:val="nil"/>
              <w:right w:val="nil"/>
            </w:tcBorders>
          </w:tcPr>
          <w:p w14:paraId="52C80C30" w14:textId="77777777" w:rsidR="004756A3" w:rsidRPr="005F7752" w:rsidRDefault="004756A3" w:rsidP="00515F1C">
            <w:pPr>
              <w:widowControl w:val="0"/>
              <w:autoSpaceDE w:val="0"/>
              <w:autoSpaceDN w:val="0"/>
              <w:adjustRightInd w:val="0"/>
              <w:jc w:val="center"/>
              <w:rPr>
                <w:sz w:val="20"/>
                <w:szCs w:val="20"/>
              </w:rPr>
            </w:pPr>
          </w:p>
        </w:tc>
        <w:tc>
          <w:tcPr>
            <w:tcW w:w="1080" w:type="dxa"/>
            <w:tcBorders>
              <w:top w:val="single" w:sz="4" w:space="0" w:color="auto"/>
              <w:left w:val="nil"/>
              <w:bottom w:val="nil"/>
              <w:right w:val="nil"/>
            </w:tcBorders>
          </w:tcPr>
          <w:p w14:paraId="5F8875F6" w14:textId="77777777" w:rsidR="004756A3" w:rsidRPr="005F7752" w:rsidRDefault="004756A3" w:rsidP="00515F1C">
            <w:pPr>
              <w:widowControl w:val="0"/>
              <w:autoSpaceDE w:val="0"/>
              <w:autoSpaceDN w:val="0"/>
              <w:adjustRightInd w:val="0"/>
              <w:jc w:val="center"/>
              <w:rPr>
                <w:sz w:val="20"/>
                <w:szCs w:val="20"/>
              </w:rPr>
            </w:pPr>
          </w:p>
        </w:tc>
        <w:tc>
          <w:tcPr>
            <w:tcW w:w="810" w:type="dxa"/>
            <w:tcBorders>
              <w:top w:val="single" w:sz="4" w:space="0" w:color="auto"/>
              <w:left w:val="nil"/>
              <w:bottom w:val="nil"/>
              <w:right w:val="nil"/>
            </w:tcBorders>
          </w:tcPr>
          <w:p w14:paraId="1122471F" w14:textId="77777777" w:rsidR="004756A3" w:rsidRPr="005F7752" w:rsidRDefault="004756A3" w:rsidP="00515F1C">
            <w:pPr>
              <w:widowControl w:val="0"/>
              <w:autoSpaceDE w:val="0"/>
              <w:autoSpaceDN w:val="0"/>
              <w:adjustRightInd w:val="0"/>
              <w:jc w:val="center"/>
              <w:rPr>
                <w:sz w:val="20"/>
                <w:szCs w:val="20"/>
              </w:rPr>
            </w:pPr>
          </w:p>
        </w:tc>
        <w:tc>
          <w:tcPr>
            <w:tcW w:w="1530" w:type="dxa"/>
            <w:tcBorders>
              <w:top w:val="single" w:sz="4" w:space="0" w:color="auto"/>
              <w:left w:val="nil"/>
              <w:bottom w:val="nil"/>
              <w:right w:val="nil"/>
            </w:tcBorders>
          </w:tcPr>
          <w:p w14:paraId="6B0F2130" w14:textId="77777777" w:rsidR="004756A3" w:rsidRPr="005F7752" w:rsidRDefault="004756A3" w:rsidP="00515F1C">
            <w:pPr>
              <w:widowControl w:val="0"/>
              <w:autoSpaceDE w:val="0"/>
              <w:autoSpaceDN w:val="0"/>
              <w:adjustRightInd w:val="0"/>
              <w:jc w:val="center"/>
              <w:rPr>
                <w:sz w:val="20"/>
                <w:szCs w:val="20"/>
              </w:rPr>
            </w:pPr>
          </w:p>
        </w:tc>
      </w:tr>
      <w:tr w:rsidR="004756A3" w:rsidRPr="005F7752" w14:paraId="1C16312A" w14:textId="77777777" w:rsidTr="00515F1C">
        <w:tc>
          <w:tcPr>
            <w:tcW w:w="2538" w:type="dxa"/>
            <w:tcBorders>
              <w:top w:val="nil"/>
              <w:left w:val="nil"/>
              <w:bottom w:val="nil"/>
              <w:right w:val="nil"/>
            </w:tcBorders>
          </w:tcPr>
          <w:p w14:paraId="47C314FC"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Entry deregulation</w:t>
            </w:r>
          </w:p>
        </w:tc>
        <w:tc>
          <w:tcPr>
            <w:tcW w:w="1260" w:type="dxa"/>
            <w:tcBorders>
              <w:top w:val="nil"/>
              <w:left w:val="nil"/>
              <w:bottom w:val="nil"/>
              <w:right w:val="nil"/>
            </w:tcBorders>
          </w:tcPr>
          <w:p w14:paraId="2208EF66"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4BD4EC74"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0.324</w:t>
            </w:r>
          </w:p>
        </w:tc>
        <w:tc>
          <w:tcPr>
            <w:tcW w:w="1080" w:type="dxa"/>
            <w:tcBorders>
              <w:top w:val="nil"/>
              <w:left w:val="nil"/>
              <w:bottom w:val="nil"/>
              <w:right w:val="nil"/>
            </w:tcBorders>
          </w:tcPr>
          <w:p w14:paraId="427FF429"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0.468</w:t>
            </w:r>
          </w:p>
        </w:tc>
        <w:tc>
          <w:tcPr>
            <w:tcW w:w="810" w:type="dxa"/>
            <w:tcBorders>
              <w:top w:val="nil"/>
              <w:left w:val="nil"/>
              <w:bottom w:val="nil"/>
              <w:right w:val="nil"/>
            </w:tcBorders>
          </w:tcPr>
          <w:p w14:paraId="41C69074"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79A0778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716546A0" w14:textId="77777777" w:rsidTr="00515F1C">
        <w:tc>
          <w:tcPr>
            <w:tcW w:w="2538" w:type="dxa"/>
            <w:tcBorders>
              <w:top w:val="nil"/>
              <w:left w:val="nil"/>
              <w:bottom w:val="nil"/>
              <w:right w:val="nil"/>
            </w:tcBorders>
          </w:tcPr>
          <w:p w14:paraId="1A68D7E0"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Wage*</w:t>
            </w:r>
          </w:p>
        </w:tc>
        <w:tc>
          <w:tcPr>
            <w:tcW w:w="1260" w:type="dxa"/>
            <w:tcBorders>
              <w:top w:val="nil"/>
              <w:left w:val="nil"/>
              <w:bottom w:val="nil"/>
              <w:right w:val="nil"/>
            </w:tcBorders>
          </w:tcPr>
          <w:p w14:paraId="432E680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19384856</w:t>
            </w:r>
          </w:p>
        </w:tc>
        <w:tc>
          <w:tcPr>
            <w:tcW w:w="1170" w:type="dxa"/>
            <w:tcBorders>
              <w:top w:val="nil"/>
              <w:left w:val="nil"/>
              <w:bottom w:val="nil"/>
              <w:right w:val="nil"/>
            </w:tcBorders>
          </w:tcPr>
          <w:p w14:paraId="665951C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845.029</w:t>
            </w:r>
          </w:p>
        </w:tc>
        <w:tc>
          <w:tcPr>
            <w:tcW w:w="1080" w:type="dxa"/>
            <w:tcBorders>
              <w:top w:val="nil"/>
              <w:left w:val="nil"/>
              <w:bottom w:val="nil"/>
              <w:right w:val="nil"/>
            </w:tcBorders>
          </w:tcPr>
          <w:p w14:paraId="0BA2D720"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833.166</w:t>
            </w:r>
          </w:p>
        </w:tc>
        <w:tc>
          <w:tcPr>
            <w:tcW w:w="810" w:type="dxa"/>
            <w:tcBorders>
              <w:top w:val="nil"/>
              <w:left w:val="nil"/>
              <w:bottom w:val="nil"/>
              <w:right w:val="nil"/>
            </w:tcBorders>
          </w:tcPr>
          <w:p w14:paraId="012390F7"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0.010</w:t>
            </w:r>
          </w:p>
        </w:tc>
        <w:tc>
          <w:tcPr>
            <w:tcW w:w="1530" w:type="dxa"/>
            <w:tcBorders>
              <w:top w:val="nil"/>
              <w:left w:val="nil"/>
              <w:bottom w:val="nil"/>
              <w:right w:val="nil"/>
            </w:tcBorders>
          </w:tcPr>
          <w:p w14:paraId="4C7CF8E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208333.328</w:t>
            </w:r>
          </w:p>
        </w:tc>
      </w:tr>
      <w:tr w:rsidR="004756A3" w:rsidRPr="005F7752" w14:paraId="24444C51" w14:textId="77777777" w:rsidTr="00515F1C">
        <w:tc>
          <w:tcPr>
            <w:tcW w:w="2538" w:type="dxa"/>
            <w:tcBorders>
              <w:top w:val="nil"/>
              <w:left w:val="nil"/>
              <w:bottom w:val="nil"/>
              <w:right w:val="nil"/>
            </w:tcBorders>
          </w:tcPr>
          <w:p w14:paraId="555360D5"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Female wage</w:t>
            </w:r>
          </w:p>
        </w:tc>
        <w:tc>
          <w:tcPr>
            <w:tcW w:w="1260" w:type="dxa"/>
            <w:tcBorders>
              <w:top w:val="nil"/>
              <w:left w:val="nil"/>
              <w:bottom w:val="nil"/>
              <w:right w:val="nil"/>
            </w:tcBorders>
          </w:tcPr>
          <w:p w14:paraId="7AB6BD31"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9130353</w:t>
            </w:r>
          </w:p>
        </w:tc>
        <w:tc>
          <w:tcPr>
            <w:tcW w:w="1170" w:type="dxa"/>
            <w:tcBorders>
              <w:top w:val="nil"/>
              <w:left w:val="nil"/>
              <w:bottom w:val="nil"/>
              <w:right w:val="nil"/>
            </w:tcBorders>
          </w:tcPr>
          <w:p w14:paraId="4F84FDA1"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652.799</w:t>
            </w:r>
          </w:p>
        </w:tc>
        <w:tc>
          <w:tcPr>
            <w:tcW w:w="1080" w:type="dxa"/>
            <w:tcBorders>
              <w:top w:val="nil"/>
              <w:left w:val="nil"/>
              <w:bottom w:val="nil"/>
              <w:right w:val="nil"/>
            </w:tcBorders>
          </w:tcPr>
          <w:p w14:paraId="3C02FB01"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585.839</w:t>
            </w:r>
          </w:p>
        </w:tc>
        <w:tc>
          <w:tcPr>
            <w:tcW w:w="810" w:type="dxa"/>
            <w:tcBorders>
              <w:top w:val="nil"/>
              <w:left w:val="nil"/>
              <w:bottom w:val="nil"/>
              <w:right w:val="nil"/>
            </w:tcBorders>
          </w:tcPr>
          <w:p w14:paraId="59643652"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7484C346"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50000.000</w:t>
            </w:r>
          </w:p>
        </w:tc>
      </w:tr>
      <w:tr w:rsidR="004756A3" w:rsidRPr="005F7752" w14:paraId="2E21B0D7" w14:textId="77777777" w:rsidTr="00515F1C">
        <w:tc>
          <w:tcPr>
            <w:tcW w:w="2538" w:type="dxa"/>
            <w:tcBorders>
              <w:top w:val="nil"/>
              <w:left w:val="nil"/>
              <w:bottom w:val="nil"/>
              <w:right w:val="nil"/>
            </w:tcBorders>
          </w:tcPr>
          <w:p w14:paraId="6B308AE0"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Male wage</w:t>
            </w:r>
          </w:p>
        </w:tc>
        <w:tc>
          <w:tcPr>
            <w:tcW w:w="1260" w:type="dxa"/>
            <w:tcBorders>
              <w:top w:val="nil"/>
              <w:left w:val="nil"/>
              <w:bottom w:val="nil"/>
              <w:right w:val="nil"/>
            </w:tcBorders>
          </w:tcPr>
          <w:p w14:paraId="404CB03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12451336</w:t>
            </w:r>
          </w:p>
        </w:tc>
        <w:tc>
          <w:tcPr>
            <w:tcW w:w="1170" w:type="dxa"/>
            <w:tcBorders>
              <w:top w:val="nil"/>
              <w:left w:val="nil"/>
              <w:bottom w:val="nil"/>
              <w:right w:val="nil"/>
            </w:tcBorders>
          </w:tcPr>
          <w:p w14:paraId="5910AC68"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836.896</w:t>
            </w:r>
          </w:p>
        </w:tc>
        <w:tc>
          <w:tcPr>
            <w:tcW w:w="1080" w:type="dxa"/>
            <w:tcBorders>
              <w:top w:val="nil"/>
              <w:left w:val="nil"/>
              <w:bottom w:val="nil"/>
              <w:right w:val="nil"/>
            </w:tcBorders>
          </w:tcPr>
          <w:p w14:paraId="6FB2F2B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963.259</w:t>
            </w:r>
          </w:p>
        </w:tc>
        <w:tc>
          <w:tcPr>
            <w:tcW w:w="810" w:type="dxa"/>
            <w:tcBorders>
              <w:top w:val="nil"/>
              <w:left w:val="nil"/>
              <w:bottom w:val="nil"/>
              <w:right w:val="nil"/>
            </w:tcBorders>
          </w:tcPr>
          <w:p w14:paraId="3F171826"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74063B66"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208333.328</w:t>
            </w:r>
          </w:p>
        </w:tc>
      </w:tr>
      <w:tr w:rsidR="004756A3" w:rsidRPr="005F7752" w14:paraId="3680C96F" w14:textId="77777777" w:rsidTr="00515F1C">
        <w:tc>
          <w:tcPr>
            <w:tcW w:w="2538" w:type="dxa"/>
            <w:tcBorders>
              <w:top w:val="nil"/>
              <w:left w:val="nil"/>
              <w:bottom w:val="nil"/>
              <w:right w:val="nil"/>
            </w:tcBorders>
          </w:tcPr>
          <w:p w14:paraId="5D89FA73"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Entrepreneur</w:t>
            </w:r>
          </w:p>
        </w:tc>
        <w:tc>
          <w:tcPr>
            <w:tcW w:w="1260" w:type="dxa"/>
            <w:tcBorders>
              <w:top w:val="nil"/>
              <w:left w:val="nil"/>
              <w:bottom w:val="nil"/>
              <w:right w:val="nil"/>
            </w:tcBorders>
          </w:tcPr>
          <w:p w14:paraId="1159FF86"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44AC60D1"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0.006</w:t>
            </w:r>
          </w:p>
        </w:tc>
        <w:tc>
          <w:tcPr>
            <w:tcW w:w="1080" w:type="dxa"/>
            <w:tcBorders>
              <w:top w:val="nil"/>
              <w:left w:val="nil"/>
              <w:bottom w:val="nil"/>
              <w:right w:val="nil"/>
            </w:tcBorders>
          </w:tcPr>
          <w:p w14:paraId="240B010D"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0.077</w:t>
            </w:r>
          </w:p>
        </w:tc>
        <w:tc>
          <w:tcPr>
            <w:tcW w:w="810" w:type="dxa"/>
            <w:tcBorders>
              <w:top w:val="nil"/>
              <w:left w:val="nil"/>
              <w:bottom w:val="nil"/>
              <w:right w:val="nil"/>
            </w:tcBorders>
          </w:tcPr>
          <w:p w14:paraId="5534225E"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4C175766"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54077259" w14:textId="77777777" w:rsidTr="00515F1C">
        <w:tc>
          <w:tcPr>
            <w:tcW w:w="2538" w:type="dxa"/>
            <w:tcBorders>
              <w:top w:val="nil"/>
              <w:left w:val="nil"/>
              <w:bottom w:val="nil"/>
              <w:right w:val="nil"/>
            </w:tcBorders>
          </w:tcPr>
          <w:p w14:paraId="05BC77F3"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Female entrepreneur</w:t>
            </w:r>
          </w:p>
        </w:tc>
        <w:tc>
          <w:tcPr>
            <w:tcW w:w="1260" w:type="dxa"/>
            <w:tcBorders>
              <w:top w:val="nil"/>
              <w:left w:val="nil"/>
              <w:bottom w:val="nil"/>
              <w:right w:val="nil"/>
            </w:tcBorders>
          </w:tcPr>
          <w:p w14:paraId="2A5269D7"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9130353</w:t>
            </w:r>
          </w:p>
        </w:tc>
        <w:tc>
          <w:tcPr>
            <w:tcW w:w="1170" w:type="dxa"/>
            <w:tcBorders>
              <w:top w:val="nil"/>
              <w:left w:val="nil"/>
              <w:bottom w:val="nil"/>
              <w:right w:val="nil"/>
            </w:tcBorders>
          </w:tcPr>
          <w:p w14:paraId="36B3184D"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0.004</w:t>
            </w:r>
          </w:p>
        </w:tc>
        <w:tc>
          <w:tcPr>
            <w:tcW w:w="1080" w:type="dxa"/>
            <w:tcBorders>
              <w:top w:val="nil"/>
              <w:left w:val="nil"/>
              <w:bottom w:val="nil"/>
              <w:right w:val="nil"/>
            </w:tcBorders>
          </w:tcPr>
          <w:p w14:paraId="0FB8087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0.064</w:t>
            </w:r>
          </w:p>
        </w:tc>
        <w:tc>
          <w:tcPr>
            <w:tcW w:w="810" w:type="dxa"/>
            <w:tcBorders>
              <w:top w:val="nil"/>
              <w:left w:val="nil"/>
              <w:bottom w:val="nil"/>
              <w:right w:val="nil"/>
            </w:tcBorders>
          </w:tcPr>
          <w:p w14:paraId="222A2D9A"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47243B6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1FDA437F" w14:textId="77777777" w:rsidTr="00515F1C">
        <w:tc>
          <w:tcPr>
            <w:tcW w:w="2538" w:type="dxa"/>
            <w:tcBorders>
              <w:top w:val="nil"/>
              <w:left w:val="nil"/>
              <w:bottom w:val="nil"/>
              <w:right w:val="nil"/>
            </w:tcBorders>
          </w:tcPr>
          <w:p w14:paraId="3CBAA64F"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Male entrepreneur</w:t>
            </w:r>
          </w:p>
        </w:tc>
        <w:tc>
          <w:tcPr>
            <w:tcW w:w="1260" w:type="dxa"/>
            <w:tcBorders>
              <w:top w:val="nil"/>
              <w:left w:val="nil"/>
              <w:bottom w:val="nil"/>
              <w:right w:val="nil"/>
            </w:tcBorders>
          </w:tcPr>
          <w:p w14:paraId="5F8B06B4"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12451336</w:t>
            </w:r>
          </w:p>
        </w:tc>
        <w:tc>
          <w:tcPr>
            <w:tcW w:w="1170" w:type="dxa"/>
            <w:tcBorders>
              <w:top w:val="nil"/>
              <w:left w:val="nil"/>
              <w:bottom w:val="nil"/>
              <w:right w:val="nil"/>
            </w:tcBorders>
          </w:tcPr>
          <w:p w14:paraId="738D17B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0.007</w:t>
            </w:r>
          </w:p>
        </w:tc>
        <w:tc>
          <w:tcPr>
            <w:tcW w:w="1080" w:type="dxa"/>
            <w:tcBorders>
              <w:top w:val="nil"/>
              <w:left w:val="nil"/>
              <w:bottom w:val="nil"/>
              <w:right w:val="nil"/>
            </w:tcBorders>
          </w:tcPr>
          <w:p w14:paraId="06D35F50"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0.085</w:t>
            </w:r>
          </w:p>
        </w:tc>
        <w:tc>
          <w:tcPr>
            <w:tcW w:w="810" w:type="dxa"/>
            <w:tcBorders>
              <w:top w:val="nil"/>
              <w:left w:val="nil"/>
              <w:bottom w:val="nil"/>
              <w:right w:val="nil"/>
            </w:tcBorders>
          </w:tcPr>
          <w:p w14:paraId="75FC2A8B"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65F91652"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56A959BF" w14:textId="77777777" w:rsidTr="00515F1C">
        <w:tc>
          <w:tcPr>
            <w:tcW w:w="2538" w:type="dxa"/>
            <w:tcBorders>
              <w:top w:val="nil"/>
              <w:left w:val="nil"/>
              <w:bottom w:val="nil"/>
              <w:right w:val="nil"/>
            </w:tcBorders>
          </w:tcPr>
          <w:p w14:paraId="135C34B5"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Female</w:t>
            </w:r>
          </w:p>
        </w:tc>
        <w:tc>
          <w:tcPr>
            <w:tcW w:w="1260" w:type="dxa"/>
            <w:tcBorders>
              <w:top w:val="nil"/>
              <w:left w:val="nil"/>
              <w:bottom w:val="nil"/>
              <w:right w:val="nil"/>
            </w:tcBorders>
          </w:tcPr>
          <w:p w14:paraId="535EC7DD"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76264764"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0.423</w:t>
            </w:r>
          </w:p>
        </w:tc>
        <w:tc>
          <w:tcPr>
            <w:tcW w:w="1080" w:type="dxa"/>
            <w:tcBorders>
              <w:top w:val="nil"/>
              <w:left w:val="nil"/>
              <w:bottom w:val="nil"/>
              <w:right w:val="nil"/>
            </w:tcBorders>
          </w:tcPr>
          <w:p w14:paraId="358DCCED"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0.494</w:t>
            </w:r>
          </w:p>
        </w:tc>
        <w:tc>
          <w:tcPr>
            <w:tcW w:w="810" w:type="dxa"/>
            <w:tcBorders>
              <w:top w:val="nil"/>
              <w:left w:val="nil"/>
              <w:bottom w:val="nil"/>
              <w:right w:val="nil"/>
            </w:tcBorders>
          </w:tcPr>
          <w:p w14:paraId="1BFB74D8"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18BE46A8"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433D0E89" w14:textId="77777777" w:rsidTr="00515F1C">
        <w:tc>
          <w:tcPr>
            <w:tcW w:w="2538" w:type="dxa"/>
            <w:tcBorders>
              <w:top w:val="nil"/>
              <w:left w:val="nil"/>
              <w:bottom w:val="nil"/>
              <w:right w:val="nil"/>
            </w:tcBorders>
          </w:tcPr>
          <w:p w14:paraId="39E4CF80"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Managerial position</w:t>
            </w:r>
          </w:p>
        </w:tc>
        <w:tc>
          <w:tcPr>
            <w:tcW w:w="1260" w:type="dxa"/>
            <w:tcBorders>
              <w:top w:val="nil"/>
              <w:left w:val="nil"/>
              <w:bottom w:val="nil"/>
              <w:right w:val="nil"/>
            </w:tcBorders>
          </w:tcPr>
          <w:p w14:paraId="19F9368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08AE528F"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0.163</w:t>
            </w:r>
          </w:p>
        </w:tc>
        <w:tc>
          <w:tcPr>
            <w:tcW w:w="1080" w:type="dxa"/>
            <w:tcBorders>
              <w:top w:val="nil"/>
              <w:left w:val="nil"/>
              <w:bottom w:val="nil"/>
              <w:right w:val="nil"/>
            </w:tcBorders>
          </w:tcPr>
          <w:p w14:paraId="22A1E62F"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0.369</w:t>
            </w:r>
          </w:p>
        </w:tc>
        <w:tc>
          <w:tcPr>
            <w:tcW w:w="810" w:type="dxa"/>
            <w:tcBorders>
              <w:top w:val="nil"/>
              <w:left w:val="nil"/>
              <w:bottom w:val="nil"/>
              <w:right w:val="nil"/>
            </w:tcBorders>
          </w:tcPr>
          <w:p w14:paraId="38084F53"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31D7EA1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3F32FB1D" w14:textId="77777777" w:rsidTr="00515F1C">
        <w:tc>
          <w:tcPr>
            <w:tcW w:w="2538" w:type="dxa"/>
            <w:tcBorders>
              <w:top w:val="nil"/>
              <w:left w:val="nil"/>
              <w:bottom w:val="nil"/>
              <w:right w:val="nil"/>
            </w:tcBorders>
          </w:tcPr>
          <w:p w14:paraId="186379DC"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Age</w:t>
            </w:r>
          </w:p>
        </w:tc>
        <w:tc>
          <w:tcPr>
            <w:tcW w:w="1260" w:type="dxa"/>
            <w:tcBorders>
              <w:top w:val="nil"/>
              <w:left w:val="nil"/>
              <w:bottom w:val="nil"/>
              <w:right w:val="nil"/>
            </w:tcBorders>
          </w:tcPr>
          <w:p w14:paraId="3B46A977"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20E00B1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38.150</w:t>
            </w:r>
          </w:p>
        </w:tc>
        <w:tc>
          <w:tcPr>
            <w:tcW w:w="1080" w:type="dxa"/>
            <w:tcBorders>
              <w:top w:val="nil"/>
              <w:left w:val="nil"/>
              <w:bottom w:val="nil"/>
              <w:right w:val="nil"/>
            </w:tcBorders>
          </w:tcPr>
          <w:p w14:paraId="4E15D7BB"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11.367</w:t>
            </w:r>
          </w:p>
        </w:tc>
        <w:tc>
          <w:tcPr>
            <w:tcW w:w="810" w:type="dxa"/>
            <w:tcBorders>
              <w:top w:val="nil"/>
              <w:left w:val="nil"/>
              <w:bottom w:val="nil"/>
              <w:right w:val="nil"/>
            </w:tcBorders>
          </w:tcPr>
          <w:p w14:paraId="3701F621"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14</w:t>
            </w:r>
          </w:p>
        </w:tc>
        <w:tc>
          <w:tcPr>
            <w:tcW w:w="1530" w:type="dxa"/>
            <w:tcBorders>
              <w:top w:val="nil"/>
              <w:left w:val="nil"/>
              <w:bottom w:val="nil"/>
              <w:right w:val="nil"/>
            </w:tcBorders>
          </w:tcPr>
          <w:p w14:paraId="614C179E"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79</w:t>
            </w:r>
          </w:p>
        </w:tc>
      </w:tr>
      <w:tr w:rsidR="004756A3" w:rsidRPr="005F7752" w14:paraId="67083BC5" w14:textId="77777777" w:rsidTr="00515F1C">
        <w:tc>
          <w:tcPr>
            <w:tcW w:w="2538" w:type="dxa"/>
            <w:tcBorders>
              <w:top w:val="nil"/>
              <w:left w:val="nil"/>
              <w:bottom w:val="nil"/>
              <w:right w:val="nil"/>
            </w:tcBorders>
          </w:tcPr>
          <w:p w14:paraId="21D864E6"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High education</w:t>
            </w:r>
          </w:p>
        </w:tc>
        <w:tc>
          <w:tcPr>
            <w:tcW w:w="1260" w:type="dxa"/>
            <w:tcBorders>
              <w:top w:val="nil"/>
              <w:left w:val="nil"/>
              <w:bottom w:val="nil"/>
              <w:right w:val="nil"/>
            </w:tcBorders>
          </w:tcPr>
          <w:p w14:paraId="05A38B79"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6E2A521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0.113</w:t>
            </w:r>
          </w:p>
        </w:tc>
        <w:tc>
          <w:tcPr>
            <w:tcW w:w="1080" w:type="dxa"/>
            <w:tcBorders>
              <w:top w:val="nil"/>
              <w:left w:val="nil"/>
              <w:bottom w:val="nil"/>
              <w:right w:val="nil"/>
            </w:tcBorders>
          </w:tcPr>
          <w:p w14:paraId="689CDC01"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0.317</w:t>
            </w:r>
          </w:p>
        </w:tc>
        <w:tc>
          <w:tcPr>
            <w:tcW w:w="810" w:type="dxa"/>
            <w:tcBorders>
              <w:top w:val="nil"/>
              <w:left w:val="nil"/>
              <w:bottom w:val="nil"/>
              <w:right w:val="nil"/>
            </w:tcBorders>
          </w:tcPr>
          <w:p w14:paraId="64B0F87D"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7439C35A"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39E04830" w14:textId="77777777" w:rsidTr="00515F1C">
        <w:tc>
          <w:tcPr>
            <w:tcW w:w="2538" w:type="dxa"/>
            <w:tcBorders>
              <w:top w:val="nil"/>
              <w:left w:val="nil"/>
              <w:bottom w:val="nil"/>
              <w:right w:val="nil"/>
            </w:tcBorders>
          </w:tcPr>
          <w:p w14:paraId="41E9D9F2"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Mid education</w:t>
            </w:r>
          </w:p>
        </w:tc>
        <w:tc>
          <w:tcPr>
            <w:tcW w:w="1260" w:type="dxa"/>
            <w:tcBorders>
              <w:top w:val="nil"/>
              <w:left w:val="nil"/>
              <w:bottom w:val="nil"/>
              <w:right w:val="nil"/>
            </w:tcBorders>
          </w:tcPr>
          <w:p w14:paraId="435AE989"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11BE17B2"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0.400</w:t>
            </w:r>
          </w:p>
        </w:tc>
        <w:tc>
          <w:tcPr>
            <w:tcW w:w="1080" w:type="dxa"/>
            <w:tcBorders>
              <w:top w:val="nil"/>
              <w:left w:val="nil"/>
              <w:bottom w:val="nil"/>
              <w:right w:val="nil"/>
            </w:tcBorders>
          </w:tcPr>
          <w:p w14:paraId="449FC2D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0.490</w:t>
            </w:r>
          </w:p>
        </w:tc>
        <w:tc>
          <w:tcPr>
            <w:tcW w:w="810" w:type="dxa"/>
            <w:tcBorders>
              <w:top w:val="nil"/>
              <w:left w:val="nil"/>
              <w:bottom w:val="nil"/>
              <w:right w:val="nil"/>
            </w:tcBorders>
          </w:tcPr>
          <w:p w14:paraId="4003386E"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5698AAE0"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4673DF9B" w14:textId="77777777" w:rsidTr="00515F1C">
        <w:tc>
          <w:tcPr>
            <w:tcW w:w="2538" w:type="dxa"/>
            <w:tcBorders>
              <w:top w:val="nil"/>
              <w:left w:val="nil"/>
              <w:bottom w:val="nil"/>
              <w:right w:val="nil"/>
            </w:tcBorders>
          </w:tcPr>
          <w:p w14:paraId="6C3E3A18"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Low education</w:t>
            </w:r>
          </w:p>
        </w:tc>
        <w:tc>
          <w:tcPr>
            <w:tcW w:w="1260" w:type="dxa"/>
            <w:tcBorders>
              <w:top w:val="nil"/>
              <w:left w:val="nil"/>
              <w:bottom w:val="nil"/>
              <w:right w:val="nil"/>
            </w:tcBorders>
          </w:tcPr>
          <w:p w14:paraId="2A4790B3"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1686DEC0"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0.487</w:t>
            </w:r>
          </w:p>
        </w:tc>
        <w:tc>
          <w:tcPr>
            <w:tcW w:w="1080" w:type="dxa"/>
            <w:tcBorders>
              <w:top w:val="nil"/>
              <w:left w:val="nil"/>
              <w:bottom w:val="nil"/>
              <w:right w:val="nil"/>
            </w:tcBorders>
          </w:tcPr>
          <w:p w14:paraId="4F1C164F"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0.500</w:t>
            </w:r>
          </w:p>
        </w:tc>
        <w:tc>
          <w:tcPr>
            <w:tcW w:w="810" w:type="dxa"/>
            <w:tcBorders>
              <w:top w:val="nil"/>
              <w:left w:val="nil"/>
              <w:bottom w:val="nil"/>
              <w:right w:val="nil"/>
            </w:tcBorders>
          </w:tcPr>
          <w:p w14:paraId="0390B523"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6181AA6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36A831C9" w14:textId="77777777" w:rsidTr="00515F1C">
        <w:tc>
          <w:tcPr>
            <w:tcW w:w="2538" w:type="dxa"/>
            <w:tcBorders>
              <w:top w:val="nil"/>
              <w:left w:val="nil"/>
              <w:bottom w:val="nil"/>
              <w:right w:val="nil"/>
            </w:tcBorders>
          </w:tcPr>
          <w:p w14:paraId="66560623"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High qualification</w:t>
            </w:r>
          </w:p>
        </w:tc>
        <w:tc>
          <w:tcPr>
            <w:tcW w:w="1260" w:type="dxa"/>
            <w:tcBorders>
              <w:top w:val="nil"/>
              <w:left w:val="nil"/>
              <w:bottom w:val="nil"/>
              <w:right w:val="nil"/>
            </w:tcBorders>
          </w:tcPr>
          <w:p w14:paraId="0D365BD6"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796DE287"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0.269</w:t>
            </w:r>
          </w:p>
        </w:tc>
        <w:tc>
          <w:tcPr>
            <w:tcW w:w="1080" w:type="dxa"/>
            <w:tcBorders>
              <w:top w:val="nil"/>
              <w:left w:val="nil"/>
              <w:bottom w:val="nil"/>
              <w:right w:val="nil"/>
            </w:tcBorders>
          </w:tcPr>
          <w:p w14:paraId="07984151"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0.444</w:t>
            </w:r>
          </w:p>
        </w:tc>
        <w:tc>
          <w:tcPr>
            <w:tcW w:w="810" w:type="dxa"/>
            <w:tcBorders>
              <w:top w:val="nil"/>
              <w:left w:val="nil"/>
              <w:bottom w:val="nil"/>
              <w:right w:val="nil"/>
            </w:tcBorders>
          </w:tcPr>
          <w:p w14:paraId="770E8608"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0338D74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0DD32460" w14:textId="77777777" w:rsidTr="00515F1C">
        <w:tc>
          <w:tcPr>
            <w:tcW w:w="2538" w:type="dxa"/>
            <w:tcBorders>
              <w:top w:val="nil"/>
              <w:left w:val="nil"/>
              <w:bottom w:val="nil"/>
              <w:right w:val="nil"/>
            </w:tcBorders>
          </w:tcPr>
          <w:p w14:paraId="6D8AC82E"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Medium qualification</w:t>
            </w:r>
          </w:p>
        </w:tc>
        <w:tc>
          <w:tcPr>
            <w:tcW w:w="1260" w:type="dxa"/>
            <w:tcBorders>
              <w:top w:val="nil"/>
              <w:left w:val="nil"/>
              <w:bottom w:val="nil"/>
              <w:right w:val="nil"/>
            </w:tcBorders>
          </w:tcPr>
          <w:p w14:paraId="002E8D98"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14FA9D8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0.405</w:t>
            </w:r>
          </w:p>
        </w:tc>
        <w:tc>
          <w:tcPr>
            <w:tcW w:w="1080" w:type="dxa"/>
            <w:tcBorders>
              <w:top w:val="nil"/>
              <w:left w:val="nil"/>
              <w:bottom w:val="nil"/>
              <w:right w:val="nil"/>
            </w:tcBorders>
          </w:tcPr>
          <w:p w14:paraId="6D79AB9E"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0.491</w:t>
            </w:r>
          </w:p>
        </w:tc>
        <w:tc>
          <w:tcPr>
            <w:tcW w:w="810" w:type="dxa"/>
            <w:tcBorders>
              <w:top w:val="nil"/>
              <w:left w:val="nil"/>
              <w:bottom w:val="nil"/>
              <w:right w:val="nil"/>
            </w:tcBorders>
          </w:tcPr>
          <w:p w14:paraId="6FB9AC5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41164147"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09100212" w14:textId="77777777" w:rsidTr="00515F1C">
        <w:tc>
          <w:tcPr>
            <w:tcW w:w="2538" w:type="dxa"/>
            <w:tcBorders>
              <w:top w:val="nil"/>
              <w:left w:val="nil"/>
              <w:bottom w:val="nil"/>
              <w:right w:val="nil"/>
            </w:tcBorders>
          </w:tcPr>
          <w:p w14:paraId="782739B5"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Low qualification</w:t>
            </w:r>
          </w:p>
        </w:tc>
        <w:tc>
          <w:tcPr>
            <w:tcW w:w="1260" w:type="dxa"/>
            <w:tcBorders>
              <w:top w:val="nil"/>
              <w:left w:val="nil"/>
              <w:bottom w:val="nil"/>
              <w:right w:val="nil"/>
            </w:tcBorders>
          </w:tcPr>
          <w:p w14:paraId="13DDD5D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40620B33"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0.326</w:t>
            </w:r>
          </w:p>
        </w:tc>
        <w:tc>
          <w:tcPr>
            <w:tcW w:w="1080" w:type="dxa"/>
            <w:tcBorders>
              <w:top w:val="nil"/>
              <w:left w:val="nil"/>
              <w:bottom w:val="nil"/>
              <w:right w:val="nil"/>
            </w:tcBorders>
          </w:tcPr>
          <w:p w14:paraId="0C5478CD"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0.469</w:t>
            </w:r>
          </w:p>
        </w:tc>
        <w:tc>
          <w:tcPr>
            <w:tcW w:w="810" w:type="dxa"/>
            <w:tcBorders>
              <w:top w:val="nil"/>
              <w:left w:val="nil"/>
              <w:bottom w:val="nil"/>
              <w:right w:val="nil"/>
            </w:tcBorders>
          </w:tcPr>
          <w:p w14:paraId="1FAAF8B6"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7D142658"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5F7752" w14:paraId="63F37B2B" w14:textId="77777777" w:rsidTr="00515F1C">
        <w:tc>
          <w:tcPr>
            <w:tcW w:w="2538" w:type="dxa"/>
            <w:tcBorders>
              <w:top w:val="nil"/>
              <w:left w:val="nil"/>
              <w:bottom w:val="nil"/>
              <w:right w:val="nil"/>
            </w:tcBorders>
          </w:tcPr>
          <w:p w14:paraId="462C2902"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Hours worked</w:t>
            </w:r>
          </w:p>
        </w:tc>
        <w:tc>
          <w:tcPr>
            <w:tcW w:w="1260" w:type="dxa"/>
            <w:tcBorders>
              <w:top w:val="nil"/>
              <w:left w:val="nil"/>
              <w:bottom w:val="nil"/>
              <w:right w:val="nil"/>
            </w:tcBorders>
          </w:tcPr>
          <w:p w14:paraId="272DFB9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nil"/>
              <w:right w:val="nil"/>
            </w:tcBorders>
          </w:tcPr>
          <w:p w14:paraId="2A1A46E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146.435</w:t>
            </w:r>
          </w:p>
        </w:tc>
        <w:tc>
          <w:tcPr>
            <w:tcW w:w="1080" w:type="dxa"/>
            <w:tcBorders>
              <w:top w:val="nil"/>
              <w:left w:val="nil"/>
              <w:bottom w:val="nil"/>
              <w:right w:val="nil"/>
            </w:tcBorders>
          </w:tcPr>
          <w:p w14:paraId="4D1E9402"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56.587</w:t>
            </w:r>
          </w:p>
        </w:tc>
        <w:tc>
          <w:tcPr>
            <w:tcW w:w="810" w:type="dxa"/>
            <w:tcBorders>
              <w:top w:val="nil"/>
              <w:left w:val="nil"/>
              <w:bottom w:val="nil"/>
              <w:right w:val="nil"/>
            </w:tcBorders>
          </w:tcPr>
          <w:p w14:paraId="2921023F"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c>
          <w:tcPr>
            <w:tcW w:w="1530" w:type="dxa"/>
            <w:tcBorders>
              <w:top w:val="nil"/>
              <w:left w:val="nil"/>
              <w:bottom w:val="nil"/>
              <w:right w:val="nil"/>
            </w:tcBorders>
          </w:tcPr>
          <w:p w14:paraId="725FE57A"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524</w:t>
            </w:r>
          </w:p>
        </w:tc>
      </w:tr>
      <w:tr w:rsidR="004756A3" w:rsidRPr="005F7752" w14:paraId="56D71BDC" w14:textId="77777777" w:rsidTr="00515F1C">
        <w:tc>
          <w:tcPr>
            <w:tcW w:w="2538" w:type="dxa"/>
            <w:tcBorders>
              <w:top w:val="nil"/>
              <w:left w:val="nil"/>
              <w:bottom w:val="nil"/>
              <w:right w:val="nil"/>
            </w:tcBorders>
          </w:tcPr>
          <w:p w14:paraId="0EC91896"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Long term contract</w:t>
            </w:r>
          </w:p>
        </w:tc>
        <w:tc>
          <w:tcPr>
            <w:tcW w:w="1260" w:type="dxa"/>
            <w:tcBorders>
              <w:top w:val="nil"/>
              <w:left w:val="nil"/>
              <w:bottom w:val="nil"/>
              <w:right w:val="nil"/>
            </w:tcBorders>
          </w:tcPr>
          <w:p w14:paraId="53C0DE8D"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19977543</w:t>
            </w:r>
          </w:p>
        </w:tc>
        <w:tc>
          <w:tcPr>
            <w:tcW w:w="1170" w:type="dxa"/>
            <w:tcBorders>
              <w:top w:val="nil"/>
              <w:left w:val="nil"/>
              <w:bottom w:val="nil"/>
              <w:right w:val="nil"/>
            </w:tcBorders>
          </w:tcPr>
          <w:p w14:paraId="29269992"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0.729</w:t>
            </w:r>
          </w:p>
        </w:tc>
        <w:tc>
          <w:tcPr>
            <w:tcW w:w="1080" w:type="dxa"/>
            <w:tcBorders>
              <w:top w:val="nil"/>
              <w:left w:val="nil"/>
              <w:bottom w:val="nil"/>
              <w:right w:val="nil"/>
            </w:tcBorders>
          </w:tcPr>
          <w:p w14:paraId="48DE416B"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0.444</w:t>
            </w:r>
          </w:p>
        </w:tc>
        <w:tc>
          <w:tcPr>
            <w:tcW w:w="810" w:type="dxa"/>
            <w:tcBorders>
              <w:top w:val="nil"/>
              <w:left w:val="nil"/>
              <w:bottom w:val="nil"/>
              <w:right w:val="nil"/>
            </w:tcBorders>
          </w:tcPr>
          <w:p w14:paraId="11807560"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0</w:t>
            </w:r>
          </w:p>
        </w:tc>
        <w:tc>
          <w:tcPr>
            <w:tcW w:w="1530" w:type="dxa"/>
            <w:tcBorders>
              <w:top w:val="nil"/>
              <w:left w:val="nil"/>
              <w:bottom w:val="nil"/>
              <w:right w:val="nil"/>
            </w:tcBorders>
          </w:tcPr>
          <w:p w14:paraId="08238CA4"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r>
      <w:tr w:rsidR="004756A3" w:rsidRPr="00F25A78" w14:paraId="6ACCF0F9" w14:textId="77777777" w:rsidTr="00515F1C">
        <w:tc>
          <w:tcPr>
            <w:tcW w:w="2538" w:type="dxa"/>
            <w:tcBorders>
              <w:top w:val="nil"/>
              <w:left w:val="nil"/>
              <w:bottom w:val="single" w:sz="4" w:space="0" w:color="auto"/>
              <w:right w:val="nil"/>
            </w:tcBorders>
          </w:tcPr>
          <w:p w14:paraId="1554AE2D" w14:textId="77777777" w:rsidR="004756A3" w:rsidRPr="005F7752" w:rsidRDefault="004756A3" w:rsidP="00515F1C">
            <w:pPr>
              <w:widowControl w:val="0"/>
              <w:autoSpaceDE w:val="0"/>
              <w:autoSpaceDN w:val="0"/>
              <w:adjustRightInd w:val="0"/>
              <w:contextualSpacing/>
              <w:rPr>
                <w:sz w:val="20"/>
                <w:szCs w:val="20"/>
              </w:rPr>
            </w:pPr>
            <w:r w:rsidRPr="005F7752">
              <w:rPr>
                <w:sz w:val="20"/>
                <w:szCs w:val="20"/>
              </w:rPr>
              <w:t>Workers (ln)</w:t>
            </w:r>
          </w:p>
        </w:tc>
        <w:tc>
          <w:tcPr>
            <w:tcW w:w="1260" w:type="dxa"/>
            <w:tcBorders>
              <w:top w:val="nil"/>
              <w:left w:val="nil"/>
              <w:bottom w:val="single" w:sz="4" w:space="0" w:color="auto"/>
              <w:right w:val="nil"/>
            </w:tcBorders>
          </w:tcPr>
          <w:p w14:paraId="6CAAB35C"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21581689</w:t>
            </w:r>
          </w:p>
        </w:tc>
        <w:tc>
          <w:tcPr>
            <w:tcW w:w="1170" w:type="dxa"/>
            <w:tcBorders>
              <w:top w:val="nil"/>
              <w:left w:val="nil"/>
              <w:bottom w:val="single" w:sz="4" w:space="0" w:color="auto"/>
              <w:right w:val="nil"/>
            </w:tcBorders>
          </w:tcPr>
          <w:p w14:paraId="6BAFC768"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720.041</w:t>
            </w:r>
          </w:p>
        </w:tc>
        <w:tc>
          <w:tcPr>
            <w:tcW w:w="1080" w:type="dxa"/>
            <w:tcBorders>
              <w:top w:val="nil"/>
              <w:left w:val="nil"/>
              <w:bottom w:val="single" w:sz="4" w:space="0" w:color="auto"/>
              <w:right w:val="nil"/>
            </w:tcBorders>
          </w:tcPr>
          <w:p w14:paraId="5181CBB4"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2340.695</w:t>
            </w:r>
          </w:p>
        </w:tc>
        <w:tc>
          <w:tcPr>
            <w:tcW w:w="810" w:type="dxa"/>
            <w:tcBorders>
              <w:top w:val="nil"/>
              <w:left w:val="nil"/>
              <w:bottom w:val="single" w:sz="4" w:space="0" w:color="auto"/>
              <w:right w:val="nil"/>
            </w:tcBorders>
          </w:tcPr>
          <w:p w14:paraId="7B709A05" w14:textId="77777777" w:rsidR="004756A3" w:rsidRPr="005F7752" w:rsidRDefault="004756A3" w:rsidP="00515F1C">
            <w:pPr>
              <w:widowControl w:val="0"/>
              <w:autoSpaceDE w:val="0"/>
              <w:autoSpaceDN w:val="0"/>
              <w:adjustRightInd w:val="0"/>
              <w:jc w:val="center"/>
              <w:rPr>
                <w:sz w:val="20"/>
                <w:szCs w:val="20"/>
              </w:rPr>
            </w:pPr>
            <w:r w:rsidRPr="005F7752">
              <w:rPr>
                <w:sz w:val="20"/>
                <w:szCs w:val="20"/>
              </w:rPr>
              <w:t>1</w:t>
            </w:r>
          </w:p>
        </w:tc>
        <w:tc>
          <w:tcPr>
            <w:tcW w:w="1530" w:type="dxa"/>
            <w:tcBorders>
              <w:top w:val="nil"/>
              <w:left w:val="nil"/>
              <w:bottom w:val="single" w:sz="4" w:space="0" w:color="auto"/>
              <w:right w:val="nil"/>
            </w:tcBorders>
          </w:tcPr>
          <w:p w14:paraId="29D1A5A8" w14:textId="77777777" w:rsidR="004756A3" w:rsidRPr="00F25A78" w:rsidRDefault="004756A3" w:rsidP="00515F1C">
            <w:pPr>
              <w:widowControl w:val="0"/>
              <w:autoSpaceDE w:val="0"/>
              <w:autoSpaceDN w:val="0"/>
              <w:adjustRightInd w:val="0"/>
              <w:jc w:val="center"/>
              <w:rPr>
                <w:sz w:val="20"/>
                <w:szCs w:val="20"/>
              </w:rPr>
            </w:pPr>
            <w:r w:rsidRPr="005F7752">
              <w:rPr>
                <w:sz w:val="20"/>
                <w:szCs w:val="20"/>
              </w:rPr>
              <w:t>20097</w:t>
            </w:r>
          </w:p>
        </w:tc>
      </w:tr>
    </w:tbl>
    <w:p w14:paraId="54E8C078" w14:textId="77777777" w:rsidR="004378BE" w:rsidRPr="00B200A7" w:rsidRDefault="004378BE" w:rsidP="004378BE">
      <w:pPr>
        <w:pStyle w:val="BodyTextIndent"/>
        <w:ind w:firstLine="0"/>
        <w:rPr>
          <w:sz w:val="20"/>
          <w:szCs w:val="20"/>
        </w:rPr>
      </w:pPr>
      <w:r w:rsidRPr="00B200A7">
        <w:rPr>
          <w:b/>
          <w:sz w:val="20"/>
          <w:szCs w:val="20"/>
        </w:rPr>
        <w:t>*</w:t>
      </w:r>
      <w:r w:rsidRPr="00B200A7">
        <w:rPr>
          <w:sz w:val="20"/>
          <w:szCs w:val="20"/>
        </w:rPr>
        <w:t xml:space="preserve">wage is defined only for paid employees  </w:t>
      </w:r>
    </w:p>
    <w:p w14:paraId="10CFB28D" w14:textId="77777777" w:rsidR="004756A3" w:rsidRPr="00E27DCC" w:rsidRDefault="004756A3" w:rsidP="00E27DCC">
      <w:pPr>
        <w:pStyle w:val="TableCaption"/>
        <w:spacing w:line="240" w:lineRule="auto"/>
        <w:contextualSpacing/>
        <w:rPr>
          <w:sz w:val="20"/>
          <w:szCs w:val="20"/>
          <w:highlight w:val="yellow"/>
        </w:rPr>
      </w:pPr>
    </w:p>
    <w:p w14:paraId="6814B297" w14:textId="7E1CEFD9" w:rsidR="00CF3BB7" w:rsidRDefault="003E148C" w:rsidP="00CF3BB7">
      <w:pPr>
        <w:pStyle w:val="TableCaption"/>
        <w:spacing w:line="240" w:lineRule="auto"/>
        <w:contextualSpacing/>
        <w:rPr>
          <w:b/>
        </w:rPr>
      </w:pPr>
      <w:r w:rsidRPr="00E27DCC">
        <w:rPr>
          <w:b/>
        </w:rPr>
        <w:t>Table 2. Correlations</w:t>
      </w:r>
    </w:p>
    <w:p w14:paraId="372A642C" w14:textId="77777777" w:rsidR="0043236F" w:rsidRDefault="0043236F" w:rsidP="00CF3BB7">
      <w:pPr>
        <w:pStyle w:val="TableCaption"/>
        <w:spacing w:line="240" w:lineRule="auto"/>
        <w:contextualSpacing/>
        <w:rPr>
          <w:b/>
        </w:rPr>
      </w:pPr>
    </w:p>
    <w:tbl>
      <w:tblPr>
        <w:tblW w:w="9164" w:type="dxa"/>
        <w:tblLayout w:type="fixed"/>
        <w:tblLook w:val="0000" w:firstRow="0" w:lastRow="0" w:firstColumn="0" w:lastColumn="0" w:noHBand="0" w:noVBand="0"/>
      </w:tblPr>
      <w:tblGrid>
        <w:gridCol w:w="2160"/>
        <w:gridCol w:w="779"/>
        <w:gridCol w:w="779"/>
        <w:gridCol w:w="778"/>
        <w:gridCol w:w="778"/>
        <w:gridCol w:w="778"/>
        <w:gridCol w:w="778"/>
        <w:gridCol w:w="778"/>
        <w:gridCol w:w="778"/>
        <w:gridCol w:w="778"/>
      </w:tblGrid>
      <w:tr w:rsidR="008B5B71" w:rsidRPr="001E094D" w14:paraId="48E6744E" w14:textId="77777777" w:rsidTr="00E27DCC">
        <w:tc>
          <w:tcPr>
            <w:tcW w:w="2160" w:type="dxa"/>
            <w:tcBorders>
              <w:top w:val="single" w:sz="4" w:space="0" w:color="auto"/>
              <w:left w:val="nil"/>
              <w:bottom w:val="nil"/>
              <w:right w:val="nil"/>
            </w:tcBorders>
          </w:tcPr>
          <w:p w14:paraId="1A324CE2" w14:textId="77777777" w:rsidR="008B5B71" w:rsidRPr="00F3316B" w:rsidRDefault="008B5B71" w:rsidP="00515F1C">
            <w:pPr>
              <w:widowControl w:val="0"/>
              <w:autoSpaceDE w:val="0"/>
              <w:autoSpaceDN w:val="0"/>
              <w:adjustRightInd w:val="0"/>
              <w:rPr>
                <w:sz w:val="20"/>
                <w:szCs w:val="20"/>
              </w:rPr>
            </w:pPr>
          </w:p>
        </w:tc>
        <w:tc>
          <w:tcPr>
            <w:tcW w:w="779" w:type="dxa"/>
            <w:tcBorders>
              <w:top w:val="single" w:sz="4" w:space="0" w:color="auto"/>
              <w:left w:val="nil"/>
              <w:bottom w:val="nil"/>
              <w:right w:val="nil"/>
            </w:tcBorders>
          </w:tcPr>
          <w:p w14:paraId="16BC3705"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1.</w:t>
            </w:r>
          </w:p>
        </w:tc>
        <w:tc>
          <w:tcPr>
            <w:tcW w:w="779" w:type="dxa"/>
            <w:tcBorders>
              <w:top w:val="single" w:sz="4" w:space="0" w:color="auto"/>
              <w:left w:val="nil"/>
              <w:bottom w:val="nil"/>
              <w:right w:val="nil"/>
            </w:tcBorders>
          </w:tcPr>
          <w:p w14:paraId="4D978824"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2.</w:t>
            </w:r>
          </w:p>
        </w:tc>
        <w:tc>
          <w:tcPr>
            <w:tcW w:w="778" w:type="dxa"/>
            <w:tcBorders>
              <w:top w:val="single" w:sz="4" w:space="0" w:color="auto"/>
              <w:left w:val="nil"/>
              <w:bottom w:val="nil"/>
              <w:right w:val="nil"/>
            </w:tcBorders>
          </w:tcPr>
          <w:p w14:paraId="494EB84D"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3.</w:t>
            </w:r>
          </w:p>
        </w:tc>
        <w:tc>
          <w:tcPr>
            <w:tcW w:w="778" w:type="dxa"/>
            <w:tcBorders>
              <w:top w:val="single" w:sz="4" w:space="0" w:color="auto"/>
              <w:left w:val="nil"/>
              <w:bottom w:val="nil"/>
              <w:right w:val="nil"/>
            </w:tcBorders>
          </w:tcPr>
          <w:p w14:paraId="6C013909"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4.</w:t>
            </w:r>
          </w:p>
        </w:tc>
        <w:tc>
          <w:tcPr>
            <w:tcW w:w="778" w:type="dxa"/>
            <w:tcBorders>
              <w:top w:val="single" w:sz="4" w:space="0" w:color="auto"/>
              <w:left w:val="nil"/>
              <w:bottom w:val="nil"/>
              <w:right w:val="nil"/>
            </w:tcBorders>
          </w:tcPr>
          <w:p w14:paraId="05F61106"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5.</w:t>
            </w:r>
          </w:p>
        </w:tc>
        <w:tc>
          <w:tcPr>
            <w:tcW w:w="778" w:type="dxa"/>
            <w:tcBorders>
              <w:top w:val="single" w:sz="4" w:space="0" w:color="auto"/>
              <w:left w:val="nil"/>
              <w:bottom w:val="nil"/>
              <w:right w:val="nil"/>
            </w:tcBorders>
          </w:tcPr>
          <w:p w14:paraId="4BF7C54E"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6.</w:t>
            </w:r>
          </w:p>
        </w:tc>
        <w:tc>
          <w:tcPr>
            <w:tcW w:w="778" w:type="dxa"/>
            <w:tcBorders>
              <w:top w:val="single" w:sz="4" w:space="0" w:color="auto"/>
              <w:left w:val="nil"/>
              <w:bottom w:val="nil"/>
              <w:right w:val="nil"/>
            </w:tcBorders>
          </w:tcPr>
          <w:p w14:paraId="7B592F07"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7.</w:t>
            </w:r>
          </w:p>
        </w:tc>
        <w:tc>
          <w:tcPr>
            <w:tcW w:w="778" w:type="dxa"/>
            <w:tcBorders>
              <w:top w:val="single" w:sz="4" w:space="0" w:color="auto"/>
              <w:left w:val="nil"/>
              <w:bottom w:val="nil"/>
              <w:right w:val="nil"/>
            </w:tcBorders>
          </w:tcPr>
          <w:p w14:paraId="276E1CC0"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8.</w:t>
            </w:r>
          </w:p>
        </w:tc>
        <w:tc>
          <w:tcPr>
            <w:tcW w:w="778" w:type="dxa"/>
            <w:tcBorders>
              <w:top w:val="single" w:sz="4" w:space="0" w:color="auto"/>
              <w:left w:val="nil"/>
              <w:bottom w:val="nil"/>
              <w:right w:val="nil"/>
            </w:tcBorders>
          </w:tcPr>
          <w:p w14:paraId="4651B94E"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9.</w:t>
            </w:r>
          </w:p>
        </w:tc>
      </w:tr>
      <w:tr w:rsidR="008B5B71" w:rsidRPr="001E094D" w14:paraId="60DCD340" w14:textId="77777777" w:rsidTr="00E27DCC">
        <w:tc>
          <w:tcPr>
            <w:tcW w:w="2160" w:type="dxa"/>
            <w:tcBorders>
              <w:top w:val="single" w:sz="4" w:space="0" w:color="auto"/>
              <w:left w:val="nil"/>
              <w:bottom w:val="nil"/>
              <w:right w:val="nil"/>
            </w:tcBorders>
          </w:tcPr>
          <w:p w14:paraId="4C08A88E" w14:textId="77777777" w:rsidR="008B5B71" w:rsidRPr="001E094D" w:rsidRDefault="008B5B71" w:rsidP="00515F1C">
            <w:pPr>
              <w:widowControl w:val="0"/>
              <w:autoSpaceDE w:val="0"/>
              <w:autoSpaceDN w:val="0"/>
              <w:adjustRightInd w:val="0"/>
              <w:rPr>
                <w:sz w:val="18"/>
                <w:szCs w:val="18"/>
              </w:rPr>
            </w:pPr>
            <w:r w:rsidRPr="001E094D">
              <w:rPr>
                <w:sz w:val="18"/>
                <w:szCs w:val="18"/>
              </w:rPr>
              <w:t>1. Entry deregulation</w:t>
            </w:r>
          </w:p>
        </w:tc>
        <w:tc>
          <w:tcPr>
            <w:tcW w:w="779" w:type="dxa"/>
            <w:tcBorders>
              <w:top w:val="single" w:sz="4" w:space="0" w:color="auto"/>
              <w:left w:val="nil"/>
              <w:bottom w:val="nil"/>
              <w:right w:val="nil"/>
            </w:tcBorders>
          </w:tcPr>
          <w:p w14:paraId="03372FB9"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9" w:type="dxa"/>
            <w:tcBorders>
              <w:top w:val="single" w:sz="4" w:space="0" w:color="auto"/>
              <w:left w:val="nil"/>
              <w:bottom w:val="nil"/>
              <w:right w:val="nil"/>
            </w:tcBorders>
          </w:tcPr>
          <w:p w14:paraId="772E8167"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4E274B46"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547F9AC3"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3E611EFB"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2EEE4B7E"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06D2DF1E"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62C63A2B"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69B26D45"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06499293" w14:textId="77777777" w:rsidTr="00E27DCC">
        <w:tc>
          <w:tcPr>
            <w:tcW w:w="2160" w:type="dxa"/>
            <w:tcBorders>
              <w:top w:val="nil"/>
              <w:left w:val="nil"/>
              <w:bottom w:val="nil"/>
              <w:right w:val="nil"/>
            </w:tcBorders>
          </w:tcPr>
          <w:p w14:paraId="12A11911" w14:textId="77777777" w:rsidR="008B5B71" w:rsidRPr="001E094D" w:rsidRDefault="008B5B71" w:rsidP="00515F1C">
            <w:pPr>
              <w:widowControl w:val="0"/>
              <w:autoSpaceDE w:val="0"/>
              <w:autoSpaceDN w:val="0"/>
              <w:adjustRightInd w:val="0"/>
              <w:rPr>
                <w:sz w:val="18"/>
                <w:szCs w:val="18"/>
              </w:rPr>
            </w:pPr>
            <w:r w:rsidRPr="001E094D">
              <w:rPr>
                <w:sz w:val="18"/>
                <w:szCs w:val="18"/>
              </w:rPr>
              <w:t>2. Wage</w:t>
            </w:r>
          </w:p>
        </w:tc>
        <w:tc>
          <w:tcPr>
            <w:tcW w:w="779" w:type="dxa"/>
            <w:tcBorders>
              <w:top w:val="nil"/>
              <w:left w:val="nil"/>
              <w:bottom w:val="nil"/>
              <w:right w:val="nil"/>
            </w:tcBorders>
          </w:tcPr>
          <w:p w14:paraId="494B5A59"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0.10</w:t>
            </w:r>
          </w:p>
        </w:tc>
        <w:tc>
          <w:tcPr>
            <w:tcW w:w="779" w:type="dxa"/>
            <w:tcBorders>
              <w:top w:val="nil"/>
              <w:left w:val="nil"/>
              <w:bottom w:val="nil"/>
              <w:right w:val="nil"/>
            </w:tcBorders>
          </w:tcPr>
          <w:p w14:paraId="6AD5D28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27F9BEB0"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33152A59"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4E066BF4"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67683E63"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252E587F"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7E05D5A0"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40E164FE"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0AEB96B7" w14:textId="77777777" w:rsidTr="00E27DCC">
        <w:tc>
          <w:tcPr>
            <w:tcW w:w="2160" w:type="dxa"/>
            <w:tcBorders>
              <w:top w:val="nil"/>
              <w:left w:val="nil"/>
              <w:bottom w:val="nil"/>
              <w:right w:val="nil"/>
            </w:tcBorders>
          </w:tcPr>
          <w:p w14:paraId="4F88B42B" w14:textId="77777777" w:rsidR="008B5B71" w:rsidRPr="001E094D" w:rsidRDefault="008B5B71" w:rsidP="00515F1C">
            <w:pPr>
              <w:widowControl w:val="0"/>
              <w:autoSpaceDE w:val="0"/>
              <w:autoSpaceDN w:val="0"/>
              <w:adjustRightInd w:val="0"/>
              <w:rPr>
                <w:sz w:val="18"/>
                <w:szCs w:val="18"/>
              </w:rPr>
            </w:pPr>
            <w:r w:rsidRPr="001E094D">
              <w:rPr>
                <w:sz w:val="18"/>
                <w:szCs w:val="18"/>
              </w:rPr>
              <w:t>3. Entrepreneur</w:t>
            </w:r>
          </w:p>
        </w:tc>
        <w:tc>
          <w:tcPr>
            <w:tcW w:w="779" w:type="dxa"/>
            <w:tcBorders>
              <w:top w:val="nil"/>
              <w:left w:val="nil"/>
              <w:bottom w:val="nil"/>
              <w:right w:val="nil"/>
            </w:tcBorders>
          </w:tcPr>
          <w:p w14:paraId="4A74BA40"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-0.01</w:t>
            </w:r>
          </w:p>
        </w:tc>
        <w:tc>
          <w:tcPr>
            <w:tcW w:w="779" w:type="dxa"/>
            <w:tcBorders>
              <w:top w:val="nil"/>
              <w:left w:val="nil"/>
              <w:bottom w:val="nil"/>
              <w:right w:val="nil"/>
            </w:tcBorders>
          </w:tcPr>
          <w:p w14:paraId="7B1A00E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0.00</w:t>
            </w:r>
          </w:p>
        </w:tc>
        <w:tc>
          <w:tcPr>
            <w:tcW w:w="778" w:type="dxa"/>
            <w:tcBorders>
              <w:top w:val="nil"/>
              <w:left w:val="nil"/>
              <w:bottom w:val="nil"/>
              <w:right w:val="nil"/>
            </w:tcBorders>
          </w:tcPr>
          <w:p w14:paraId="2FA1FEC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74B7F62D"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506C0D0A"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5C3D19AA"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2F0E7137"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581A1861"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7C26336D"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0EA5FDD0" w14:textId="77777777" w:rsidTr="00E27DCC">
        <w:tc>
          <w:tcPr>
            <w:tcW w:w="2160" w:type="dxa"/>
            <w:tcBorders>
              <w:top w:val="nil"/>
              <w:left w:val="nil"/>
              <w:bottom w:val="nil"/>
              <w:right w:val="nil"/>
            </w:tcBorders>
          </w:tcPr>
          <w:p w14:paraId="0B01A6BA" w14:textId="77777777" w:rsidR="008B5B71" w:rsidRPr="001E094D" w:rsidRDefault="008B5B71" w:rsidP="00515F1C">
            <w:pPr>
              <w:widowControl w:val="0"/>
              <w:autoSpaceDE w:val="0"/>
              <w:autoSpaceDN w:val="0"/>
              <w:adjustRightInd w:val="0"/>
              <w:rPr>
                <w:sz w:val="18"/>
                <w:szCs w:val="18"/>
              </w:rPr>
            </w:pPr>
            <w:r w:rsidRPr="001E094D">
              <w:rPr>
                <w:sz w:val="18"/>
                <w:szCs w:val="18"/>
              </w:rPr>
              <w:t>4. Female</w:t>
            </w:r>
          </w:p>
        </w:tc>
        <w:tc>
          <w:tcPr>
            <w:tcW w:w="779" w:type="dxa"/>
            <w:tcBorders>
              <w:top w:val="nil"/>
              <w:left w:val="nil"/>
              <w:bottom w:val="nil"/>
              <w:right w:val="nil"/>
            </w:tcBorders>
          </w:tcPr>
          <w:p w14:paraId="5965E28B"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9" w:type="dxa"/>
            <w:tcBorders>
              <w:top w:val="nil"/>
              <w:left w:val="nil"/>
              <w:bottom w:val="nil"/>
              <w:right w:val="nil"/>
            </w:tcBorders>
          </w:tcPr>
          <w:p w14:paraId="34B0D87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-0.14</w:t>
            </w:r>
          </w:p>
        </w:tc>
        <w:tc>
          <w:tcPr>
            <w:tcW w:w="778" w:type="dxa"/>
            <w:tcBorders>
              <w:top w:val="nil"/>
              <w:left w:val="nil"/>
              <w:bottom w:val="nil"/>
              <w:right w:val="nil"/>
            </w:tcBorders>
          </w:tcPr>
          <w:p w14:paraId="7F6C611B"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-0.02</w:t>
            </w:r>
          </w:p>
        </w:tc>
        <w:tc>
          <w:tcPr>
            <w:tcW w:w="778" w:type="dxa"/>
            <w:tcBorders>
              <w:top w:val="nil"/>
              <w:left w:val="nil"/>
              <w:bottom w:val="nil"/>
              <w:right w:val="nil"/>
            </w:tcBorders>
          </w:tcPr>
          <w:p w14:paraId="7BD644E3"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661DB0DF"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1C175752"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467DA561"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5D3E43BE"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38B9B122"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17180735" w14:textId="77777777" w:rsidTr="00E27DCC">
        <w:tc>
          <w:tcPr>
            <w:tcW w:w="2160" w:type="dxa"/>
            <w:tcBorders>
              <w:top w:val="nil"/>
              <w:left w:val="nil"/>
              <w:bottom w:val="nil"/>
              <w:right w:val="nil"/>
            </w:tcBorders>
          </w:tcPr>
          <w:p w14:paraId="1106D514" w14:textId="77777777" w:rsidR="008B5B71" w:rsidRPr="001E094D" w:rsidRDefault="008B5B71" w:rsidP="00515F1C">
            <w:pPr>
              <w:widowControl w:val="0"/>
              <w:autoSpaceDE w:val="0"/>
              <w:autoSpaceDN w:val="0"/>
              <w:adjustRightInd w:val="0"/>
              <w:rPr>
                <w:sz w:val="18"/>
                <w:szCs w:val="18"/>
              </w:rPr>
            </w:pPr>
            <w:r w:rsidRPr="001E094D">
              <w:rPr>
                <w:sz w:val="18"/>
                <w:szCs w:val="18"/>
              </w:rPr>
              <w:t>5. Managerial position</w:t>
            </w:r>
          </w:p>
        </w:tc>
        <w:tc>
          <w:tcPr>
            <w:tcW w:w="779" w:type="dxa"/>
            <w:tcBorders>
              <w:top w:val="nil"/>
              <w:left w:val="nil"/>
              <w:bottom w:val="nil"/>
              <w:right w:val="nil"/>
            </w:tcBorders>
          </w:tcPr>
          <w:p w14:paraId="4E2922C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0.04</w:t>
            </w:r>
          </w:p>
        </w:tc>
        <w:tc>
          <w:tcPr>
            <w:tcW w:w="779" w:type="dxa"/>
            <w:tcBorders>
              <w:top w:val="nil"/>
              <w:left w:val="nil"/>
              <w:bottom w:val="nil"/>
              <w:right w:val="nil"/>
            </w:tcBorders>
          </w:tcPr>
          <w:p w14:paraId="1B28F7B4"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0.45</w:t>
            </w:r>
          </w:p>
        </w:tc>
        <w:tc>
          <w:tcPr>
            <w:tcW w:w="778" w:type="dxa"/>
            <w:tcBorders>
              <w:top w:val="nil"/>
              <w:left w:val="nil"/>
              <w:bottom w:val="nil"/>
              <w:right w:val="nil"/>
            </w:tcBorders>
          </w:tcPr>
          <w:p w14:paraId="0DB37715"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0.16</w:t>
            </w:r>
          </w:p>
        </w:tc>
        <w:tc>
          <w:tcPr>
            <w:tcW w:w="778" w:type="dxa"/>
            <w:tcBorders>
              <w:top w:val="nil"/>
              <w:left w:val="nil"/>
              <w:bottom w:val="nil"/>
              <w:right w:val="nil"/>
            </w:tcBorders>
          </w:tcPr>
          <w:p w14:paraId="38EC0711"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-0.06</w:t>
            </w:r>
          </w:p>
        </w:tc>
        <w:tc>
          <w:tcPr>
            <w:tcW w:w="778" w:type="dxa"/>
            <w:tcBorders>
              <w:top w:val="nil"/>
              <w:left w:val="nil"/>
              <w:bottom w:val="nil"/>
              <w:right w:val="nil"/>
            </w:tcBorders>
          </w:tcPr>
          <w:p w14:paraId="51D7F7FB"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65514C19"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7AE134D8"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2CB53389"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3E86EC5B"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357F608B" w14:textId="77777777" w:rsidTr="00E27DCC">
        <w:tc>
          <w:tcPr>
            <w:tcW w:w="2160" w:type="dxa"/>
            <w:tcBorders>
              <w:top w:val="nil"/>
              <w:left w:val="nil"/>
              <w:bottom w:val="nil"/>
              <w:right w:val="nil"/>
            </w:tcBorders>
          </w:tcPr>
          <w:p w14:paraId="0FD92C5C" w14:textId="77777777" w:rsidR="008B5B71" w:rsidRPr="001E094D" w:rsidRDefault="008B5B71" w:rsidP="00515F1C">
            <w:pPr>
              <w:widowControl w:val="0"/>
              <w:autoSpaceDE w:val="0"/>
              <w:autoSpaceDN w:val="0"/>
              <w:adjustRightInd w:val="0"/>
              <w:rPr>
                <w:sz w:val="18"/>
                <w:szCs w:val="18"/>
              </w:rPr>
            </w:pPr>
            <w:r w:rsidRPr="001E094D">
              <w:rPr>
                <w:sz w:val="18"/>
                <w:szCs w:val="18"/>
              </w:rPr>
              <w:t>6. Age</w:t>
            </w:r>
          </w:p>
        </w:tc>
        <w:tc>
          <w:tcPr>
            <w:tcW w:w="779" w:type="dxa"/>
            <w:tcBorders>
              <w:top w:val="nil"/>
              <w:left w:val="nil"/>
              <w:bottom w:val="nil"/>
              <w:right w:val="nil"/>
            </w:tcBorders>
          </w:tcPr>
          <w:p w14:paraId="1987906E"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9" w:type="dxa"/>
            <w:tcBorders>
              <w:top w:val="nil"/>
              <w:left w:val="nil"/>
              <w:bottom w:val="nil"/>
              <w:right w:val="nil"/>
            </w:tcBorders>
          </w:tcPr>
          <w:p w14:paraId="00BC789F"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0.14</w:t>
            </w:r>
          </w:p>
        </w:tc>
        <w:tc>
          <w:tcPr>
            <w:tcW w:w="778" w:type="dxa"/>
            <w:tcBorders>
              <w:top w:val="nil"/>
              <w:left w:val="nil"/>
              <w:bottom w:val="nil"/>
              <w:right w:val="nil"/>
            </w:tcBorders>
          </w:tcPr>
          <w:p w14:paraId="596C2920"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0.00</w:t>
            </w:r>
          </w:p>
        </w:tc>
        <w:tc>
          <w:tcPr>
            <w:tcW w:w="778" w:type="dxa"/>
            <w:tcBorders>
              <w:top w:val="nil"/>
              <w:left w:val="nil"/>
              <w:bottom w:val="nil"/>
              <w:right w:val="nil"/>
            </w:tcBorders>
          </w:tcPr>
          <w:p w14:paraId="2572A7C4"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-0.08</w:t>
            </w:r>
          </w:p>
        </w:tc>
        <w:tc>
          <w:tcPr>
            <w:tcW w:w="778" w:type="dxa"/>
            <w:tcBorders>
              <w:top w:val="nil"/>
              <w:left w:val="nil"/>
              <w:bottom w:val="nil"/>
              <w:right w:val="nil"/>
            </w:tcBorders>
          </w:tcPr>
          <w:p w14:paraId="3A9AC1C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0.13</w:t>
            </w:r>
          </w:p>
        </w:tc>
        <w:tc>
          <w:tcPr>
            <w:tcW w:w="778" w:type="dxa"/>
            <w:tcBorders>
              <w:top w:val="nil"/>
              <w:left w:val="nil"/>
              <w:bottom w:val="nil"/>
              <w:right w:val="nil"/>
            </w:tcBorders>
          </w:tcPr>
          <w:p w14:paraId="5E09A6C5"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334FB07B"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13321B27"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0448710D"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34BBF58F" w14:textId="77777777" w:rsidTr="00E27DCC">
        <w:tc>
          <w:tcPr>
            <w:tcW w:w="2160" w:type="dxa"/>
            <w:tcBorders>
              <w:top w:val="nil"/>
              <w:left w:val="nil"/>
              <w:bottom w:val="nil"/>
              <w:right w:val="nil"/>
            </w:tcBorders>
          </w:tcPr>
          <w:p w14:paraId="72A77FF2" w14:textId="77777777" w:rsidR="008B5B71" w:rsidRPr="001E094D" w:rsidRDefault="008B5B71" w:rsidP="00515F1C">
            <w:pPr>
              <w:widowControl w:val="0"/>
              <w:autoSpaceDE w:val="0"/>
              <w:autoSpaceDN w:val="0"/>
              <w:adjustRightInd w:val="0"/>
              <w:rPr>
                <w:sz w:val="18"/>
                <w:szCs w:val="18"/>
              </w:rPr>
            </w:pPr>
            <w:r w:rsidRPr="001E094D">
              <w:rPr>
                <w:sz w:val="18"/>
                <w:szCs w:val="18"/>
              </w:rPr>
              <w:t>7. High education</w:t>
            </w:r>
          </w:p>
        </w:tc>
        <w:tc>
          <w:tcPr>
            <w:tcW w:w="779" w:type="dxa"/>
            <w:tcBorders>
              <w:top w:val="nil"/>
              <w:left w:val="nil"/>
              <w:bottom w:val="nil"/>
              <w:right w:val="nil"/>
            </w:tcBorders>
          </w:tcPr>
          <w:p w14:paraId="1EE463BF"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0.10</w:t>
            </w:r>
          </w:p>
        </w:tc>
        <w:tc>
          <w:tcPr>
            <w:tcW w:w="779" w:type="dxa"/>
            <w:tcBorders>
              <w:top w:val="nil"/>
              <w:left w:val="nil"/>
              <w:bottom w:val="nil"/>
              <w:right w:val="nil"/>
            </w:tcBorders>
          </w:tcPr>
          <w:p w14:paraId="3AD3618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0.39</w:t>
            </w:r>
          </w:p>
        </w:tc>
        <w:tc>
          <w:tcPr>
            <w:tcW w:w="778" w:type="dxa"/>
            <w:tcBorders>
              <w:top w:val="nil"/>
              <w:left w:val="nil"/>
              <w:bottom w:val="nil"/>
              <w:right w:val="nil"/>
            </w:tcBorders>
          </w:tcPr>
          <w:p w14:paraId="5A51CC1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0.01</w:t>
            </w:r>
          </w:p>
        </w:tc>
        <w:tc>
          <w:tcPr>
            <w:tcW w:w="778" w:type="dxa"/>
            <w:tcBorders>
              <w:top w:val="nil"/>
              <w:left w:val="nil"/>
              <w:bottom w:val="nil"/>
              <w:right w:val="nil"/>
            </w:tcBorders>
          </w:tcPr>
          <w:p w14:paraId="0F0F69D9"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0.07</w:t>
            </w:r>
          </w:p>
        </w:tc>
        <w:tc>
          <w:tcPr>
            <w:tcW w:w="778" w:type="dxa"/>
            <w:tcBorders>
              <w:top w:val="nil"/>
              <w:left w:val="nil"/>
              <w:bottom w:val="nil"/>
              <w:right w:val="nil"/>
            </w:tcBorders>
          </w:tcPr>
          <w:p w14:paraId="5D5C54F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0.45</w:t>
            </w:r>
          </w:p>
        </w:tc>
        <w:tc>
          <w:tcPr>
            <w:tcW w:w="778" w:type="dxa"/>
            <w:tcBorders>
              <w:top w:val="nil"/>
              <w:left w:val="nil"/>
              <w:bottom w:val="nil"/>
              <w:right w:val="nil"/>
            </w:tcBorders>
          </w:tcPr>
          <w:p w14:paraId="3A355FB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-0.08</w:t>
            </w:r>
          </w:p>
        </w:tc>
        <w:tc>
          <w:tcPr>
            <w:tcW w:w="778" w:type="dxa"/>
            <w:tcBorders>
              <w:top w:val="nil"/>
              <w:left w:val="nil"/>
              <w:bottom w:val="nil"/>
              <w:right w:val="nil"/>
            </w:tcBorders>
          </w:tcPr>
          <w:p w14:paraId="2CA6390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7FE6FFA2"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5BE9E33C"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6638CD3A" w14:textId="77777777" w:rsidTr="00E27DCC">
        <w:tc>
          <w:tcPr>
            <w:tcW w:w="2160" w:type="dxa"/>
            <w:tcBorders>
              <w:top w:val="nil"/>
              <w:left w:val="nil"/>
              <w:bottom w:val="nil"/>
              <w:right w:val="nil"/>
            </w:tcBorders>
          </w:tcPr>
          <w:p w14:paraId="29C83A8E" w14:textId="77777777" w:rsidR="008B5B71" w:rsidRPr="001E094D" w:rsidRDefault="008B5B71" w:rsidP="00515F1C">
            <w:pPr>
              <w:widowControl w:val="0"/>
              <w:autoSpaceDE w:val="0"/>
              <w:autoSpaceDN w:val="0"/>
              <w:adjustRightInd w:val="0"/>
              <w:rPr>
                <w:sz w:val="18"/>
                <w:szCs w:val="18"/>
              </w:rPr>
            </w:pPr>
            <w:r w:rsidRPr="001E094D">
              <w:rPr>
                <w:sz w:val="18"/>
                <w:szCs w:val="18"/>
              </w:rPr>
              <w:t>8. Mid education</w:t>
            </w:r>
          </w:p>
        </w:tc>
        <w:tc>
          <w:tcPr>
            <w:tcW w:w="779" w:type="dxa"/>
            <w:tcBorders>
              <w:top w:val="nil"/>
              <w:left w:val="nil"/>
              <w:bottom w:val="nil"/>
              <w:right w:val="nil"/>
            </w:tcBorders>
          </w:tcPr>
          <w:p w14:paraId="017B17A1"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0.08</w:t>
            </w:r>
          </w:p>
        </w:tc>
        <w:tc>
          <w:tcPr>
            <w:tcW w:w="779" w:type="dxa"/>
            <w:tcBorders>
              <w:top w:val="nil"/>
              <w:left w:val="nil"/>
              <w:bottom w:val="nil"/>
              <w:right w:val="nil"/>
            </w:tcBorders>
          </w:tcPr>
          <w:p w14:paraId="6A463E3F"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0.01</w:t>
            </w:r>
          </w:p>
        </w:tc>
        <w:tc>
          <w:tcPr>
            <w:tcW w:w="778" w:type="dxa"/>
            <w:tcBorders>
              <w:top w:val="nil"/>
              <w:left w:val="nil"/>
              <w:bottom w:val="nil"/>
              <w:right w:val="nil"/>
            </w:tcBorders>
          </w:tcPr>
          <w:p w14:paraId="23CEF106"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0.01</w:t>
            </w:r>
          </w:p>
        </w:tc>
        <w:tc>
          <w:tcPr>
            <w:tcW w:w="778" w:type="dxa"/>
            <w:tcBorders>
              <w:top w:val="nil"/>
              <w:left w:val="nil"/>
              <w:bottom w:val="nil"/>
              <w:right w:val="nil"/>
            </w:tcBorders>
          </w:tcPr>
          <w:p w14:paraId="550134F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0.04</w:t>
            </w:r>
          </w:p>
        </w:tc>
        <w:tc>
          <w:tcPr>
            <w:tcW w:w="778" w:type="dxa"/>
            <w:tcBorders>
              <w:top w:val="nil"/>
              <w:left w:val="nil"/>
              <w:bottom w:val="nil"/>
              <w:right w:val="nil"/>
            </w:tcBorders>
          </w:tcPr>
          <w:p w14:paraId="2A59D401"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-0.07</w:t>
            </w:r>
          </w:p>
        </w:tc>
        <w:tc>
          <w:tcPr>
            <w:tcW w:w="778" w:type="dxa"/>
            <w:tcBorders>
              <w:top w:val="nil"/>
              <w:left w:val="nil"/>
              <w:bottom w:val="nil"/>
              <w:right w:val="nil"/>
            </w:tcBorders>
          </w:tcPr>
          <w:p w14:paraId="5326EFE5"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-0.26</w:t>
            </w:r>
          </w:p>
        </w:tc>
        <w:tc>
          <w:tcPr>
            <w:tcW w:w="778" w:type="dxa"/>
            <w:tcBorders>
              <w:top w:val="nil"/>
              <w:left w:val="nil"/>
              <w:bottom w:val="nil"/>
              <w:right w:val="nil"/>
            </w:tcBorders>
          </w:tcPr>
          <w:p w14:paraId="17CE139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-0.29</w:t>
            </w:r>
          </w:p>
        </w:tc>
        <w:tc>
          <w:tcPr>
            <w:tcW w:w="778" w:type="dxa"/>
            <w:tcBorders>
              <w:top w:val="nil"/>
              <w:left w:val="nil"/>
              <w:bottom w:val="nil"/>
              <w:right w:val="nil"/>
            </w:tcBorders>
          </w:tcPr>
          <w:p w14:paraId="57D32555"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5A4C09AA"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68987E60" w14:textId="77777777" w:rsidTr="00E27DCC">
        <w:tc>
          <w:tcPr>
            <w:tcW w:w="2160" w:type="dxa"/>
            <w:tcBorders>
              <w:top w:val="nil"/>
              <w:left w:val="nil"/>
              <w:bottom w:val="nil"/>
              <w:right w:val="nil"/>
            </w:tcBorders>
          </w:tcPr>
          <w:p w14:paraId="2C262780" w14:textId="77777777" w:rsidR="008B5B71" w:rsidRPr="001E094D" w:rsidRDefault="008B5B71" w:rsidP="00515F1C">
            <w:pPr>
              <w:widowControl w:val="0"/>
              <w:autoSpaceDE w:val="0"/>
              <w:autoSpaceDN w:val="0"/>
              <w:adjustRightInd w:val="0"/>
              <w:rPr>
                <w:sz w:val="18"/>
                <w:szCs w:val="18"/>
              </w:rPr>
            </w:pPr>
            <w:r w:rsidRPr="001E094D">
              <w:rPr>
                <w:sz w:val="18"/>
                <w:szCs w:val="18"/>
              </w:rPr>
              <w:t>9. Low education</w:t>
            </w:r>
          </w:p>
        </w:tc>
        <w:tc>
          <w:tcPr>
            <w:tcW w:w="779" w:type="dxa"/>
            <w:tcBorders>
              <w:top w:val="nil"/>
              <w:left w:val="nil"/>
              <w:bottom w:val="nil"/>
              <w:right w:val="nil"/>
            </w:tcBorders>
          </w:tcPr>
          <w:p w14:paraId="4EC635E3"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-0.14</w:t>
            </w:r>
          </w:p>
        </w:tc>
        <w:tc>
          <w:tcPr>
            <w:tcW w:w="779" w:type="dxa"/>
            <w:tcBorders>
              <w:top w:val="nil"/>
              <w:left w:val="nil"/>
              <w:bottom w:val="nil"/>
              <w:right w:val="nil"/>
            </w:tcBorders>
          </w:tcPr>
          <w:p w14:paraId="250E1DE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-0.26</w:t>
            </w:r>
          </w:p>
        </w:tc>
        <w:tc>
          <w:tcPr>
            <w:tcW w:w="778" w:type="dxa"/>
            <w:tcBorders>
              <w:top w:val="nil"/>
              <w:left w:val="nil"/>
              <w:bottom w:val="nil"/>
              <w:right w:val="nil"/>
            </w:tcBorders>
          </w:tcPr>
          <w:p w14:paraId="299D277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-0.02</w:t>
            </w:r>
          </w:p>
        </w:tc>
        <w:tc>
          <w:tcPr>
            <w:tcW w:w="778" w:type="dxa"/>
            <w:tcBorders>
              <w:top w:val="nil"/>
              <w:left w:val="nil"/>
              <w:bottom w:val="nil"/>
              <w:right w:val="nil"/>
            </w:tcBorders>
          </w:tcPr>
          <w:p w14:paraId="0CFFDB3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-0.08</w:t>
            </w:r>
          </w:p>
        </w:tc>
        <w:tc>
          <w:tcPr>
            <w:tcW w:w="778" w:type="dxa"/>
            <w:tcBorders>
              <w:top w:val="nil"/>
              <w:left w:val="nil"/>
              <w:bottom w:val="nil"/>
              <w:right w:val="nil"/>
            </w:tcBorders>
          </w:tcPr>
          <w:p w14:paraId="4E88D445"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-0.21</w:t>
            </w:r>
          </w:p>
        </w:tc>
        <w:tc>
          <w:tcPr>
            <w:tcW w:w="778" w:type="dxa"/>
            <w:tcBorders>
              <w:top w:val="nil"/>
              <w:left w:val="nil"/>
              <w:bottom w:val="nil"/>
              <w:right w:val="nil"/>
            </w:tcBorders>
          </w:tcPr>
          <w:p w14:paraId="7244435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0.31</w:t>
            </w:r>
          </w:p>
        </w:tc>
        <w:tc>
          <w:tcPr>
            <w:tcW w:w="778" w:type="dxa"/>
            <w:tcBorders>
              <w:top w:val="nil"/>
              <w:left w:val="nil"/>
              <w:bottom w:val="nil"/>
              <w:right w:val="nil"/>
            </w:tcBorders>
          </w:tcPr>
          <w:p w14:paraId="3FD940FE"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-0.35</w:t>
            </w:r>
          </w:p>
        </w:tc>
        <w:tc>
          <w:tcPr>
            <w:tcW w:w="778" w:type="dxa"/>
            <w:tcBorders>
              <w:top w:val="nil"/>
              <w:left w:val="nil"/>
              <w:bottom w:val="nil"/>
              <w:right w:val="nil"/>
            </w:tcBorders>
          </w:tcPr>
          <w:p w14:paraId="0C9F340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-0.80</w:t>
            </w:r>
          </w:p>
        </w:tc>
        <w:tc>
          <w:tcPr>
            <w:tcW w:w="778" w:type="dxa"/>
            <w:tcBorders>
              <w:top w:val="nil"/>
              <w:left w:val="nil"/>
              <w:bottom w:val="nil"/>
              <w:right w:val="nil"/>
            </w:tcBorders>
          </w:tcPr>
          <w:p w14:paraId="529ADB23"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r>
      <w:tr w:rsidR="008B5B71" w:rsidRPr="001E094D" w14:paraId="0364D68E" w14:textId="77777777" w:rsidTr="00E27DCC">
        <w:tc>
          <w:tcPr>
            <w:tcW w:w="2160" w:type="dxa"/>
            <w:tcBorders>
              <w:top w:val="nil"/>
              <w:left w:val="nil"/>
              <w:bottom w:val="nil"/>
              <w:right w:val="nil"/>
            </w:tcBorders>
          </w:tcPr>
          <w:p w14:paraId="3D3509C2" w14:textId="77777777" w:rsidR="008B5B71" w:rsidRPr="001E094D" w:rsidRDefault="008B5B71" w:rsidP="00515F1C">
            <w:pPr>
              <w:widowControl w:val="0"/>
              <w:autoSpaceDE w:val="0"/>
              <w:autoSpaceDN w:val="0"/>
              <w:adjustRightInd w:val="0"/>
              <w:rPr>
                <w:sz w:val="18"/>
                <w:szCs w:val="18"/>
              </w:rPr>
            </w:pPr>
            <w:r w:rsidRPr="001E094D">
              <w:rPr>
                <w:sz w:val="18"/>
                <w:szCs w:val="18"/>
              </w:rPr>
              <w:t>10. High qualification</w:t>
            </w:r>
          </w:p>
        </w:tc>
        <w:tc>
          <w:tcPr>
            <w:tcW w:w="779" w:type="dxa"/>
            <w:tcBorders>
              <w:top w:val="nil"/>
              <w:left w:val="nil"/>
              <w:bottom w:val="nil"/>
              <w:right w:val="nil"/>
            </w:tcBorders>
          </w:tcPr>
          <w:p w14:paraId="36C42BFF"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0.06</w:t>
            </w:r>
          </w:p>
        </w:tc>
        <w:tc>
          <w:tcPr>
            <w:tcW w:w="779" w:type="dxa"/>
            <w:tcBorders>
              <w:top w:val="nil"/>
              <w:left w:val="nil"/>
              <w:bottom w:val="nil"/>
              <w:right w:val="nil"/>
            </w:tcBorders>
          </w:tcPr>
          <w:p w14:paraId="1ED8AB48"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0.47</w:t>
            </w:r>
          </w:p>
        </w:tc>
        <w:tc>
          <w:tcPr>
            <w:tcW w:w="778" w:type="dxa"/>
            <w:tcBorders>
              <w:top w:val="nil"/>
              <w:left w:val="nil"/>
              <w:bottom w:val="nil"/>
              <w:right w:val="nil"/>
            </w:tcBorders>
          </w:tcPr>
          <w:p w14:paraId="792FB43B"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0.12</w:t>
            </w:r>
          </w:p>
        </w:tc>
        <w:tc>
          <w:tcPr>
            <w:tcW w:w="778" w:type="dxa"/>
            <w:tcBorders>
              <w:top w:val="nil"/>
              <w:left w:val="nil"/>
              <w:bottom w:val="nil"/>
              <w:right w:val="nil"/>
            </w:tcBorders>
          </w:tcPr>
          <w:p w14:paraId="36223BC9"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-0.08</w:t>
            </w:r>
          </w:p>
        </w:tc>
        <w:tc>
          <w:tcPr>
            <w:tcW w:w="778" w:type="dxa"/>
            <w:tcBorders>
              <w:top w:val="nil"/>
              <w:left w:val="nil"/>
              <w:bottom w:val="nil"/>
              <w:right w:val="nil"/>
            </w:tcBorders>
          </w:tcPr>
          <w:p w14:paraId="5A5C6DB4"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0.73</w:t>
            </w:r>
          </w:p>
        </w:tc>
        <w:tc>
          <w:tcPr>
            <w:tcW w:w="778" w:type="dxa"/>
            <w:tcBorders>
              <w:top w:val="nil"/>
              <w:left w:val="nil"/>
              <w:bottom w:val="nil"/>
              <w:right w:val="nil"/>
            </w:tcBorders>
          </w:tcPr>
          <w:p w14:paraId="26E96A8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0.14</w:t>
            </w:r>
          </w:p>
        </w:tc>
        <w:tc>
          <w:tcPr>
            <w:tcW w:w="778" w:type="dxa"/>
            <w:tcBorders>
              <w:top w:val="nil"/>
              <w:left w:val="nil"/>
              <w:bottom w:val="nil"/>
              <w:right w:val="nil"/>
            </w:tcBorders>
          </w:tcPr>
          <w:p w14:paraId="63A7C814"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0.44</w:t>
            </w:r>
          </w:p>
        </w:tc>
        <w:tc>
          <w:tcPr>
            <w:tcW w:w="778" w:type="dxa"/>
            <w:tcBorders>
              <w:top w:val="nil"/>
              <w:left w:val="nil"/>
              <w:bottom w:val="nil"/>
              <w:right w:val="nil"/>
            </w:tcBorders>
          </w:tcPr>
          <w:p w14:paraId="36B392B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-0.00</w:t>
            </w:r>
          </w:p>
        </w:tc>
        <w:tc>
          <w:tcPr>
            <w:tcW w:w="778" w:type="dxa"/>
            <w:tcBorders>
              <w:top w:val="nil"/>
              <w:left w:val="nil"/>
              <w:bottom w:val="nil"/>
              <w:right w:val="nil"/>
            </w:tcBorders>
          </w:tcPr>
          <w:p w14:paraId="22103C1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-0.28</w:t>
            </w:r>
          </w:p>
        </w:tc>
      </w:tr>
      <w:tr w:rsidR="008B5B71" w:rsidRPr="001E094D" w14:paraId="014C3F54" w14:textId="77777777" w:rsidTr="00E27DCC">
        <w:tc>
          <w:tcPr>
            <w:tcW w:w="2160" w:type="dxa"/>
            <w:tcBorders>
              <w:top w:val="nil"/>
              <w:left w:val="nil"/>
              <w:bottom w:val="nil"/>
              <w:right w:val="nil"/>
            </w:tcBorders>
          </w:tcPr>
          <w:p w14:paraId="4E87B0F8" w14:textId="77777777" w:rsidR="008B5B71" w:rsidRPr="001E094D" w:rsidRDefault="008B5B71" w:rsidP="00515F1C">
            <w:pPr>
              <w:widowControl w:val="0"/>
              <w:autoSpaceDE w:val="0"/>
              <w:autoSpaceDN w:val="0"/>
              <w:adjustRightInd w:val="0"/>
              <w:rPr>
                <w:sz w:val="18"/>
                <w:szCs w:val="18"/>
              </w:rPr>
            </w:pPr>
            <w:r w:rsidRPr="001E094D">
              <w:rPr>
                <w:sz w:val="18"/>
                <w:szCs w:val="18"/>
              </w:rPr>
              <w:t>11. Medium qualification</w:t>
            </w:r>
          </w:p>
        </w:tc>
        <w:tc>
          <w:tcPr>
            <w:tcW w:w="779" w:type="dxa"/>
            <w:tcBorders>
              <w:top w:val="nil"/>
              <w:left w:val="nil"/>
              <w:bottom w:val="nil"/>
              <w:right w:val="nil"/>
            </w:tcBorders>
          </w:tcPr>
          <w:p w14:paraId="469CFA74"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-0.04</w:t>
            </w:r>
          </w:p>
        </w:tc>
        <w:tc>
          <w:tcPr>
            <w:tcW w:w="779" w:type="dxa"/>
            <w:tcBorders>
              <w:top w:val="nil"/>
              <w:left w:val="nil"/>
              <w:bottom w:val="nil"/>
              <w:right w:val="nil"/>
            </w:tcBorders>
          </w:tcPr>
          <w:p w14:paraId="0F40FE3F"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-0.13</w:t>
            </w:r>
          </w:p>
        </w:tc>
        <w:tc>
          <w:tcPr>
            <w:tcW w:w="778" w:type="dxa"/>
            <w:tcBorders>
              <w:top w:val="nil"/>
              <w:left w:val="nil"/>
              <w:bottom w:val="nil"/>
              <w:right w:val="nil"/>
            </w:tcBorders>
          </w:tcPr>
          <w:p w14:paraId="4B668303"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-0.05</w:t>
            </w:r>
          </w:p>
        </w:tc>
        <w:tc>
          <w:tcPr>
            <w:tcW w:w="778" w:type="dxa"/>
            <w:tcBorders>
              <w:top w:val="nil"/>
              <w:left w:val="nil"/>
              <w:bottom w:val="nil"/>
              <w:right w:val="nil"/>
            </w:tcBorders>
          </w:tcPr>
          <w:p w14:paraId="36BCF8E9"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-0.10</w:t>
            </w:r>
          </w:p>
        </w:tc>
        <w:tc>
          <w:tcPr>
            <w:tcW w:w="778" w:type="dxa"/>
            <w:tcBorders>
              <w:top w:val="nil"/>
              <w:left w:val="nil"/>
              <w:bottom w:val="nil"/>
              <w:right w:val="nil"/>
            </w:tcBorders>
          </w:tcPr>
          <w:p w14:paraId="0AA5CEE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-0.36</w:t>
            </w:r>
          </w:p>
        </w:tc>
        <w:tc>
          <w:tcPr>
            <w:tcW w:w="778" w:type="dxa"/>
            <w:tcBorders>
              <w:top w:val="nil"/>
              <w:left w:val="nil"/>
              <w:bottom w:val="nil"/>
              <w:right w:val="nil"/>
            </w:tcBorders>
          </w:tcPr>
          <w:p w14:paraId="16000A21"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8" w:type="dxa"/>
            <w:tcBorders>
              <w:top w:val="nil"/>
              <w:left w:val="nil"/>
              <w:bottom w:val="nil"/>
              <w:right w:val="nil"/>
            </w:tcBorders>
          </w:tcPr>
          <w:p w14:paraId="1A91580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-0.19</w:t>
            </w:r>
          </w:p>
        </w:tc>
        <w:tc>
          <w:tcPr>
            <w:tcW w:w="778" w:type="dxa"/>
            <w:tcBorders>
              <w:top w:val="nil"/>
              <w:left w:val="nil"/>
              <w:bottom w:val="nil"/>
              <w:right w:val="nil"/>
            </w:tcBorders>
          </w:tcPr>
          <w:p w14:paraId="54EAB55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8" w:type="dxa"/>
            <w:tcBorders>
              <w:top w:val="nil"/>
              <w:left w:val="nil"/>
              <w:bottom w:val="nil"/>
              <w:right w:val="nil"/>
            </w:tcBorders>
          </w:tcPr>
          <w:p w14:paraId="4B3AEE25"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0.09</w:t>
            </w:r>
          </w:p>
        </w:tc>
      </w:tr>
      <w:tr w:rsidR="008B5B71" w:rsidRPr="001E094D" w14:paraId="0AC755F2" w14:textId="77777777" w:rsidTr="00E27DCC">
        <w:tc>
          <w:tcPr>
            <w:tcW w:w="2160" w:type="dxa"/>
            <w:tcBorders>
              <w:top w:val="nil"/>
              <w:left w:val="nil"/>
              <w:bottom w:val="nil"/>
              <w:right w:val="nil"/>
            </w:tcBorders>
          </w:tcPr>
          <w:p w14:paraId="65263AC7" w14:textId="77777777" w:rsidR="008B5B71" w:rsidRPr="001E094D" w:rsidRDefault="008B5B71" w:rsidP="00515F1C">
            <w:pPr>
              <w:widowControl w:val="0"/>
              <w:autoSpaceDE w:val="0"/>
              <w:autoSpaceDN w:val="0"/>
              <w:adjustRightInd w:val="0"/>
              <w:rPr>
                <w:sz w:val="18"/>
                <w:szCs w:val="18"/>
              </w:rPr>
            </w:pPr>
            <w:r w:rsidRPr="001E094D">
              <w:rPr>
                <w:sz w:val="18"/>
                <w:szCs w:val="18"/>
              </w:rPr>
              <w:t>12. Low qualification</w:t>
            </w:r>
          </w:p>
        </w:tc>
        <w:tc>
          <w:tcPr>
            <w:tcW w:w="779" w:type="dxa"/>
            <w:tcBorders>
              <w:top w:val="nil"/>
              <w:left w:val="nil"/>
              <w:bottom w:val="nil"/>
              <w:right w:val="nil"/>
            </w:tcBorders>
          </w:tcPr>
          <w:p w14:paraId="06A9C628"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-0.01</w:t>
            </w:r>
          </w:p>
        </w:tc>
        <w:tc>
          <w:tcPr>
            <w:tcW w:w="779" w:type="dxa"/>
            <w:tcBorders>
              <w:top w:val="nil"/>
              <w:left w:val="nil"/>
              <w:bottom w:val="nil"/>
              <w:right w:val="nil"/>
            </w:tcBorders>
          </w:tcPr>
          <w:p w14:paraId="3A238DA6"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-0.27</w:t>
            </w:r>
          </w:p>
        </w:tc>
        <w:tc>
          <w:tcPr>
            <w:tcW w:w="778" w:type="dxa"/>
            <w:tcBorders>
              <w:top w:val="nil"/>
              <w:left w:val="nil"/>
              <w:bottom w:val="nil"/>
              <w:right w:val="nil"/>
            </w:tcBorders>
          </w:tcPr>
          <w:p w14:paraId="00FDFE16"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-0.05</w:t>
            </w:r>
          </w:p>
        </w:tc>
        <w:tc>
          <w:tcPr>
            <w:tcW w:w="778" w:type="dxa"/>
            <w:tcBorders>
              <w:top w:val="nil"/>
              <w:left w:val="nil"/>
              <w:bottom w:val="nil"/>
              <w:right w:val="nil"/>
            </w:tcBorders>
          </w:tcPr>
          <w:p w14:paraId="2B09513C"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0.18</w:t>
            </w:r>
          </w:p>
        </w:tc>
        <w:tc>
          <w:tcPr>
            <w:tcW w:w="778" w:type="dxa"/>
            <w:tcBorders>
              <w:top w:val="nil"/>
              <w:left w:val="nil"/>
              <w:bottom w:val="nil"/>
              <w:right w:val="nil"/>
            </w:tcBorders>
          </w:tcPr>
          <w:p w14:paraId="1F7E29F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-0.31</w:t>
            </w:r>
          </w:p>
        </w:tc>
        <w:tc>
          <w:tcPr>
            <w:tcW w:w="778" w:type="dxa"/>
            <w:tcBorders>
              <w:top w:val="nil"/>
              <w:left w:val="nil"/>
              <w:bottom w:val="nil"/>
              <w:right w:val="nil"/>
            </w:tcBorders>
          </w:tcPr>
          <w:p w14:paraId="461CAC6E"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-0.11</w:t>
            </w:r>
          </w:p>
        </w:tc>
        <w:tc>
          <w:tcPr>
            <w:tcW w:w="778" w:type="dxa"/>
            <w:tcBorders>
              <w:top w:val="nil"/>
              <w:left w:val="nil"/>
              <w:bottom w:val="nil"/>
              <w:right w:val="nil"/>
            </w:tcBorders>
          </w:tcPr>
          <w:p w14:paraId="550FC2E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-0.22</w:t>
            </w:r>
          </w:p>
        </w:tc>
        <w:tc>
          <w:tcPr>
            <w:tcW w:w="778" w:type="dxa"/>
            <w:tcBorders>
              <w:top w:val="nil"/>
              <w:left w:val="nil"/>
              <w:bottom w:val="nil"/>
              <w:right w:val="nil"/>
            </w:tcBorders>
          </w:tcPr>
          <w:p w14:paraId="58B5E0D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8" w:type="dxa"/>
            <w:tcBorders>
              <w:top w:val="nil"/>
              <w:left w:val="nil"/>
              <w:bottom w:val="nil"/>
              <w:right w:val="nil"/>
            </w:tcBorders>
          </w:tcPr>
          <w:p w14:paraId="547FF478"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0.17</w:t>
            </w:r>
          </w:p>
        </w:tc>
      </w:tr>
      <w:tr w:rsidR="008B5B71" w:rsidRPr="001E094D" w14:paraId="5A7A020F" w14:textId="77777777" w:rsidTr="00E27DCC">
        <w:tc>
          <w:tcPr>
            <w:tcW w:w="2160" w:type="dxa"/>
            <w:tcBorders>
              <w:top w:val="nil"/>
              <w:left w:val="nil"/>
              <w:bottom w:val="nil"/>
              <w:right w:val="nil"/>
            </w:tcBorders>
          </w:tcPr>
          <w:p w14:paraId="1C38E44E" w14:textId="77777777" w:rsidR="008B5B71" w:rsidRPr="001E094D" w:rsidRDefault="008B5B71" w:rsidP="00515F1C">
            <w:pPr>
              <w:widowControl w:val="0"/>
              <w:autoSpaceDE w:val="0"/>
              <w:autoSpaceDN w:val="0"/>
              <w:adjustRightInd w:val="0"/>
              <w:rPr>
                <w:sz w:val="18"/>
                <w:szCs w:val="18"/>
              </w:rPr>
            </w:pPr>
            <w:r w:rsidRPr="001E094D">
              <w:rPr>
                <w:sz w:val="18"/>
                <w:szCs w:val="18"/>
              </w:rPr>
              <w:t>13. Hours worked (ln)</w:t>
            </w:r>
          </w:p>
        </w:tc>
        <w:tc>
          <w:tcPr>
            <w:tcW w:w="779" w:type="dxa"/>
            <w:tcBorders>
              <w:top w:val="nil"/>
              <w:left w:val="nil"/>
              <w:bottom w:val="nil"/>
              <w:right w:val="nil"/>
            </w:tcBorders>
          </w:tcPr>
          <w:p w14:paraId="4D9B5170"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0.02</w:t>
            </w:r>
          </w:p>
        </w:tc>
        <w:tc>
          <w:tcPr>
            <w:tcW w:w="779" w:type="dxa"/>
            <w:tcBorders>
              <w:top w:val="nil"/>
              <w:left w:val="nil"/>
              <w:bottom w:val="nil"/>
              <w:right w:val="nil"/>
            </w:tcBorders>
          </w:tcPr>
          <w:p w14:paraId="5A900C01"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0.14</w:t>
            </w:r>
          </w:p>
        </w:tc>
        <w:tc>
          <w:tcPr>
            <w:tcW w:w="778" w:type="dxa"/>
            <w:tcBorders>
              <w:top w:val="nil"/>
              <w:left w:val="nil"/>
              <w:bottom w:val="nil"/>
              <w:right w:val="nil"/>
            </w:tcBorders>
          </w:tcPr>
          <w:p w14:paraId="632965CB"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-0.20</w:t>
            </w:r>
          </w:p>
        </w:tc>
        <w:tc>
          <w:tcPr>
            <w:tcW w:w="778" w:type="dxa"/>
            <w:tcBorders>
              <w:top w:val="nil"/>
              <w:left w:val="nil"/>
              <w:bottom w:val="nil"/>
              <w:right w:val="nil"/>
            </w:tcBorders>
          </w:tcPr>
          <w:p w14:paraId="4632F80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-0.01</w:t>
            </w:r>
          </w:p>
        </w:tc>
        <w:tc>
          <w:tcPr>
            <w:tcW w:w="778" w:type="dxa"/>
            <w:tcBorders>
              <w:top w:val="nil"/>
              <w:left w:val="nil"/>
              <w:bottom w:val="nil"/>
              <w:right w:val="nil"/>
            </w:tcBorders>
          </w:tcPr>
          <w:p w14:paraId="2C6147B5"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-0.43</w:t>
            </w:r>
          </w:p>
        </w:tc>
        <w:tc>
          <w:tcPr>
            <w:tcW w:w="778" w:type="dxa"/>
            <w:tcBorders>
              <w:top w:val="nil"/>
              <w:left w:val="nil"/>
              <w:bottom w:val="nil"/>
              <w:right w:val="nil"/>
            </w:tcBorders>
          </w:tcPr>
          <w:p w14:paraId="2B08C29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-0.12</w:t>
            </w:r>
          </w:p>
        </w:tc>
        <w:tc>
          <w:tcPr>
            <w:tcW w:w="778" w:type="dxa"/>
            <w:tcBorders>
              <w:top w:val="nil"/>
              <w:left w:val="nil"/>
              <w:bottom w:val="nil"/>
              <w:right w:val="nil"/>
            </w:tcBorders>
          </w:tcPr>
          <w:p w14:paraId="0A1D3063"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-0.04</w:t>
            </w:r>
          </w:p>
        </w:tc>
        <w:tc>
          <w:tcPr>
            <w:tcW w:w="778" w:type="dxa"/>
            <w:tcBorders>
              <w:top w:val="nil"/>
              <w:left w:val="nil"/>
              <w:bottom w:val="nil"/>
              <w:right w:val="nil"/>
            </w:tcBorders>
          </w:tcPr>
          <w:p w14:paraId="1CD5F52C"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8" w:type="dxa"/>
            <w:tcBorders>
              <w:top w:val="nil"/>
              <w:left w:val="nil"/>
              <w:bottom w:val="nil"/>
              <w:right w:val="nil"/>
            </w:tcBorders>
          </w:tcPr>
          <w:p w14:paraId="572B5D18"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-0.01</w:t>
            </w:r>
          </w:p>
        </w:tc>
      </w:tr>
      <w:tr w:rsidR="008B5B71" w:rsidRPr="001E094D" w14:paraId="40B60D6E" w14:textId="77777777" w:rsidTr="00E27DCC">
        <w:tc>
          <w:tcPr>
            <w:tcW w:w="2160" w:type="dxa"/>
            <w:tcBorders>
              <w:top w:val="nil"/>
              <w:left w:val="nil"/>
              <w:bottom w:val="single" w:sz="4" w:space="0" w:color="auto"/>
              <w:right w:val="nil"/>
            </w:tcBorders>
          </w:tcPr>
          <w:p w14:paraId="15ADD204" w14:textId="77777777" w:rsidR="008B5B71" w:rsidRPr="001E094D" w:rsidRDefault="008B5B71" w:rsidP="00515F1C">
            <w:pPr>
              <w:widowControl w:val="0"/>
              <w:autoSpaceDE w:val="0"/>
              <w:autoSpaceDN w:val="0"/>
              <w:adjustRightInd w:val="0"/>
              <w:rPr>
                <w:sz w:val="18"/>
                <w:szCs w:val="18"/>
              </w:rPr>
            </w:pPr>
            <w:r w:rsidRPr="001E094D">
              <w:rPr>
                <w:sz w:val="18"/>
                <w:szCs w:val="18"/>
              </w:rPr>
              <w:t>14. Workers (ln)</w:t>
            </w:r>
          </w:p>
        </w:tc>
        <w:tc>
          <w:tcPr>
            <w:tcW w:w="779" w:type="dxa"/>
            <w:tcBorders>
              <w:top w:val="nil"/>
              <w:left w:val="nil"/>
              <w:bottom w:val="single" w:sz="4" w:space="0" w:color="auto"/>
              <w:right w:val="nil"/>
            </w:tcBorders>
          </w:tcPr>
          <w:p w14:paraId="485EB1C1"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0.06</w:t>
            </w:r>
          </w:p>
        </w:tc>
        <w:tc>
          <w:tcPr>
            <w:tcW w:w="779" w:type="dxa"/>
            <w:tcBorders>
              <w:top w:val="nil"/>
              <w:left w:val="nil"/>
              <w:bottom w:val="single" w:sz="4" w:space="0" w:color="auto"/>
              <w:right w:val="nil"/>
            </w:tcBorders>
          </w:tcPr>
          <w:p w14:paraId="73D60BD5"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0.13</w:t>
            </w:r>
          </w:p>
        </w:tc>
        <w:tc>
          <w:tcPr>
            <w:tcW w:w="778" w:type="dxa"/>
            <w:tcBorders>
              <w:top w:val="nil"/>
              <w:left w:val="nil"/>
              <w:bottom w:val="single" w:sz="4" w:space="0" w:color="auto"/>
              <w:right w:val="nil"/>
            </w:tcBorders>
          </w:tcPr>
          <w:p w14:paraId="7590D898"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-0.02</w:t>
            </w:r>
          </w:p>
        </w:tc>
        <w:tc>
          <w:tcPr>
            <w:tcW w:w="778" w:type="dxa"/>
            <w:tcBorders>
              <w:top w:val="nil"/>
              <w:left w:val="nil"/>
              <w:bottom w:val="single" w:sz="4" w:space="0" w:color="auto"/>
              <w:right w:val="nil"/>
            </w:tcBorders>
          </w:tcPr>
          <w:p w14:paraId="50D246E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0.04</w:t>
            </w:r>
          </w:p>
        </w:tc>
        <w:tc>
          <w:tcPr>
            <w:tcW w:w="778" w:type="dxa"/>
            <w:tcBorders>
              <w:top w:val="nil"/>
              <w:left w:val="nil"/>
              <w:bottom w:val="single" w:sz="4" w:space="0" w:color="auto"/>
              <w:right w:val="nil"/>
            </w:tcBorders>
          </w:tcPr>
          <w:p w14:paraId="2DF7570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8" w:type="dxa"/>
            <w:tcBorders>
              <w:top w:val="nil"/>
              <w:left w:val="nil"/>
              <w:bottom w:val="single" w:sz="4" w:space="0" w:color="auto"/>
              <w:right w:val="nil"/>
            </w:tcBorders>
          </w:tcPr>
          <w:p w14:paraId="04D3519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-0.02</w:t>
            </w:r>
          </w:p>
        </w:tc>
        <w:tc>
          <w:tcPr>
            <w:tcW w:w="778" w:type="dxa"/>
            <w:tcBorders>
              <w:top w:val="nil"/>
              <w:left w:val="nil"/>
              <w:bottom w:val="single" w:sz="4" w:space="0" w:color="auto"/>
              <w:right w:val="nil"/>
            </w:tcBorders>
          </w:tcPr>
          <w:p w14:paraId="39EE96E1"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8" w:type="dxa"/>
            <w:tcBorders>
              <w:top w:val="nil"/>
              <w:left w:val="nil"/>
              <w:bottom w:val="single" w:sz="4" w:space="0" w:color="auto"/>
              <w:right w:val="nil"/>
            </w:tcBorders>
          </w:tcPr>
          <w:p w14:paraId="111EFAF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0.11</w:t>
            </w:r>
          </w:p>
        </w:tc>
        <w:tc>
          <w:tcPr>
            <w:tcW w:w="778" w:type="dxa"/>
            <w:tcBorders>
              <w:top w:val="nil"/>
              <w:left w:val="nil"/>
              <w:bottom w:val="single" w:sz="4" w:space="0" w:color="auto"/>
              <w:right w:val="nil"/>
            </w:tcBorders>
          </w:tcPr>
          <w:p w14:paraId="6C8EF600"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-0.12</w:t>
            </w:r>
          </w:p>
        </w:tc>
      </w:tr>
    </w:tbl>
    <w:p w14:paraId="4C8024C9" w14:textId="625030EC" w:rsidR="008B5B71" w:rsidRDefault="008B5B71" w:rsidP="00CF3BB7">
      <w:pPr>
        <w:pStyle w:val="TableCaption"/>
        <w:spacing w:line="240" w:lineRule="auto"/>
        <w:rPr>
          <w:b/>
          <w:sz w:val="20"/>
          <w:szCs w:val="20"/>
        </w:rPr>
      </w:pPr>
    </w:p>
    <w:tbl>
      <w:tblPr>
        <w:tblW w:w="6050" w:type="dxa"/>
        <w:tblLayout w:type="fixed"/>
        <w:tblLook w:val="0000" w:firstRow="0" w:lastRow="0" w:firstColumn="0" w:lastColumn="0" w:noHBand="0" w:noVBand="0"/>
      </w:tblPr>
      <w:tblGrid>
        <w:gridCol w:w="2160"/>
        <w:gridCol w:w="778"/>
        <w:gridCol w:w="778"/>
        <w:gridCol w:w="778"/>
        <w:gridCol w:w="778"/>
        <w:gridCol w:w="778"/>
      </w:tblGrid>
      <w:tr w:rsidR="008B5B71" w:rsidRPr="001E094D" w14:paraId="6209CF9A" w14:textId="77777777" w:rsidTr="00E27DCC">
        <w:tc>
          <w:tcPr>
            <w:tcW w:w="2160" w:type="dxa"/>
            <w:tcBorders>
              <w:top w:val="single" w:sz="4" w:space="0" w:color="auto"/>
              <w:left w:val="nil"/>
              <w:bottom w:val="single" w:sz="4" w:space="0" w:color="auto"/>
              <w:right w:val="nil"/>
            </w:tcBorders>
          </w:tcPr>
          <w:p w14:paraId="48590E95" w14:textId="77777777" w:rsidR="008B5B71" w:rsidRPr="00F3316B" w:rsidRDefault="008B5B71" w:rsidP="00515F1C">
            <w:pPr>
              <w:widowControl w:val="0"/>
              <w:autoSpaceDE w:val="0"/>
              <w:autoSpaceDN w:val="0"/>
              <w:adjustRightInd w:val="0"/>
              <w:rPr>
                <w:sz w:val="20"/>
                <w:szCs w:val="20"/>
              </w:rPr>
            </w:pPr>
          </w:p>
        </w:tc>
        <w:tc>
          <w:tcPr>
            <w:tcW w:w="778" w:type="dxa"/>
            <w:tcBorders>
              <w:top w:val="single" w:sz="4" w:space="0" w:color="auto"/>
              <w:left w:val="nil"/>
              <w:bottom w:val="single" w:sz="4" w:space="0" w:color="auto"/>
              <w:right w:val="nil"/>
            </w:tcBorders>
          </w:tcPr>
          <w:p w14:paraId="70F96089"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10.</w:t>
            </w:r>
          </w:p>
        </w:tc>
        <w:tc>
          <w:tcPr>
            <w:tcW w:w="778" w:type="dxa"/>
            <w:tcBorders>
              <w:top w:val="single" w:sz="4" w:space="0" w:color="auto"/>
              <w:left w:val="nil"/>
              <w:bottom w:val="single" w:sz="4" w:space="0" w:color="auto"/>
              <w:right w:val="nil"/>
            </w:tcBorders>
          </w:tcPr>
          <w:p w14:paraId="29F95325"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11.</w:t>
            </w:r>
          </w:p>
        </w:tc>
        <w:tc>
          <w:tcPr>
            <w:tcW w:w="778" w:type="dxa"/>
            <w:tcBorders>
              <w:top w:val="single" w:sz="4" w:space="0" w:color="auto"/>
              <w:left w:val="nil"/>
              <w:bottom w:val="single" w:sz="4" w:space="0" w:color="auto"/>
              <w:right w:val="nil"/>
            </w:tcBorders>
          </w:tcPr>
          <w:p w14:paraId="5CF77128"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12.</w:t>
            </w:r>
          </w:p>
        </w:tc>
        <w:tc>
          <w:tcPr>
            <w:tcW w:w="778" w:type="dxa"/>
            <w:tcBorders>
              <w:top w:val="single" w:sz="4" w:space="0" w:color="auto"/>
              <w:left w:val="nil"/>
              <w:bottom w:val="single" w:sz="4" w:space="0" w:color="auto"/>
              <w:right w:val="nil"/>
            </w:tcBorders>
          </w:tcPr>
          <w:p w14:paraId="1BBCE6A6"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13.</w:t>
            </w:r>
          </w:p>
        </w:tc>
        <w:tc>
          <w:tcPr>
            <w:tcW w:w="778" w:type="dxa"/>
            <w:tcBorders>
              <w:top w:val="single" w:sz="4" w:space="0" w:color="auto"/>
              <w:left w:val="nil"/>
              <w:bottom w:val="single" w:sz="4" w:space="0" w:color="auto"/>
              <w:right w:val="nil"/>
            </w:tcBorders>
          </w:tcPr>
          <w:p w14:paraId="38E91CFC" w14:textId="77777777" w:rsidR="008B5B71" w:rsidRPr="001E094D" w:rsidRDefault="008B5B71" w:rsidP="00515F1C">
            <w:pPr>
              <w:widowControl w:val="0"/>
              <w:autoSpaceDE w:val="0"/>
              <w:autoSpaceDN w:val="0"/>
              <w:adjustRightInd w:val="0"/>
              <w:jc w:val="center"/>
              <w:rPr>
                <w:sz w:val="20"/>
                <w:szCs w:val="20"/>
              </w:rPr>
            </w:pPr>
            <w:r w:rsidRPr="001E094D">
              <w:rPr>
                <w:sz w:val="20"/>
                <w:szCs w:val="20"/>
              </w:rPr>
              <w:t>14.</w:t>
            </w:r>
          </w:p>
        </w:tc>
      </w:tr>
      <w:tr w:rsidR="008B5B71" w:rsidRPr="001E094D" w14:paraId="2723CCD2" w14:textId="77777777" w:rsidTr="00E27DCC">
        <w:tc>
          <w:tcPr>
            <w:tcW w:w="2160" w:type="dxa"/>
            <w:tcBorders>
              <w:top w:val="single" w:sz="4" w:space="0" w:color="auto"/>
              <w:left w:val="nil"/>
              <w:bottom w:val="nil"/>
              <w:right w:val="nil"/>
            </w:tcBorders>
          </w:tcPr>
          <w:p w14:paraId="6B9056E8" w14:textId="77777777" w:rsidR="008B5B71" w:rsidRPr="001E094D" w:rsidRDefault="008B5B71" w:rsidP="00515F1C">
            <w:pPr>
              <w:widowControl w:val="0"/>
              <w:autoSpaceDE w:val="0"/>
              <w:autoSpaceDN w:val="0"/>
              <w:adjustRightInd w:val="0"/>
              <w:rPr>
                <w:sz w:val="18"/>
                <w:szCs w:val="18"/>
              </w:rPr>
            </w:pPr>
            <w:r w:rsidRPr="001E094D">
              <w:rPr>
                <w:sz w:val="18"/>
                <w:szCs w:val="18"/>
              </w:rPr>
              <w:t>10. High qualification</w:t>
            </w:r>
          </w:p>
        </w:tc>
        <w:tc>
          <w:tcPr>
            <w:tcW w:w="778" w:type="dxa"/>
            <w:tcBorders>
              <w:top w:val="single" w:sz="4" w:space="0" w:color="auto"/>
              <w:left w:val="nil"/>
              <w:bottom w:val="nil"/>
              <w:right w:val="nil"/>
            </w:tcBorders>
          </w:tcPr>
          <w:p w14:paraId="051181B0"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single" w:sz="4" w:space="0" w:color="auto"/>
              <w:left w:val="nil"/>
              <w:bottom w:val="nil"/>
              <w:right w:val="nil"/>
            </w:tcBorders>
          </w:tcPr>
          <w:p w14:paraId="0BA8E2EE"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69167B75"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1E8B1DC9"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single" w:sz="4" w:space="0" w:color="auto"/>
              <w:left w:val="nil"/>
              <w:bottom w:val="nil"/>
              <w:right w:val="nil"/>
            </w:tcBorders>
          </w:tcPr>
          <w:p w14:paraId="5A02592C"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74A34359" w14:textId="77777777" w:rsidTr="00E27DCC">
        <w:tc>
          <w:tcPr>
            <w:tcW w:w="2160" w:type="dxa"/>
            <w:tcBorders>
              <w:top w:val="nil"/>
              <w:left w:val="nil"/>
              <w:bottom w:val="nil"/>
              <w:right w:val="nil"/>
            </w:tcBorders>
          </w:tcPr>
          <w:p w14:paraId="237553FB" w14:textId="77777777" w:rsidR="008B5B71" w:rsidRPr="001E094D" w:rsidRDefault="008B5B71" w:rsidP="00515F1C">
            <w:pPr>
              <w:widowControl w:val="0"/>
              <w:autoSpaceDE w:val="0"/>
              <w:autoSpaceDN w:val="0"/>
              <w:adjustRightInd w:val="0"/>
              <w:rPr>
                <w:sz w:val="18"/>
                <w:szCs w:val="18"/>
              </w:rPr>
            </w:pPr>
            <w:r w:rsidRPr="001E094D">
              <w:rPr>
                <w:sz w:val="18"/>
                <w:szCs w:val="18"/>
              </w:rPr>
              <w:t>11. Medium qualification</w:t>
            </w:r>
          </w:p>
        </w:tc>
        <w:tc>
          <w:tcPr>
            <w:tcW w:w="778" w:type="dxa"/>
            <w:tcBorders>
              <w:top w:val="nil"/>
              <w:left w:val="nil"/>
              <w:bottom w:val="nil"/>
              <w:right w:val="nil"/>
            </w:tcBorders>
          </w:tcPr>
          <w:p w14:paraId="68EE723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-0.50</w:t>
            </w:r>
          </w:p>
        </w:tc>
        <w:tc>
          <w:tcPr>
            <w:tcW w:w="778" w:type="dxa"/>
            <w:tcBorders>
              <w:top w:val="nil"/>
              <w:left w:val="nil"/>
              <w:bottom w:val="nil"/>
              <w:right w:val="nil"/>
            </w:tcBorders>
          </w:tcPr>
          <w:p w14:paraId="1EA10566"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2258DADF"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45D1550F"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0AB8F532"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2BC07C9E" w14:textId="77777777" w:rsidTr="00E27DCC">
        <w:tc>
          <w:tcPr>
            <w:tcW w:w="2160" w:type="dxa"/>
            <w:tcBorders>
              <w:top w:val="nil"/>
              <w:left w:val="nil"/>
              <w:bottom w:val="nil"/>
              <w:right w:val="nil"/>
            </w:tcBorders>
          </w:tcPr>
          <w:p w14:paraId="365B9269" w14:textId="77777777" w:rsidR="008B5B71" w:rsidRPr="001E094D" w:rsidRDefault="008B5B71" w:rsidP="00515F1C">
            <w:pPr>
              <w:widowControl w:val="0"/>
              <w:autoSpaceDE w:val="0"/>
              <w:autoSpaceDN w:val="0"/>
              <w:adjustRightInd w:val="0"/>
              <w:rPr>
                <w:sz w:val="18"/>
                <w:szCs w:val="18"/>
              </w:rPr>
            </w:pPr>
            <w:r w:rsidRPr="001E094D">
              <w:rPr>
                <w:sz w:val="18"/>
                <w:szCs w:val="18"/>
              </w:rPr>
              <w:t>12. Low qualification</w:t>
            </w:r>
          </w:p>
        </w:tc>
        <w:tc>
          <w:tcPr>
            <w:tcW w:w="778" w:type="dxa"/>
            <w:tcBorders>
              <w:top w:val="nil"/>
              <w:left w:val="nil"/>
              <w:bottom w:val="nil"/>
              <w:right w:val="nil"/>
            </w:tcBorders>
          </w:tcPr>
          <w:p w14:paraId="5B8E7347"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-0.42</w:t>
            </w:r>
          </w:p>
        </w:tc>
        <w:tc>
          <w:tcPr>
            <w:tcW w:w="778" w:type="dxa"/>
            <w:tcBorders>
              <w:top w:val="nil"/>
              <w:left w:val="nil"/>
              <w:bottom w:val="nil"/>
              <w:right w:val="nil"/>
            </w:tcBorders>
          </w:tcPr>
          <w:p w14:paraId="02E95F4F"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-0.57</w:t>
            </w:r>
          </w:p>
        </w:tc>
        <w:tc>
          <w:tcPr>
            <w:tcW w:w="778" w:type="dxa"/>
            <w:tcBorders>
              <w:top w:val="nil"/>
              <w:left w:val="nil"/>
              <w:bottom w:val="nil"/>
              <w:right w:val="nil"/>
            </w:tcBorders>
          </w:tcPr>
          <w:p w14:paraId="4DFA1E7C"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0F704B27" w14:textId="77777777" w:rsidR="008B5B71" w:rsidRPr="001E094D" w:rsidRDefault="008B5B71" w:rsidP="00515F1C">
            <w:pPr>
              <w:widowControl w:val="0"/>
              <w:autoSpaceDE w:val="0"/>
              <w:autoSpaceDN w:val="0"/>
              <w:adjustRightInd w:val="0"/>
              <w:jc w:val="center"/>
              <w:rPr>
                <w:sz w:val="18"/>
                <w:szCs w:val="18"/>
              </w:rPr>
            </w:pPr>
          </w:p>
        </w:tc>
        <w:tc>
          <w:tcPr>
            <w:tcW w:w="778" w:type="dxa"/>
            <w:tcBorders>
              <w:top w:val="nil"/>
              <w:left w:val="nil"/>
              <w:bottom w:val="nil"/>
              <w:right w:val="nil"/>
            </w:tcBorders>
          </w:tcPr>
          <w:p w14:paraId="61FFC1F3"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6EDA0391" w14:textId="77777777" w:rsidTr="00E27DCC">
        <w:tc>
          <w:tcPr>
            <w:tcW w:w="2160" w:type="dxa"/>
            <w:tcBorders>
              <w:top w:val="nil"/>
              <w:left w:val="nil"/>
              <w:bottom w:val="nil"/>
              <w:right w:val="nil"/>
            </w:tcBorders>
          </w:tcPr>
          <w:p w14:paraId="12797E1C" w14:textId="77777777" w:rsidR="008B5B71" w:rsidRPr="001E094D" w:rsidRDefault="008B5B71" w:rsidP="00515F1C">
            <w:pPr>
              <w:widowControl w:val="0"/>
              <w:autoSpaceDE w:val="0"/>
              <w:autoSpaceDN w:val="0"/>
              <w:adjustRightInd w:val="0"/>
              <w:rPr>
                <w:sz w:val="18"/>
                <w:szCs w:val="18"/>
              </w:rPr>
            </w:pPr>
            <w:r w:rsidRPr="001E094D">
              <w:rPr>
                <w:sz w:val="18"/>
                <w:szCs w:val="18"/>
              </w:rPr>
              <w:t>13. Hours worked (ln)</w:t>
            </w:r>
          </w:p>
        </w:tc>
        <w:tc>
          <w:tcPr>
            <w:tcW w:w="778" w:type="dxa"/>
            <w:tcBorders>
              <w:top w:val="nil"/>
              <w:left w:val="nil"/>
              <w:bottom w:val="nil"/>
              <w:right w:val="nil"/>
            </w:tcBorders>
          </w:tcPr>
          <w:p w14:paraId="2FEB8A20"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-0.30</w:t>
            </w:r>
          </w:p>
        </w:tc>
        <w:tc>
          <w:tcPr>
            <w:tcW w:w="778" w:type="dxa"/>
            <w:tcBorders>
              <w:top w:val="nil"/>
              <w:left w:val="nil"/>
              <w:bottom w:val="nil"/>
              <w:right w:val="nil"/>
            </w:tcBorders>
          </w:tcPr>
          <w:p w14:paraId="7A1EBEB2"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0.18</w:t>
            </w:r>
          </w:p>
        </w:tc>
        <w:tc>
          <w:tcPr>
            <w:tcW w:w="778" w:type="dxa"/>
            <w:tcBorders>
              <w:top w:val="nil"/>
              <w:left w:val="nil"/>
              <w:bottom w:val="nil"/>
              <w:right w:val="nil"/>
            </w:tcBorders>
          </w:tcPr>
          <w:p w14:paraId="0886A10A"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0.09</w:t>
            </w:r>
          </w:p>
        </w:tc>
        <w:tc>
          <w:tcPr>
            <w:tcW w:w="778" w:type="dxa"/>
            <w:tcBorders>
              <w:top w:val="nil"/>
              <w:left w:val="nil"/>
              <w:bottom w:val="nil"/>
              <w:right w:val="nil"/>
            </w:tcBorders>
          </w:tcPr>
          <w:p w14:paraId="2FDC9F2D"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c>
          <w:tcPr>
            <w:tcW w:w="778" w:type="dxa"/>
            <w:tcBorders>
              <w:top w:val="nil"/>
              <w:left w:val="nil"/>
              <w:bottom w:val="nil"/>
              <w:right w:val="nil"/>
            </w:tcBorders>
          </w:tcPr>
          <w:p w14:paraId="3DD35112" w14:textId="77777777" w:rsidR="008B5B71" w:rsidRPr="001E094D" w:rsidRDefault="008B5B71" w:rsidP="00515F1C">
            <w:pPr>
              <w:widowControl w:val="0"/>
              <w:autoSpaceDE w:val="0"/>
              <w:autoSpaceDN w:val="0"/>
              <w:adjustRightInd w:val="0"/>
              <w:jc w:val="center"/>
              <w:rPr>
                <w:sz w:val="18"/>
                <w:szCs w:val="18"/>
              </w:rPr>
            </w:pPr>
          </w:p>
        </w:tc>
      </w:tr>
      <w:tr w:rsidR="008B5B71" w:rsidRPr="001E094D" w14:paraId="496DCFF5" w14:textId="77777777" w:rsidTr="00E27DCC">
        <w:tc>
          <w:tcPr>
            <w:tcW w:w="2160" w:type="dxa"/>
            <w:tcBorders>
              <w:top w:val="nil"/>
              <w:left w:val="nil"/>
              <w:bottom w:val="single" w:sz="4" w:space="0" w:color="auto"/>
              <w:right w:val="nil"/>
            </w:tcBorders>
          </w:tcPr>
          <w:p w14:paraId="3CC7BE53" w14:textId="77777777" w:rsidR="008B5B71" w:rsidRPr="001E094D" w:rsidRDefault="008B5B71" w:rsidP="00515F1C">
            <w:pPr>
              <w:widowControl w:val="0"/>
              <w:autoSpaceDE w:val="0"/>
              <w:autoSpaceDN w:val="0"/>
              <w:adjustRightInd w:val="0"/>
              <w:rPr>
                <w:sz w:val="18"/>
                <w:szCs w:val="18"/>
              </w:rPr>
            </w:pPr>
            <w:r w:rsidRPr="001E094D">
              <w:rPr>
                <w:sz w:val="18"/>
                <w:szCs w:val="18"/>
              </w:rPr>
              <w:t>14. Workers (ln)</w:t>
            </w:r>
          </w:p>
        </w:tc>
        <w:tc>
          <w:tcPr>
            <w:tcW w:w="778" w:type="dxa"/>
            <w:tcBorders>
              <w:top w:val="nil"/>
              <w:left w:val="nil"/>
              <w:bottom w:val="single" w:sz="4" w:space="0" w:color="auto"/>
              <w:right w:val="nil"/>
            </w:tcBorders>
          </w:tcPr>
          <w:p w14:paraId="3BC6CD78"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0.02</w:t>
            </w:r>
          </w:p>
        </w:tc>
        <w:tc>
          <w:tcPr>
            <w:tcW w:w="778" w:type="dxa"/>
            <w:tcBorders>
              <w:top w:val="nil"/>
              <w:left w:val="nil"/>
              <w:bottom w:val="single" w:sz="4" w:space="0" w:color="auto"/>
              <w:right w:val="nil"/>
            </w:tcBorders>
          </w:tcPr>
          <w:p w14:paraId="54C55613"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-0.03</w:t>
            </w:r>
          </w:p>
        </w:tc>
        <w:tc>
          <w:tcPr>
            <w:tcW w:w="778" w:type="dxa"/>
            <w:tcBorders>
              <w:top w:val="nil"/>
              <w:left w:val="nil"/>
              <w:bottom w:val="single" w:sz="4" w:space="0" w:color="auto"/>
              <w:right w:val="nil"/>
            </w:tcBorders>
          </w:tcPr>
          <w:p w14:paraId="3183FCCE"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0.01</w:t>
            </w:r>
          </w:p>
        </w:tc>
        <w:tc>
          <w:tcPr>
            <w:tcW w:w="778" w:type="dxa"/>
            <w:tcBorders>
              <w:top w:val="nil"/>
              <w:left w:val="nil"/>
              <w:bottom w:val="single" w:sz="4" w:space="0" w:color="auto"/>
              <w:right w:val="nil"/>
            </w:tcBorders>
          </w:tcPr>
          <w:p w14:paraId="2F8645E0"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0.05</w:t>
            </w:r>
          </w:p>
        </w:tc>
        <w:tc>
          <w:tcPr>
            <w:tcW w:w="778" w:type="dxa"/>
            <w:tcBorders>
              <w:top w:val="nil"/>
              <w:left w:val="nil"/>
              <w:bottom w:val="single" w:sz="4" w:space="0" w:color="auto"/>
              <w:right w:val="nil"/>
            </w:tcBorders>
          </w:tcPr>
          <w:p w14:paraId="4D337073" w14:textId="77777777" w:rsidR="008B5B71" w:rsidRPr="001E094D" w:rsidRDefault="008B5B71" w:rsidP="00515F1C">
            <w:pPr>
              <w:widowControl w:val="0"/>
              <w:autoSpaceDE w:val="0"/>
              <w:autoSpaceDN w:val="0"/>
              <w:adjustRightInd w:val="0"/>
              <w:jc w:val="center"/>
              <w:rPr>
                <w:sz w:val="18"/>
                <w:szCs w:val="18"/>
              </w:rPr>
            </w:pPr>
            <w:r w:rsidRPr="001E094D">
              <w:rPr>
                <w:sz w:val="18"/>
                <w:szCs w:val="18"/>
              </w:rPr>
              <w:t>1.00</w:t>
            </w:r>
          </w:p>
        </w:tc>
      </w:tr>
    </w:tbl>
    <w:p w14:paraId="3971A7E0" w14:textId="77777777" w:rsidR="008B5B71" w:rsidRDefault="008B5B71" w:rsidP="00CF3BB7">
      <w:pPr>
        <w:pStyle w:val="TableCaption"/>
        <w:spacing w:line="240" w:lineRule="auto"/>
        <w:rPr>
          <w:b/>
          <w:sz w:val="20"/>
          <w:szCs w:val="20"/>
        </w:rPr>
      </w:pPr>
    </w:p>
    <w:p w14:paraId="0392C054" w14:textId="2EAB2E13" w:rsidR="003E148C" w:rsidRDefault="003E148C" w:rsidP="003E148C">
      <w:pPr>
        <w:spacing w:after="160" w:line="259" w:lineRule="auto"/>
        <w:rPr>
          <w:b/>
          <w:sz w:val="20"/>
          <w:szCs w:val="20"/>
        </w:rPr>
      </w:pPr>
    </w:p>
    <w:p w14:paraId="7B1A7037" w14:textId="77777777" w:rsidR="00CF3BB7" w:rsidRDefault="00CF3BB7">
      <w:pPr>
        <w:spacing w:after="160" w:line="259" w:lineRule="auto"/>
        <w:rPr>
          <w:b/>
          <w:sz w:val="22"/>
          <w:szCs w:val="22"/>
        </w:rPr>
      </w:pPr>
      <w:r>
        <w:rPr>
          <w:b/>
          <w:sz w:val="22"/>
          <w:szCs w:val="22"/>
        </w:rPr>
        <w:br w:type="page"/>
      </w:r>
    </w:p>
    <w:p w14:paraId="2FE90486" w14:textId="0C6789B4" w:rsidR="003E148C" w:rsidRDefault="003E148C" w:rsidP="003E148C">
      <w:pPr>
        <w:keepNext/>
        <w:keepLines/>
        <w:autoSpaceDE w:val="0"/>
        <w:autoSpaceDN w:val="0"/>
        <w:adjustRightInd w:val="0"/>
        <w:outlineLvl w:val="1"/>
        <w:rPr>
          <w:b/>
          <w:sz w:val="22"/>
          <w:szCs w:val="22"/>
        </w:rPr>
      </w:pPr>
      <w:r w:rsidRPr="00E94742">
        <w:rPr>
          <w:b/>
          <w:sz w:val="22"/>
          <w:szCs w:val="22"/>
        </w:rPr>
        <w:t>Table 3. Effect of the reform on transition into entrepreneurship</w:t>
      </w:r>
    </w:p>
    <w:p w14:paraId="195F5064" w14:textId="77777777" w:rsidR="003E148C" w:rsidRPr="00E94742" w:rsidRDefault="003E148C" w:rsidP="003E148C">
      <w:pPr>
        <w:keepNext/>
        <w:keepLines/>
        <w:autoSpaceDE w:val="0"/>
        <w:autoSpaceDN w:val="0"/>
        <w:adjustRightInd w:val="0"/>
        <w:outlineLvl w:val="1"/>
        <w:rPr>
          <w:b/>
          <w:sz w:val="22"/>
          <w:szCs w:val="22"/>
        </w:rPr>
      </w:pPr>
    </w:p>
    <w:tbl>
      <w:tblPr>
        <w:tblW w:w="0" w:type="auto"/>
        <w:tblCellMar>
          <w:left w:w="14" w:type="dxa"/>
          <w:right w:w="14" w:type="dxa"/>
        </w:tblCellMar>
        <w:tblLook w:val="0000" w:firstRow="0" w:lastRow="0" w:firstColumn="0" w:lastColumn="0" w:noHBand="0" w:noVBand="0"/>
      </w:tblPr>
      <w:tblGrid>
        <w:gridCol w:w="3916"/>
        <w:gridCol w:w="1152"/>
        <w:gridCol w:w="1152"/>
        <w:gridCol w:w="1152"/>
        <w:gridCol w:w="1152"/>
      </w:tblGrid>
      <w:tr w:rsidR="003E148C" w:rsidRPr="002C306D" w14:paraId="7AF76221" w14:textId="77777777" w:rsidTr="0026218B">
        <w:trPr>
          <w:trHeight w:val="20"/>
        </w:trPr>
        <w:tc>
          <w:tcPr>
            <w:tcW w:w="0" w:type="auto"/>
            <w:tcBorders>
              <w:top w:val="single" w:sz="6" w:space="0" w:color="auto"/>
              <w:left w:val="nil"/>
              <w:bottom w:val="nil"/>
              <w:right w:val="nil"/>
            </w:tcBorders>
          </w:tcPr>
          <w:p w14:paraId="789BB948" w14:textId="77777777" w:rsidR="003E148C" w:rsidRPr="002C306D" w:rsidRDefault="003E148C" w:rsidP="0026218B">
            <w:pPr>
              <w:widowControl w:val="0"/>
              <w:autoSpaceDE w:val="0"/>
              <w:autoSpaceDN w:val="0"/>
              <w:adjustRightInd w:val="0"/>
              <w:spacing w:before="79" w:after="79"/>
              <w:rPr>
                <w:sz w:val="20"/>
                <w:szCs w:val="20"/>
              </w:rPr>
            </w:pPr>
          </w:p>
        </w:tc>
        <w:tc>
          <w:tcPr>
            <w:tcW w:w="1152" w:type="dxa"/>
            <w:tcBorders>
              <w:top w:val="single" w:sz="6" w:space="0" w:color="auto"/>
              <w:left w:val="nil"/>
              <w:bottom w:val="nil"/>
              <w:right w:val="nil"/>
            </w:tcBorders>
            <w:vAlign w:val="center"/>
          </w:tcPr>
          <w:p w14:paraId="091FFEC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1</w:t>
            </w:r>
          </w:p>
        </w:tc>
        <w:tc>
          <w:tcPr>
            <w:tcW w:w="1152" w:type="dxa"/>
            <w:tcBorders>
              <w:top w:val="single" w:sz="6" w:space="0" w:color="auto"/>
              <w:left w:val="nil"/>
              <w:bottom w:val="nil"/>
              <w:right w:val="nil"/>
            </w:tcBorders>
            <w:vAlign w:val="center"/>
          </w:tcPr>
          <w:p w14:paraId="2B7D3F3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2</w:t>
            </w:r>
          </w:p>
        </w:tc>
        <w:tc>
          <w:tcPr>
            <w:tcW w:w="1152" w:type="dxa"/>
            <w:tcBorders>
              <w:top w:val="single" w:sz="6" w:space="0" w:color="auto"/>
              <w:left w:val="nil"/>
              <w:bottom w:val="nil"/>
              <w:right w:val="nil"/>
            </w:tcBorders>
            <w:vAlign w:val="center"/>
          </w:tcPr>
          <w:p w14:paraId="7EEE88DA"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3</w:t>
            </w:r>
          </w:p>
        </w:tc>
        <w:tc>
          <w:tcPr>
            <w:tcW w:w="1152" w:type="dxa"/>
            <w:tcBorders>
              <w:top w:val="single" w:sz="6" w:space="0" w:color="auto"/>
              <w:left w:val="nil"/>
              <w:bottom w:val="nil"/>
              <w:right w:val="nil"/>
            </w:tcBorders>
            <w:vAlign w:val="center"/>
          </w:tcPr>
          <w:p w14:paraId="200500A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4</w:t>
            </w:r>
          </w:p>
        </w:tc>
      </w:tr>
      <w:tr w:rsidR="003E148C" w:rsidRPr="002C306D" w14:paraId="4569705B" w14:textId="77777777" w:rsidTr="0026218B">
        <w:trPr>
          <w:trHeight w:val="20"/>
        </w:trPr>
        <w:tc>
          <w:tcPr>
            <w:tcW w:w="0" w:type="auto"/>
            <w:tcBorders>
              <w:top w:val="single" w:sz="6" w:space="0" w:color="auto"/>
              <w:left w:val="nil"/>
              <w:bottom w:val="nil"/>
              <w:right w:val="nil"/>
            </w:tcBorders>
          </w:tcPr>
          <w:p w14:paraId="7F7C8D29" w14:textId="77777777" w:rsidR="003E148C" w:rsidRPr="002C306D" w:rsidRDefault="003E148C" w:rsidP="0026218B">
            <w:pPr>
              <w:widowControl w:val="0"/>
              <w:autoSpaceDE w:val="0"/>
              <w:autoSpaceDN w:val="0"/>
              <w:adjustRightInd w:val="0"/>
              <w:rPr>
                <w:sz w:val="20"/>
                <w:szCs w:val="20"/>
              </w:rPr>
            </w:pPr>
            <w:r w:rsidRPr="002C306D">
              <w:rPr>
                <w:sz w:val="20"/>
                <w:szCs w:val="20"/>
              </w:rPr>
              <w:t>Entry deregulation</w:t>
            </w:r>
          </w:p>
        </w:tc>
        <w:tc>
          <w:tcPr>
            <w:tcW w:w="1152" w:type="dxa"/>
            <w:tcBorders>
              <w:top w:val="single" w:sz="6" w:space="0" w:color="auto"/>
              <w:left w:val="nil"/>
              <w:bottom w:val="nil"/>
              <w:right w:val="nil"/>
            </w:tcBorders>
            <w:vAlign w:val="center"/>
          </w:tcPr>
          <w:p w14:paraId="684063CA"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c>
          <w:tcPr>
            <w:tcW w:w="1152" w:type="dxa"/>
            <w:tcBorders>
              <w:top w:val="single" w:sz="6" w:space="0" w:color="auto"/>
              <w:left w:val="nil"/>
              <w:bottom w:val="nil"/>
              <w:right w:val="nil"/>
            </w:tcBorders>
            <w:vAlign w:val="center"/>
          </w:tcPr>
          <w:p w14:paraId="09412D0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-0.0003</w:t>
            </w:r>
          </w:p>
        </w:tc>
        <w:tc>
          <w:tcPr>
            <w:tcW w:w="1152" w:type="dxa"/>
            <w:tcBorders>
              <w:top w:val="single" w:sz="6" w:space="0" w:color="auto"/>
              <w:left w:val="nil"/>
              <w:bottom w:val="nil"/>
              <w:right w:val="nil"/>
            </w:tcBorders>
            <w:vAlign w:val="center"/>
          </w:tcPr>
          <w:p w14:paraId="2468331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0.0018</w:t>
            </w:r>
          </w:p>
        </w:tc>
        <w:tc>
          <w:tcPr>
            <w:tcW w:w="1152" w:type="dxa"/>
            <w:tcBorders>
              <w:top w:val="single" w:sz="6" w:space="0" w:color="auto"/>
              <w:left w:val="nil"/>
              <w:bottom w:val="nil"/>
              <w:right w:val="nil"/>
            </w:tcBorders>
            <w:vAlign w:val="center"/>
          </w:tcPr>
          <w:p w14:paraId="4C7BD36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0.0024</w:t>
            </w:r>
          </w:p>
        </w:tc>
      </w:tr>
      <w:tr w:rsidR="003E148C" w:rsidRPr="002C306D" w14:paraId="43E67770" w14:textId="77777777" w:rsidTr="0026218B">
        <w:trPr>
          <w:trHeight w:val="20"/>
        </w:trPr>
        <w:tc>
          <w:tcPr>
            <w:tcW w:w="0" w:type="auto"/>
            <w:tcBorders>
              <w:top w:val="nil"/>
              <w:left w:val="nil"/>
              <w:bottom w:val="nil"/>
              <w:right w:val="nil"/>
            </w:tcBorders>
          </w:tcPr>
          <w:p w14:paraId="79082268"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481CD755"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(0.0003)</w:t>
            </w:r>
          </w:p>
        </w:tc>
        <w:tc>
          <w:tcPr>
            <w:tcW w:w="1152" w:type="dxa"/>
            <w:tcBorders>
              <w:top w:val="nil"/>
              <w:left w:val="nil"/>
              <w:bottom w:val="nil"/>
              <w:right w:val="nil"/>
            </w:tcBorders>
            <w:vAlign w:val="center"/>
          </w:tcPr>
          <w:p w14:paraId="157DB2E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(0.0003)</w:t>
            </w:r>
          </w:p>
        </w:tc>
        <w:tc>
          <w:tcPr>
            <w:tcW w:w="1152" w:type="dxa"/>
            <w:tcBorders>
              <w:top w:val="nil"/>
              <w:left w:val="nil"/>
              <w:bottom w:val="nil"/>
              <w:right w:val="nil"/>
            </w:tcBorders>
            <w:vAlign w:val="center"/>
          </w:tcPr>
          <w:p w14:paraId="1245AF7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c>
          <w:tcPr>
            <w:tcW w:w="1152" w:type="dxa"/>
            <w:tcBorders>
              <w:top w:val="nil"/>
              <w:left w:val="nil"/>
              <w:bottom w:val="nil"/>
              <w:right w:val="nil"/>
            </w:tcBorders>
            <w:vAlign w:val="center"/>
          </w:tcPr>
          <w:p w14:paraId="16688C99"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(0.0003)</w:t>
            </w:r>
          </w:p>
        </w:tc>
      </w:tr>
      <w:tr w:rsidR="003E148C" w:rsidRPr="002C306D" w14:paraId="7740C39B" w14:textId="77777777" w:rsidTr="0026218B">
        <w:trPr>
          <w:trHeight w:val="20"/>
        </w:trPr>
        <w:tc>
          <w:tcPr>
            <w:tcW w:w="0" w:type="auto"/>
            <w:tcBorders>
              <w:top w:val="nil"/>
              <w:left w:val="nil"/>
              <w:bottom w:val="nil"/>
              <w:right w:val="nil"/>
            </w:tcBorders>
          </w:tcPr>
          <w:p w14:paraId="7B80E3D1" w14:textId="77777777" w:rsidR="003E148C" w:rsidRPr="002C306D" w:rsidRDefault="003E148C" w:rsidP="0026218B">
            <w:pPr>
              <w:widowControl w:val="0"/>
              <w:autoSpaceDE w:val="0"/>
              <w:autoSpaceDN w:val="0"/>
              <w:adjustRightInd w:val="0"/>
              <w:rPr>
                <w:sz w:val="20"/>
                <w:szCs w:val="20"/>
              </w:rPr>
            </w:pPr>
            <w:r w:rsidRPr="002C306D">
              <w:rPr>
                <w:sz w:val="20"/>
                <w:szCs w:val="20"/>
              </w:rPr>
              <w:t>Female</w:t>
            </w:r>
          </w:p>
        </w:tc>
        <w:tc>
          <w:tcPr>
            <w:tcW w:w="1152" w:type="dxa"/>
            <w:tcBorders>
              <w:top w:val="nil"/>
              <w:left w:val="nil"/>
              <w:bottom w:val="nil"/>
              <w:right w:val="nil"/>
            </w:tcBorders>
            <w:vAlign w:val="center"/>
          </w:tcPr>
          <w:p w14:paraId="1AB0CAD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-0.0008</w:t>
            </w:r>
          </w:p>
        </w:tc>
        <w:tc>
          <w:tcPr>
            <w:tcW w:w="1152" w:type="dxa"/>
            <w:tcBorders>
              <w:top w:val="nil"/>
              <w:left w:val="nil"/>
              <w:bottom w:val="nil"/>
              <w:right w:val="nil"/>
            </w:tcBorders>
            <w:vAlign w:val="center"/>
          </w:tcPr>
          <w:p w14:paraId="0B62E5D7"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6C181802"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-0.0014</w:t>
            </w:r>
          </w:p>
        </w:tc>
        <w:tc>
          <w:tcPr>
            <w:tcW w:w="1152" w:type="dxa"/>
            <w:tcBorders>
              <w:top w:val="nil"/>
              <w:left w:val="nil"/>
              <w:bottom w:val="nil"/>
              <w:right w:val="nil"/>
            </w:tcBorders>
            <w:vAlign w:val="center"/>
          </w:tcPr>
          <w:p w14:paraId="735DF9B0" w14:textId="77777777" w:rsidR="003E148C" w:rsidRPr="002C306D" w:rsidRDefault="003E148C" w:rsidP="0026218B">
            <w:pPr>
              <w:widowControl w:val="0"/>
              <w:autoSpaceDE w:val="0"/>
              <w:autoSpaceDN w:val="0"/>
              <w:adjustRightInd w:val="0"/>
              <w:jc w:val="center"/>
              <w:rPr>
                <w:sz w:val="20"/>
                <w:szCs w:val="20"/>
                <w:lang w:val="fr-FR" w:eastAsia="fr-FR"/>
              </w:rPr>
            </w:pPr>
          </w:p>
        </w:tc>
      </w:tr>
      <w:tr w:rsidR="003E148C" w:rsidRPr="002C306D" w14:paraId="38188EE5" w14:textId="77777777" w:rsidTr="0026218B">
        <w:trPr>
          <w:trHeight w:val="20"/>
        </w:trPr>
        <w:tc>
          <w:tcPr>
            <w:tcW w:w="0" w:type="auto"/>
            <w:tcBorders>
              <w:top w:val="nil"/>
              <w:left w:val="nil"/>
              <w:bottom w:val="nil"/>
              <w:right w:val="nil"/>
            </w:tcBorders>
          </w:tcPr>
          <w:p w14:paraId="0A9CF617"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42998FA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18297F9F"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0B11AAD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3FD3B6CC" w14:textId="77777777" w:rsidR="003E148C" w:rsidRPr="002C306D" w:rsidRDefault="003E148C" w:rsidP="0026218B">
            <w:pPr>
              <w:widowControl w:val="0"/>
              <w:autoSpaceDE w:val="0"/>
              <w:autoSpaceDN w:val="0"/>
              <w:adjustRightInd w:val="0"/>
              <w:jc w:val="center"/>
              <w:rPr>
                <w:sz w:val="20"/>
                <w:szCs w:val="20"/>
                <w:lang w:val="fr-FR" w:eastAsia="fr-FR"/>
              </w:rPr>
            </w:pPr>
          </w:p>
        </w:tc>
      </w:tr>
      <w:tr w:rsidR="003E148C" w:rsidRPr="002C306D" w14:paraId="20E67B2C" w14:textId="77777777" w:rsidTr="0026218B">
        <w:trPr>
          <w:trHeight w:val="20"/>
        </w:trPr>
        <w:tc>
          <w:tcPr>
            <w:tcW w:w="0" w:type="auto"/>
            <w:tcBorders>
              <w:top w:val="nil"/>
              <w:left w:val="nil"/>
              <w:bottom w:val="nil"/>
              <w:right w:val="nil"/>
            </w:tcBorders>
          </w:tcPr>
          <w:p w14:paraId="212EB86A" w14:textId="77777777" w:rsidR="003E148C" w:rsidRPr="002C306D" w:rsidRDefault="003E148C" w:rsidP="0026218B">
            <w:pPr>
              <w:widowControl w:val="0"/>
              <w:autoSpaceDE w:val="0"/>
              <w:autoSpaceDN w:val="0"/>
              <w:adjustRightInd w:val="0"/>
              <w:rPr>
                <w:sz w:val="20"/>
                <w:szCs w:val="20"/>
              </w:rPr>
            </w:pPr>
            <w:r w:rsidRPr="002C306D">
              <w:rPr>
                <w:sz w:val="20"/>
                <w:szCs w:val="20"/>
              </w:rPr>
              <w:t>Entry deregulation*Female</w:t>
            </w:r>
          </w:p>
        </w:tc>
        <w:tc>
          <w:tcPr>
            <w:tcW w:w="1152" w:type="dxa"/>
            <w:tcBorders>
              <w:top w:val="nil"/>
              <w:left w:val="nil"/>
              <w:bottom w:val="nil"/>
              <w:right w:val="nil"/>
            </w:tcBorders>
            <w:vAlign w:val="center"/>
          </w:tcPr>
          <w:p w14:paraId="1865907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0.0009</w:t>
            </w:r>
          </w:p>
        </w:tc>
        <w:tc>
          <w:tcPr>
            <w:tcW w:w="1152" w:type="dxa"/>
            <w:tcBorders>
              <w:top w:val="nil"/>
              <w:left w:val="nil"/>
              <w:bottom w:val="nil"/>
              <w:right w:val="nil"/>
            </w:tcBorders>
            <w:vAlign w:val="center"/>
          </w:tcPr>
          <w:p w14:paraId="0B6372B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0.0017</w:t>
            </w:r>
          </w:p>
        </w:tc>
        <w:tc>
          <w:tcPr>
            <w:tcW w:w="1152" w:type="dxa"/>
            <w:tcBorders>
              <w:top w:val="nil"/>
              <w:left w:val="nil"/>
              <w:bottom w:val="nil"/>
              <w:right w:val="nil"/>
            </w:tcBorders>
            <w:vAlign w:val="center"/>
          </w:tcPr>
          <w:p w14:paraId="0135397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71E95EC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0.0006</w:t>
            </w:r>
          </w:p>
        </w:tc>
      </w:tr>
      <w:tr w:rsidR="003E148C" w:rsidRPr="002C306D" w14:paraId="5D720C85" w14:textId="77777777" w:rsidTr="0026218B">
        <w:trPr>
          <w:trHeight w:val="20"/>
        </w:trPr>
        <w:tc>
          <w:tcPr>
            <w:tcW w:w="0" w:type="auto"/>
            <w:tcBorders>
              <w:top w:val="nil"/>
              <w:left w:val="nil"/>
              <w:bottom w:val="nil"/>
              <w:right w:val="nil"/>
            </w:tcBorders>
          </w:tcPr>
          <w:p w14:paraId="45101BE1"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160A58D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25FFCCC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c>
          <w:tcPr>
            <w:tcW w:w="1152" w:type="dxa"/>
            <w:tcBorders>
              <w:top w:val="nil"/>
              <w:left w:val="nil"/>
              <w:bottom w:val="nil"/>
              <w:right w:val="nil"/>
            </w:tcBorders>
            <w:vAlign w:val="center"/>
          </w:tcPr>
          <w:p w14:paraId="615F0A56"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161C799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r>
      <w:tr w:rsidR="003E148C" w:rsidRPr="002C306D" w14:paraId="25613451" w14:textId="77777777" w:rsidTr="0026218B">
        <w:trPr>
          <w:trHeight w:val="20"/>
        </w:trPr>
        <w:tc>
          <w:tcPr>
            <w:tcW w:w="0" w:type="auto"/>
            <w:tcBorders>
              <w:top w:val="nil"/>
              <w:left w:val="nil"/>
              <w:bottom w:val="nil"/>
              <w:right w:val="nil"/>
            </w:tcBorders>
          </w:tcPr>
          <w:p w14:paraId="7B5722A7" w14:textId="77777777" w:rsidR="003E148C" w:rsidRPr="002C306D" w:rsidRDefault="003E148C" w:rsidP="0026218B">
            <w:pPr>
              <w:widowControl w:val="0"/>
              <w:autoSpaceDE w:val="0"/>
              <w:autoSpaceDN w:val="0"/>
              <w:adjustRightInd w:val="0"/>
              <w:rPr>
                <w:sz w:val="20"/>
                <w:szCs w:val="20"/>
              </w:rPr>
            </w:pPr>
            <w:r w:rsidRPr="002C306D">
              <w:rPr>
                <w:sz w:val="20"/>
                <w:szCs w:val="20"/>
              </w:rPr>
              <w:t>Managerial position</w:t>
            </w:r>
          </w:p>
        </w:tc>
        <w:tc>
          <w:tcPr>
            <w:tcW w:w="1152" w:type="dxa"/>
            <w:tcBorders>
              <w:top w:val="nil"/>
              <w:left w:val="nil"/>
              <w:bottom w:val="nil"/>
              <w:right w:val="nil"/>
            </w:tcBorders>
            <w:vAlign w:val="center"/>
          </w:tcPr>
          <w:p w14:paraId="58D966CA"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2749329E"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3E27AC1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-0.0203</w:t>
            </w:r>
          </w:p>
        </w:tc>
        <w:tc>
          <w:tcPr>
            <w:tcW w:w="1152" w:type="dxa"/>
            <w:tcBorders>
              <w:top w:val="nil"/>
              <w:left w:val="nil"/>
              <w:bottom w:val="nil"/>
              <w:right w:val="nil"/>
            </w:tcBorders>
            <w:vAlign w:val="center"/>
          </w:tcPr>
          <w:p w14:paraId="1300EBC2" w14:textId="77777777" w:rsidR="003E148C" w:rsidRPr="002C306D" w:rsidRDefault="003E148C" w:rsidP="0026218B">
            <w:pPr>
              <w:widowControl w:val="0"/>
              <w:autoSpaceDE w:val="0"/>
              <w:autoSpaceDN w:val="0"/>
              <w:adjustRightInd w:val="0"/>
              <w:jc w:val="center"/>
              <w:rPr>
                <w:sz w:val="20"/>
                <w:szCs w:val="20"/>
                <w:lang w:val="fr-FR" w:eastAsia="fr-FR"/>
              </w:rPr>
            </w:pPr>
          </w:p>
        </w:tc>
      </w:tr>
      <w:tr w:rsidR="003E148C" w:rsidRPr="002C306D" w14:paraId="72B7C3BD" w14:textId="77777777" w:rsidTr="0026218B">
        <w:trPr>
          <w:trHeight w:val="20"/>
        </w:trPr>
        <w:tc>
          <w:tcPr>
            <w:tcW w:w="0" w:type="auto"/>
            <w:tcBorders>
              <w:top w:val="nil"/>
              <w:left w:val="nil"/>
              <w:bottom w:val="nil"/>
              <w:right w:val="nil"/>
            </w:tcBorders>
          </w:tcPr>
          <w:p w14:paraId="1D20BBCE"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0BD1800B"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7F29CDEE"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01CE1C8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(0.0026)</w:t>
            </w:r>
          </w:p>
        </w:tc>
        <w:tc>
          <w:tcPr>
            <w:tcW w:w="1152" w:type="dxa"/>
            <w:tcBorders>
              <w:top w:val="nil"/>
              <w:left w:val="nil"/>
              <w:bottom w:val="nil"/>
              <w:right w:val="nil"/>
            </w:tcBorders>
            <w:vAlign w:val="center"/>
          </w:tcPr>
          <w:p w14:paraId="5B29EEB7" w14:textId="77777777" w:rsidR="003E148C" w:rsidRPr="002C306D" w:rsidRDefault="003E148C" w:rsidP="0026218B">
            <w:pPr>
              <w:widowControl w:val="0"/>
              <w:autoSpaceDE w:val="0"/>
              <w:autoSpaceDN w:val="0"/>
              <w:adjustRightInd w:val="0"/>
              <w:jc w:val="center"/>
              <w:rPr>
                <w:sz w:val="20"/>
                <w:szCs w:val="20"/>
                <w:lang w:val="fr-FR" w:eastAsia="fr-FR"/>
              </w:rPr>
            </w:pPr>
          </w:p>
        </w:tc>
      </w:tr>
      <w:tr w:rsidR="003E148C" w:rsidRPr="002C306D" w14:paraId="430997D2" w14:textId="77777777" w:rsidTr="0026218B">
        <w:trPr>
          <w:trHeight w:val="20"/>
        </w:trPr>
        <w:tc>
          <w:tcPr>
            <w:tcW w:w="0" w:type="auto"/>
            <w:tcBorders>
              <w:top w:val="nil"/>
              <w:left w:val="nil"/>
              <w:bottom w:val="nil"/>
              <w:right w:val="nil"/>
            </w:tcBorders>
          </w:tcPr>
          <w:p w14:paraId="0EDD11AA" w14:textId="77777777" w:rsidR="003E148C" w:rsidRPr="002C306D" w:rsidRDefault="003E148C" w:rsidP="0026218B">
            <w:pPr>
              <w:widowControl w:val="0"/>
              <w:autoSpaceDE w:val="0"/>
              <w:autoSpaceDN w:val="0"/>
              <w:adjustRightInd w:val="0"/>
              <w:rPr>
                <w:sz w:val="20"/>
                <w:szCs w:val="20"/>
              </w:rPr>
            </w:pPr>
            <w:r w:rsidRPr="002C306D">
              <w:rPr>
                <w:sz w:val="20"/>
                <w:szCs w:val="20"/>
              </w:rPr>
              <w:t>Entry deregulation*Managerial position</w:t>
            </w:r>
          </w:p>
        </w:tc>
        <w:tc>
          <w:tcPr>
            <w:tcW w:w="1152" w:type="dxa"/>
            <w:tcBorders>
              <w:top w:val="nil"/>
              <w:left w:val="nil"/>
              <w:bottom w:val="nil"/>
              <w:right w:val="nil"/>
            </w:tcBorders>
            <w:vAlign w:val="center"/>
          </w:tcPr>
          <w:p w14:paraId="51FB5EBA" w14:textId="77777777" w:rsidR="003E148C" w:rsidRPr="002C306D" w:rsidRDefault="003E148C" w:rsidP="0026218B">
            <w:pPr>
              <w:widowControl w:val="0"/>
              <w:autoSpaceDE w:val="0"/>
              <w:autoSpaceDN w:val="0"/>
              <w:adjustRightInd w:val="0"/>
              <w:jc w:val="center"/>
              <w:rPr>
                <w:sz w:val="20"/>
                <w:szCs w:val="20"/>
                <w:lang w:eastAsia="fr-FR"/>
              </w:rPr>
            </w:pPr>
          </w:p>
        </w:tc>
        <w:tc>
          <w:tcPr>
            <w:tcW w:w="1152" w:type="dxa"/>
            <w:tcBorders>
              <w:top w:val="nil"/>
              <w:left w:val="nil"/>
              <w:bottom w:val="nil"/>
              <w:right w:val="nil"/>
            </w:tcBorders>
            <w:vAlign w:val="center"/>
          </w:tcPr>
          <w:p w14:paraId="336DF9B6" w14:textId="77777777" w:rsidR="003E148C" w:rsidRPr="002C306D" w:rsidRDefault="003E148C" w:rsidP="0026218B">
            <w:pPr>
              <w:widowControl w:val="0"/>
              <w:autoSpaceDE w:val="0"/>
              <w:autoSpaceDN w:val="0"/>
              <w:adjustRightInd w:val="0"/>
              <w:jc w:val="center"/>
              <w:rPr>
                <w:sz w:val="20"/>
                <w:szCs w:val="20"/>
                <w:lang w:eastAsia="fr-FR"/>
              </w:rPr>
            </w:pPr>
          </w:p>
        </w:tc>
        <w:tc>
          <w:tcPr>
            <w:tcW w:w="1152" w:type="dxa"/>
            <w:tcBorders>
              <w:top w:val="nil"/>
              <w:left w:val="nil"/>
              <w:bottom w:val="nil"/>
              <w:right w:val="nil"/>
            </w:tcBorders>
            <w:vAlign w:val="center"/>
          </w:tcPr>
          <w:p w14:paraId="1D11836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-0.0126</w:t>
            </w:r>
          </w:p>
        </w:tc>
        <w:tc>
          <w:tcPr>
            <w:tcW w:w="1152" w:type="dxa"/>
            <w:tcBorders>
              <w:top w:val="nil"/>
              <w:left w:val="nil"/>
              <w:bottom w:val="nil"/>
              <w:right w:val="nil"/>
            </w:tcBorders>
            <w:vAlign w:val="center"/>
          </w:tcPr>
          <w:p w14:paraId="43EBAAF0"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-0.0178</w:t>
            </w:r>
          </w:p>
        </w:tc>
      </w:tr>
      <w:tr w:rsidR="003E148C" w:rsidRPr="002C306D" w14:paraId="3B0DFDB0" w14:textId="77777777" w:rsidTr="0026218B">
        <w:trPr>
          <w:trHeight w:val="20"/>
        </w:trPr>
        <w:tc>
          <w:tcPr>
            <w:tcW w:w="0" w:type="auto"/>
            <w:tcBorders>
              <w:top w:val="nil"/>
              <w:left w:val="nil"/>
              <w:bottom w:val="nil"/>
              <w:right w:val="nil"/>
            </w:tcBorders>
          </w:tcPr>
          <w:p w14:paraId="62123CF0"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70B8A15F"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76139FB6"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69E3000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(0.0025)</w:t>
            </w:r>
          </w:p>
        </w:tc>
        <w:tc>
          <w:tcPr>
            <w:tcW w:w="1152" w:type="dxa"/>
            <w:tcBorders>
              <w:top w:val="nil"/>
              <w:left w:val="nil"/>
              <w:bottom w:val="nil"/>
              <w:right w:val="nil"/>
            </w:tcBorders>
            <w:vAlign w:val="center"/>
          </w:tcPr>
          <w:p w14:paraId="4484F09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(0.0024)</w:t>
            </w:r>
          </w:p>
        </w:tc>
      </w:tr>
      <w:tr w:rsidR="003E148C" w:rsidRPr="002C306D" w14:paraId="3F432EFD" w14:textId="77777777" w:rsidTr="0026218B">
        <w:trPr>
          <w:trHeight w:val="20"/>
        </w:trPr>
        <w:tc>
          <w:tcPr>
            <w:tcW w:w="0" w:type="auto"/>
            <w:tcBorders>
              <w:top w:val="nil"/>
              <w:left w:val="nil"/>
              <w:bottom w:val="nil"/>
              <w:right w:val="nil"/>
            </w:tcBorders>
          </w:tcPr>
          <w:p w14:paraId="22CA0AF4" w14:textId="77777777" w:rsidR="003E148C" w:rsidRPr="002C306D" w:rsidRDefault="003E148C" w:rsidP="0026218B">
            <w:pPr>
              <w:widowControl w:val="0"/>
              <w:autoSpaceDE w:val="0"/>
              <w:autoSpaceDN w:val="0"/>
              <w:adjustRightInd w:val="0"/>
              <w:rPr>
                <w:sz w:val="20"/>
                <w:szCs w:val="20"/>
              </w:rPr>
            </w:pPr>
            <w:r w:rsidRPr="002C306D">
              <w:rPr>
                <w:sz w:val="20"/>
                <w:szCs w:val="20"/>
              </w:rPr>
              <w:t>Female*Managerial position</w:t>
            </w:r>
          </w:p>
        </w:tc>
        <w:tc>
          <w:tcPr>
            <w:tcW w:w="1152" w:type="dxa"/>
            <w:tcBorders>
              <w:top w:val="nil"/>
              <w:left w:val="nil"/>
              <w:bottom w:val="nil"/>
              <w:right w:val="nil"/>
            </w:tcBorders>
            <w:vAlign w:val="center"/>
          </w:tcPr>
          <w:p w14:paraId="3C12E717"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3C383CE4"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5484C102"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0.0042</w:t>
            </w:r>
          </w:p>
        </w:tc>
        <w:tc>
          <w:tcPr>
            <w:tcW w:w="1152" w:type="dxa"/>
            <w:tcBorders>
              <w:top w:val="nil"/>
              <w:left w:val="nil"/>
              <w:bottom w:val="nil"/>
              <w:right w:val="nil"/>
            </w:tcBorders>
            <w:vAlign w:val="center"/>
          </w:tcPr>
          <w:p w14:paraId="03ED3CD3" w14:textId="77777777" w:rsidR="003E148C" w:rsidRPr="002C306D" w:rsidRDefault="003E148C" w:rsidP="0026218B">
            <w:pPr>
              <w:widowControl w:val="0"/>
              <w:autoSpaceDE w:val="0"/>
              <w:autoSpaceDN w:val="0"/>
              <w:adjustRightInd w:val="0"/>
              <w:jc w:val="center"/>
              <w:rPr>
                <w:sz w:val="20"/>
                <w:szCs w:val="20"/>
                <w:lang w:val="fr-FR" w:eastAsia="fr-FR"/>
              </w:rPr>
            </w:pPr>
          </w:p>
        </w:tc>
      </w:tr>
      <w:tr w:rsidR="003E148C" w:rsidRPr="002C306D" w14:paraId="023DAC3A" w14:textId="77777777" w:rsidTr="0026218B">
        <w:trPr>
          <w:trHeight w:val="20"/>
        </w:trPr>
        <w:tc>
          <w:tcPr>
            <w:tcW w:w="0" w:type="auto"/>
            <w:tcBorders>
              <w:top w:val="nil"/>
              <w:left w:val="nil"/>
              <w:bottom w:val="nil"/>
              <w:right w:val="nil"/>
            </w:tcBorders>
          </w:tcPr>
          <w:p w14:paraId="0F6E6C91"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1A47A330"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494C17DE"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073C78A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(0.0005)</w:t>
            </w:r>
          </w:p>
        </w:tc>
        <w:tc>
          <w:tcPr>
            <w:tcW w:w="1152" w:type="dxa"/>
            <w:tcBorders>
              <w:top w:val="nil"/>
              <w:left w:val="nil"/>
              <w:bottom w:val="nil"/>
              <w:right w:val="nil"/>
            </w:tcBorders>
            <w:vAlign w:val="center"/>
          </w:tcPr>
          <w:p w14:paraId="35EDE381" w14:textId="77777777" w:rsidR="003E148C" w:rsidRPr="002C306D" w:rsidRDefault="003E148C" w:rsidP="0026218B">
            <w:pPr>
              <w:widowControl w:val="0"/>
              <w:autoSpaceDE w:val="0"/>
              <w:autoSpaceDN w:val="0"/>
              <w:adjustRightInd w:val="0"/>
              <w:jc w:val="center"/>
              <w:rPr>
                <w:sz w:val="20"/>
                <w:szCs w:val="20"/>
                <w:lang w:val="fr-FR" w:eastAsia="fr-FR"/>
              </w:rPr>
            </w:pPr>
          </w:p>
        </w:tc>
      </w:tr>
      <w:tr w:rsidR="003E148C" w:rsidRPr="002C306D" w14:paraId="498FF283" w14:textId="77777777" w:rsidTr="0026218B">
        <w:trPr>
          <w:trHeight w:val="20"/>
        </w:trPr>
        <w:tc>
          <w:tcPr>
            <w:tcW w:w="0" w:type="auto"/>
            <w:tcBorders>
              <w:top w:val="nil"/>
              <w:left w:val="nil"/>
              <w:bottom w:val="nil"/>
              <w:right w:val="nil"/>
            </w:tcBorders>
          </w:tcPr>
          <w:p w14:paraId="1304D0D0" w14:textId="77777777" w:rsidR="003E148C" w:rsidRPr="002C306D" w:rsidRDefault="003E148C" w:rsidP="0026218B">
            <w:pPr>
              <w:widowControl w:val="0"/>
              <w:autoSpaceDE w:val="0"/>
              <w:autoSpaceDN w:val="0"/>
              <w:adjustRightInd w:val="0"/>
              <w:rPr>
                <w:sz w:val="20"/>
                <w:szCs w:val="20"/>
              </w:rPr>
            </w:pPr>
            <w:r w:rsidRPr="002C306D">
              <w:rPr>
                <w:sz w:val="20"/>
                <w:szCs w:val="20"/>
              </w:rPr>
              <w:t>Entry deregulation*Female*Managerial position</w:t>
            </w:r>
          </w:p>
        </w:tc>
        <w:tc>
          <w:tcPr>
            <w:tcW w:w="1152" w:type="dxa"/>
            <w:tcBorders>
              <w:top w:val="nil"/>
              <w:left w:val="nil"/>
              <w:bottom w:val="nil"/>
              <w:right w:val="nil"/>
            </w:tcBorders>
            <w:vAlign w:val="center"/>
          </w:tcPr>
          <w:p w14:paraId="3ACB87B1" w14:textId="77777777" w:rsidR="003E148C" w:rsidRPr="002C306D" w:rsidRDefault="003E148C" w:rsidP="0026218B">
            <w:pPr>
              <w:widowControl w:val="0"/>
              <w:autoSpaceDE w:val="0"/>
              <w:autoSpaceDN w:val="0"/>
              <w:adjustRightInd w:val="0"/>
              <w:jc w:val="center"/>
              <w:rPr>
                <w:sz w:val="20"/>
                <w:szCs w:val="20"/>
                <w:lang w:eastAsia="fr-FR"/>
              </w:rPr>
            </w:pPr>
          </w:p>
        </w:tc>
        <w:tc>
          <w:tcPr>
            <w:tcW w:w="1152" w:type="dxa"/>
            <w:tcBorders>
              <w:top w:val="nil"/>
              <w:left w:val="nil"/>
              <w:bottom w:val="nil"/>
              <w:right w:val="nil"/>
            </w:tcBorders>
            <w:vAlign w:val="center"/>
          </w:tcPr>
          <w:p w14:paraId="2D2170C3" w14:textId="77777777" w:rsidR="003E148C" w:rsidRPr="002C306D" w:rsidRDefault="003E148C" w:rsidP="0026218B">
            <w:pPr>
              <w:widowControl w:val="0"/>
              <w:autoSpaceDE w:val="0"/>
              <w:autoSpaceDN w:val="0"/>
              <w:adjustRightInd w:val="0"/>
              <w:jc w:val="center"/>
              <w:rPr>
                <w:sz w:val="20"/>
                <w:szCs w:val="20"/>
                <w:lang w:eastAsia="fr-FR"/>
              </w:rPr>
            </w:pPr>
            <w:r w:rsidRPr="002C306D">
              <w:rPr>
                <w:noProof/>
                <w:sz w:val="20"/>
                <w:szCs w:val="20"/>
              </w:rPr>
              <mc:AlternateContent>
                <mc:Choice Requires="wpi">
                  <w:drawing>
                    <wp:anchor distT="0" distB="0" distL="114300" distR="114300" simplePos="0" relativeHeight="251663360" behindDoc="0" locked="0" layoutInCell="1" allowOverlap="1" wp14:anchorId="328892CB" wp14:editId="3C743D87">
                      <wp:simplePos x="0" y="0"/>
                      <wp:positionH relativeFrom="column">
                        <wp:posOffset>292645</wp:posOffset>
                      </wp:positionH>
                      <wp:positionV relativeFrom="paragraph">
                        <wp:posOffset>158825</wp:posOffset>
                      </wp:positionV>
                      <wp:extent cx="7920" cy="15120"/>
                      <wp:effectExtent l="57150" t="57150" r="49530" b="42545"/>
                      <wp:wrapNone/>
                      <wp:docPr id="7" name="Ink 7"/>
                      <wp:cNvGraphicFramePr/>
                      <a:graphic xmlns:a="http://schemas.openxmlformats.org/drawingml/2006/main">
                        <a:graphicData uri="http://schemas.microsoft.com/office/word/2010/wordprocessingInk">
                          <w14:contentPart bwMode="auto" r:id="rId10">
                            <w14:nvContentPartPr>
                              <w14:cNvContentPartPr/>
                            </w14:nvContentPartPr>
                            <w14:xfrm>
                              <a:off x="0" y="0"/>
                              <a:ext cx="7920" cy="15120"/>
                            </w14:xfrm>
                          </w14:contentPart>
                        </a:graphicData>
                      </a:graphic>
                      <wp14:sizeRelH relativeFrom="margin">
                        <wp14:pctWidth>0</wp14:pctWidth>
                      </wp14:sizeRelH>
                      <wp14:sizeRelV relativeFrom="margin">
                        <wp14:pctHeight>0</wp14:pctHeight>
                      </wp14:sizeRelV>
                    </wp:anchor>
                  </w:drawing>
                </mc:Choice>
                <mc:Fallback>
                  <w:pict>
                    <v:shapetype w14:anchorId="6E51F8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22.3pt;margin-top:11.75pt;width:2.1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Nvz+IAQAAKQMAAA4AAABkcnMvZTJvRG9jLnhtbJxSy27CMBC8V+o/&#10;WL6XkBRKiUg4FFXiUMqh/QDXsYnV2ButHQJ/3w2PAq2qSlyitSeendnZyXRjK7ZW6A24jMe9PmfK&#10;SSiMW2X8/e357pEzH4QrRAVOZXyrPJ/mtzeTtk5VAiVUhUJGJM6nbZ3xMoQ6jSIvS2WF70GtHIEa&#10;0IpAR1xFBYqW2G0VJf3+Q9QCFjWCVN7T7WwP8nzHr7WS4VVrrwKrMj4eJGPOAhVJQjqRivthzNlH&#10;VzwMeZRPRLpCUZdGHiSJKxRZYRwJ+KaaiSBYg+YXlTUSwYMOPQk2Aq2NVDs/5Czu/3A2d5+dq3gg&#10;G0wluKBcWAoMx9ntgGta2Iom0L5AQemIJgA/MNJ4/g9jL3oGsrGkZ58IqkoEWgdfmtrTmFNTZBzn&#10;RXzS79ZPJwdLPPlarJfIuv9HnDlhSRL5ZqMumqP1xeVbQqID9BfrRqPt8iCxbJNxin7bfXdxq01g&#10;ki5H424lJAHxMKbyjHb//NjkbPTU+SLk83On6mzD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dEpyb4QAAAAwBAAAPAAAAZHJzL2Rvd25yZXYueG1sTE9NS8NAEL0L/odl&#10;BC9iN23TUtJsilgECx600YO3aXZMotnZkN228d87nvQyw+PNvI98M7pOnWgIrWcD00kCirjytuXa&#10;wGv5cLsCFSKyxc4zGfimAJvi8iLHzPozv9BpH2slIhwyNNDE2Gdah6ohh2Hie2LhPvzgMAocam0H&#10;PIu46/QsSZbaYcvi0GBP9w1VX/ujM7BbPD3P8X18LG/Q4tvntj9Py50x11fjdi3jbg0q0hj/PuC3&#10;g+SHQoId/JFtUJ2BNF3KpYHZfAFK+HQldQ6CZesi1/9LFD8AAAD//wMAUEsDBBQABgAIAAAAIQBC&#10;VvQ2KQIAABEFAAAQAAAAZHJzL2luay9pbmsxLnhtbLSUS2+cMBDH75X6HSz30AsGPwADCptTV6rU&#10;SlWSSu2RgLNYAbMy3ke+fYfHshtl01MrJLBnPD/P/D3m5vbYNmivbK87k2PmU4yUKbtKm02Ofz6s&#10;SYJR7wpTFU1nVI5fVI9vVx8/3Gjz3DYZvBEQTD+M2ibHtXPbLAgOh4N/EH5nNwGnVARfzfP3b3g1&#10;R1XqSRvtYMv+ZCo749TRDbBMVzku3ZEu64F93+1sqRb3YLHleYWzRanWnW0LtxDrwhjVIFO0kPcv&#10;jNzLFgYa9tkoi1GroWDCfRbKMPmSgqE45vhivoMUe8ikxcF15u//wFy/ZQ5pCS5jidGcUqX2Q07B&#10;qHn2fu0/bLdV1ml1lnkSZXa8oHKaj/pMQlnVd81uOBuM9kWzA8kYpdAW894suCLIWx5o8095oMu7&#10;vMvkXkszl3epwyza0lKno3W6VdDo7XbpMdcDeDDfOzteB05ZShgjLHxgLKNxRqXPeXhxFHMXn5iP&#10;dtfXC+/Rnvt19CyqTZUddOXqRXTq02gR/VLya6G10pva/S12LnsMXjrnyj0cmwnNddyppxx/Gq8i&#10;GiMnw1hIyBmKmEQpDVPvMx0eD3NMMUuE8AhHlIwjiiIkY+oJwkiYJB4Rgyf2KGIoTDxKIiJoCFOB&#10;eDx8GRF8/CQUMATiGPc4jEKYw56Egx/MnESABaogclgB2IhGHuAR/HLSOQUp42kNT6UEp0ChjMSr&#10;q7PIAT2x+gMAAP//AwBQSwECLQAUAAYACAAAACEAmzMnNwwBAAAtAgAAEwAAAAAAAAAAAAAAAAAA&#10;AAAAW0NvbnRlbnRfVHlwZXNdLnhtbFBLAQItABQABgAIAAAAIQA4/SH/1gAAAJQBAAALAAAAAAAA&#10;AAAAAAAAAD0BAABfcmVscy8ucmVsc1BLAQItABQABgAIAAAAIQCoTb8/iAEAACkDAAAOAAAAAAAA&#10;AAAAAAAAADwCAABkcnMvZTJvRG9jLnhtbFBLAQItABQABgAIAAAAIQB5GLydvwAAACEBAAAZAAAA&#10;AAAAAAAAAAAAAPADAABkcnMvX3JlbHMvZTJvRG9jLnhtbC5yZWxzUEsBAi0AFAAGAAgAAAAhAN0S&#10;nJvhAAAADAEAAA8AAAAAAAAAAAAAAAAA5gQAAGRycy9kb3ducmV2LnhtbFBLAQItABQABgAIAAAA&#10;IQBCVvQ2KQIAABEFAAAQAAAAAAAAAAAAAAAAAPQFAABkcnMvaW5rL2luazEueG1sUEsFBgAAAAAG&#10;AAYAeAEAAEsIAAAAAA==&#10;">
                      <v:imagedata r:id="rId12" o:title=""/>
                    </v:shape>
                  </w:pict>
                </mc:Fallback>
              </mc:AlternateContent>
            </w:r>
          </w:p>
        </w:tc>
        <w:tc>
          <w:tcPr>
            <w:tcW w:w="1152" w:type="dxa"/>
            <w:tcBorders>
              <w:top w:val="nil"/>
              <w:left w:val="nil"/>
              <w:bottom w:val="nil"/>
              <w:right w:val="nil"/>
            </w:tcBorders>
            <w:vAlign w:val="center"/>
          </w:tcPr>
          <w:p w14:paraId="76EFAC0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0.0031</w:t>
            </w:r>
          </w:p>
        </w:tc>
        <w:tc>
          <w:tcPr>
            <w:tcW w:w="1152" w:type="dxa"/>
            <w:tcBorders>
              <w:top w:val="nil"/>
              <w:left w:val="nil"/>
              <w:bottom w:val="nil"/>
              <w:right w:val="nil"/>
            </w:tcBorders>
            <w:vAlign w:val="center"/>
          </w:tcPr>
          <w:p w14:paraId="63A845F0"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0.0037</w:t>
            </w:r>
          </w:p>
        </w:tc>
      </w:tr>
      <w:tr w:rsidR="003E148C" w:rsidRPr="002C306D" w14:paraId="09FDECEA" w14:textId="77777777" w:rsidTr="0026218B">
        <w:trPr>
          <w:trHeight w:val="20"/>
        </w:trPr>
        <w:tc>
          <w:tcPr>
            <w:tcW w:w="0" w:type="auto"/>
            <w:tcBorders>
              <w:top w:val="nil"/>
              <w:left w:val="nil"/>
              <w:bottom w:val="nil"/>
              <w:right w:val="nil"/>
            </w:tcBorders>
          </w:tcPr>
          <w:p w14:paraId="32575BC4"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5C682F50"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23EC0A59" w14:textId="77777777" w:rsidR="003E148C" w:rsidRPr="002C306D" w:rsidRDefault="003E148C" w:rsidP="0026218B">
            <w:pPr>
              <w:widowControl w:val="0"/>
              <w:autoSpaceDE w:val="0"/>
              <w:autoSpaceDN w:val="0"/>
              <w:adjustRightInd w:val="0"/>
              <w:rPr>
                <w:sz w:val="20"/>
                <w:szCs w:val="20"/>
                <w:lang w:val="fr-FR" w:eastAsia="fr-FR"/>
              </w:rPr>
            </w:pPr>
          </w:p>
        </w:tc>
        <w:tc>
          <w:tcPr>
            <w:tcW w:w="1152" w:type="dxa"/>
            <w:tcBorders>
              <w:top w:val="nil"/>
              <w:left w:val="nil"/>
              <w:bottom w:val="nil"/>
              <w:right w:val="nil"/>
            </w:tcBorders>
            <w:vAlign w:val="center"/>
          </w:tcPr>
          <w:p w14:paraId="3155BC98"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(0.0007)</w:t>
            </w:r>
          </w:p>
        </w:tc>
        <w:tc>
          <w:tcPr>
            <w:tcW w:w="1152" w:type="dxa"/>
            <w:tcBorders>
              <w:top w:val="nil"/>
              <w:left w:val="nil"/>
              <w:bottom w:val="nil"/>
              <w:right w:val="nil"/>
            </w:tcBorders>
            <w:vAlign w:val="center"/>
          </w:tcPr>
          <w:p w14:paraId="4130D8E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(0.0006)</w:t>
            </w:r>
          </w:p>
        </w:tc>
      </w:tr>
      <w:tr w:rsidR="003E148C" w:rsidRPr="002C306D" w14:paraId="4CB5466A" w14:textId="77777777" w:rsidTr="0026218B">
        <w:trPr>
          <w:trHeight w:val="20"/>
        </w:trPr>
        <w:tc>
          <w:tcPr>
            <w:tcW w:w="0" w:type="auto"/>
            <w:tcBorders>
              <w:top w:val="nil"/>
              <w:left w:val="nil"/>
              <w:bottom w:val="nil"/>
              <w:right w:val="nil"/>
            </w:tcBorders>
          </w:tcPr>
          <w:p w14:paraId="6D767C0F" w14:textId="77777777" w:rsidR="003E148C" w:rsidRPr="002C306D" w:rsidRDefault="003E148C" w:rsidP="0026218B">
            <w:pPr>
              <w:widowControl w:val="0"/>
              <w:autoSpaceDE w:val="0"/>
              <w:autoSpaceDN w:val="0"/>
              <w:adjustRightInd w:val="0"/>
              <w:rPr>
                <w:sz w:val="20"/>
                <w:szCs w:val="20"/>
              </w:rPr>
            </w:pPr>
            <w:r w:rsidRPr="002C306D">
              <w:rPr>
                <w:sz w:val="20"/>
                <w:szCs w:val="20"/>
              </w:rPr>
              <w:t>Age</w:t>
            </w:r>
          </w:p>
        </w:tc>
        <w:tc>
          <w:tcPr>
            <w:tcW w:w="1152" w:type="dxa"/>
            <w:tcBorders>
              <w:top w:val="nil"/>
              <w:left w:val="nil"/>
              <w:bottom w:val="nil"/>
              <w:right w:val="nil"/>
            </w:tcBorders>
            <w:vAlign w:val="center"/>
          </w:tcPr>
          <w:p w14:paraId="75824E59"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0.0008</w:t>
            </w:r>
          </w:p>
        </w:tc>
        <w:tc>
          <w:tcPr>
            <w:tcW w:w="1152" w:type="dxa"/>
            <w:tcBorders>
              <w:top w:val="nil"/>
              <w:left w:val="nil"/>
              <w:bottom w:val="nil"/>
              <w:right w:val="nil"/>
            </w:tcBorders>
            <w:vAlign w:val="center"/>
          </w:tcPr>
          <w:p w14:paraId="230492C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0.0006</w:t>
            </w:r>
          </w:p>
        </w:tc>
        <w:tc>
          <w:tcPr>
            <w:tcW w:w="1152" w:type="dxa"/>
            <w:tcBorders>
              <w:top w:val="nil"/>
              <w:left w:val="nil"/>
              <w:bottom w:val="nil"/>
              <w:right w:val="nil"/>
            </w:tcBorders>
            <w:vAlign w:val="center"/>
          </w:tcPr>
          <w:p w14:paraId="017F0202"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0.0009</w:t>
            </w:r>
          </w:p>
        </w:tc>
        <w:tc>
          <w:tcPr>
            <w:tcW w:w="1152" w:type="dxa"/>
            <w:tcBorders>
              <w:top w:val="nil"/>
              <w:left w:val="nil"/>
              <w:bottom w:val="nil"/>
              <w:right w:val="nil"/>
            </w:tcBorders>
            <w:vAlign w:val="center"/>
          </w:tcPr>
          <w:p w14:paraId="007CBEE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0.0003</w:t>
            </w:r>
          </w:p>
        </w:tc>
      </w:tr>
      <w:tr w:rsidR="003E148C" w:rsidRPr="002C306D" w14:paraId="423C515E" w14:textId="77777777" w:rsidTr="0026218B">
        <w:trPr>
          <w:trHeight w:val="20"/>
        </w:trPr>
        <w:tc>
          <w:tcPr>
            <w:tcW w:w="0" w:type="auto"/>
            <w:tcBorders>
              <w:top w:val="nil"/>
              <w:left w:val="nil"/>
              <w:bottom w:val="nil"/>
              <w:right w:val="nil"/>
            </w:tcBorders>
          </w:tcPr>
          <w:p w14:paraId="615B3E50"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0472609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32EFB54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31094DE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4CFDDE0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r>
      <w:tr w:rsidR="003E148C" w:rsidRPr="002C306D" w14:paraId="76FD1DC5" w14:textId="77777777" w:rsidTr="0026218B">
        <w:trPr>
          <w:trHeight w:val="20"/>
        </w:trPr>
        <w:tc>
          <w:tcPr>
            <w:tcW w:w="0" w:type="auto"/>
            <w:tcBorders>
              <w:top w:val="nil"/>
              <w:left w:val="nil"/>
              <w:bottom w:val="nil"/>
              <w:right w:val="nil"/>
            </w:tcBorders>
          </w:tcPr>
          <w:p w14:paraId="1F0A6947" w14:textId="77777777" w:rsidR="003E148C" w:rsidRPr="002C306D" w:rsidRDefault="003E148C" w:rsidP="0026218B">
            <w:pPr>
              <w:widowControl w:val="0"/>
              <w:autoSpaceDE w:val="0"/>
              <w:autoSpaceDN w:val="0"/>
              <w:adjustRightInd w:val="0"/>
              <w:rPr>
                <w:sz w:val="20"/>
                <w:szCs w:val="20"/>
              </w:rPr>
            </w:pPr>
            <w:r w:rsidRPr="002C306D">
              <w:rPr>
                <w:sz w:val="20"/>
                <w:szCs w:val="20"/>
              </w:rPr>
              <w:t>Age squared</w:t>
            </w:r>
          </w:p>
        </w:tc>
        <w:tc>
          <w:tcPr>
            <w:tcW w:w="1152" w:type="dxa"/>
            <w:tcBorders>
              <w:top w:val="nil"/>
              <w:left w:val="nil"/>
              <w:bottom w:val="nil"/>
              <w:right w:val="nil"/>
            </w:tcBorders>
            <w:vAlign w:val="center"/>
          </w:tcPr>
          <w:p w14:paraId="6D75925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527D2E96"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277115D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3860DCA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r>
      <w:tr w:rsidR="003E148C" w:rsidRPr="002C306D" w14:paraId="348AE77C" w14:textId="77777777" w:rsidTr="0026218B">
        <w:trPr>
          <w:trHeight w:val="20"/>
        </w:trPr>
        <w:tc>
          <w:tcPr>
            <w:tcW w:w="0" w:type="auto"/>
            <w:tcBorders>
              <w:top w:val="nil"/>
              <w:left w:val="nil"/>
              <w:bottom w:val="nil"/>
              <w:right w:val="nil"/>
            </w:tcBorders>
          </w:tcPr>
          <w:p w14:paraId="676C167C"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38A7801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0CE8F108"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5F73861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6DECE7F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r>
      <w:tr w:rsidR="003E148C" w:rsidRPr="002C306D" w14:paraId="6D31B16B" w14:textId="77777777" w:rsidTr="0026218B">
        <w:trPr>
          <w:trHeight w:val="20"/>
        </w:trPr>
        <w:tc>
          <w:tcPr>
            <w:tcW w:w="0" w:type="auto"/>
            <w:tcBorders>
              <w:top w:val="nil"/>
              <w:left w:val="nil"/>
              <w:bottom w:val="nil"/>
              <w:right w:val="nil"/>
            </w:tcBorders>
          </w:tcPr>
          <w:p w14:paraId="4FDF5F48" w14:textId="77777777" w:rsidR="003E148C" w:rsidRPr="002C306D" w:rsidRDefault="003E148C" w:rsidP="0026218B">
            <w:pPr>
              <w:widowControl w:val="0"/>
              <w:autoSpaceDE w:val="0"/>
              <w:autoSpaceDN w:val="0"/>
              <w:adjustRightInd w:val="0"/>
              <w:rPr>
                <w:sz w:val="20"/>
                <w:szCs w:val="20"/>
              </w:rPr>
            </w:pPr>
            <w:r w:rsidRPr="002C306D">
              <w:rPr>
                <w:sz w:val="20"/>
                <w:szCs w:val="20"/>
              </w:rPr>
              <w:t>Mid education</w:t>
            </w:r>
          </w:p>
        </w:tc>
        <w:tc>
          <w:tcPr>
            <w:tcW w:w="1152" w:type="dxa"/>
            <w:tcBorders>
              <w:top w:val="nil"/>
              <w:left w:val="nil"/>
              <w:bottom w:val="nil"/>
              <w:right w:val="nil"/>
            </w:tcBorders>
            <w:vAlign w:val="center"/>
          </w:tcPr>
          <w:p w14:paraId="475721D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0.0012</w:t>
            </w:r>
          </w:p>
        </w:tc>
        <w:tc>
          <w:tcPr>
            <w:tcW w:w="1152" w:type="dxa"/>
            <w:tcBorders>
              <w:top w:val="nil"/>
              <w:left w:val="nil"/>
              <w:bottom w:val="nil"/>
              <w:right w:val="nil"/>
            </w:tcBorders>
            <w:vAlign w:val="center"/>
          </w:tcPr>
          <w:p w14:paraId="74B97F3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0.0024</w:t>
            </w:r>
          </w:p>
        </w:tc>
        <w:tc>
          <w:tcPr>
            <w:tcW w:w="1152" w:type="dxa"/>
            <w:tcBorders>
              <w:top w:val="nil"/>
              <w:left w:val="nil"/>
              <w:bottom w:val="nil"/>
              <w:right w:val="nil"/>
            </w:tcBorders>
            <w:vAlign w:val="center"/>
          </w:tcPr>
          <w:p w14:paraId="0B52E3A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0.0016</w:t>
            </w:r>
          </w:p>
        </w:tc>
        <w:tc>
          <w:tcPr>
            <w:tcW w:w="1152" w:type="dxa"/>
            <w:tcBorders>
              <w:top w:val="nil"/>
              <w:left w:val="nil"/>
              <w:bottom w:val="nil"/>
              <w:right w:val="nil"/>
            </w:tcBorders>
            <w:vAlign w:val="center"/>
          </w:tcPr>
          <w:p w14:paraId="05F39898"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0.0023</w:t>
            </w:r>
          </w:p>
        </w:tc>
      </w:tr>
      <w:tr w:rsidR="003E148C" w:rsidRPr="002C306D" w14:paraId="3F98305F" w14:textId="77777777" w:rsidTr="0026218B">
        <w:trPr>
          <w:trHeight w:val="20"/>
        </w:trPr>
        <w:tc>
          <w:tcPr>
            <w:tcW w:w="0" w:type="auto"/>
            <w:tcBorders>
              <w:top w:val="nil"/>
              <w:left w:val="nil"/>
              <w:bottom w:val="nil"/>
              <w:right w:val="nil"/>
            </w:tcBorders>
          </w:tcPr>
          <w:p w14:paraId="26704A89"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3CE83C9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34685580"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21A4ECA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4F16FA96"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r>
      <w:tr w:rsidR="003E148C" w:rsidRPr="002C306D" w14:paraId="13D96B3F" w14:textId="77777777" w:rsidTr="0026218B">
        <w:trPr>
          <w:trHeight w:val="20"/>
        </w:trPr>
        <w:tc>
          <w:tcPr>
            <w:tcW w:w="0" w:type="auto"/>
            <w:tcBorders>
              <w:top w:val="nil"/>
              <w:left w:val="nil"/>
              <w:bottom w:val="nil"/>
              <w:right w:val="nil"/>
            </w:tcBorders>
          </w:tcPr>
          <w:p w14:paraId="4C848B38" w14:textId="77777777" w:rsidR="003E148C" w:rsidRPr="002C306D" w:rsidRDefault="003E148C" w:rsidP="0026218B">
            <w:pPr>
              <w:widowControl w:val="0"/>
              <w:autoSpaceDE w:val="0"/>
              <w:autoSpaceDN w:val="0"/>
              <w:adjustRightInd w:val="0"/>
              <w:rPr>
                <w:sz w:val="20"/>
                <w:szCs w:val="20"/>
              </w:rPr>
            </w:pPr>
            <w:r w:rsidRPr="002C306D">
              <w:rPr>
                <w:sz w:val="20"/>
                <w:szCs w:val="20"/>
              </w:rPr>
              <w:t>High education</w:t>
            </w:r>
          </w:p>
        </w:tc>
        <w:tc>
          <w:tcPr>
            <w:tcW w:w="1152" w:type="dxa"/>
            <w:tcBorders>
              <w:top w:val="nil"/>
              <w:left w:val="nil"/>
              <w:bottom w:val="nil"/>
              <w:right w:val="nil"/>
            </w:tcBorders>
            <w:vAlign w:val="center"/>
          </w:tcPr>
          <w:p w14:paraId="13DDD3F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-0.0019</w:t>
            </w:r>
          </w:p>
        </w:tc>
        <w:tc>
          <w:tcPr>
            <w:tcW w:w="1152" w:type="dxa"/>
            <w:tcBorders>
              <w:top w:val="nil"/>
              <w:left w:val="nil"/>
              <w:bottom w:val="nil"/>
              <w:right w:val="nil"/>
            </w:tcBorders>
            <w:vAlign w:val="center"/>
          </w:tcPr>
          <w:p w14:paraId="40195E6E"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0.0012</w:t>
            </w:r>
          </w:p>
        </w:tc>
        <w:tc>
          <w:tcPr>
            <w:tcW w:w="1152" w:type="dxa"/>
            <w:tcBorders>
              <w:top w:val="nil"/>
              <w:left w:val="nil"/>
              <w:bottom w:val="nil"/>
              <w:right w:val="nil"/>
            </w:tcBorders>
            <w:vAlign w:val="center"/>
          </w:tcPr>
          <w:p w14:paraId="2848888A"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0.0004</w:t>
            </w:r>
          </w:p>
        </w:tc>
        <w:tc>
          <w:tcPr>
            <w:tcW w:w="1152" w:type="dxa"/>
            <w:tcBorders>
              <w:top w:val="nil"/>
              <w:left w:val="nil"/>
              <w:bottom w:val="nil"/>
              <w:right w:val="nil"/>
            </w:tcBorders>
            <w:vAlign w:val="center"/>
          </w:tcPr>
          <w:p w14:paraId="01AAE32A"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0.0015</w:t>
            </w:r>
          </w:p>
        </w:tc>
      </w:tr>
      <w:tr w:rsidR="003E148C" w:rsidRPr="002C306D" w14:paraId="69ED7843" w14:textId="77777777" w:rsidTr="0026218B">
        <w:trPr>
          <w:trHeight w:val="20"/>
        </w:trPr>
        <w:tc>
          <w:tcPr>
            <w:tcW w:w="0" w:type="auto"/>
            <w:tcBorders>
              <w:top w:val="nil"/>
              <w:left w:val="nil"/>
              <w:bottom w:val="nil"/>
              <w:right w:val="nil"/>
            </w:tcBorders>
          </w:tcPr>
          <w:p w14:paraId="16F41114"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2C3FF7C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(0.0003)</w:t>
            </w:r>
          </w:p>
        </w:tc>
        <w:tc>
          <w:tcPr>
            <w:tcW w:w="1152" w:type="dxa"/>
            <w:tcBorders>
              <w:top w:val="nil"/>
              <w:left w:val="nil"/>
              <w:bottom w:val="nil"/>
              <w:right w:val="nil"/>
            </w:tcBorders>
            <w:vAlign w:val="center"/>
          </w:tcPr>
          <w:p w14:paraId="2D12042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(0.0004)</w:t>
            </w:r>
          </w:p>
        </w:tc>
        <w:tc>
          <w:tcPr>
            <w:tcW w:w="1152" w:type="dxa"/>
            <w:tcBorders>
              <w:top w:val="nil"/>
              <w:left w:val="nil"/>
              <w:bottom w:val="nil"/>
              <w:right w:val="nil"/>
            </w:tcBorders>
            <w:vAlign w:val="center"/>
          </w:tcPr>
          <w:p w14:paraId="273745F5"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(0.0005)</w:t>
            </w:r>
          </w:p>
        </w:tc>
        <w:tc>
          <w:tcPr>
            <w:tcW w:w="1152" w:type="dxa"/>
            <w:tcBorders>
              <w:top w:val="nil"/>
              <w:left w:val="nil"/>
              <w:bottom w:val="nil"/>
              <w:right w:val="nil"/>
            </w:tcBorders>
            <w:vAlign w:val="center"/>
          </w:tcPr>
          <w:p w14:paraId="0E839B6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(0.0004)</w:t>
            </w:r>
          </w:p>
        </w:tc>
      </w:tr>
      <w:tr w:rsidR="003E148C" w:rsidRPr="002C306D" w14:paraId="766A04CF" w14:textId="77777777" w:rsidTr="0026218B">
        <w:trPr>
          <w:trHeight w:val="20"/>
        </w:trPr>
        <w:tc>
          <w:tcPr>
            <w:tcW w:w="0" w:type="auto"/>
            <w:tcBorders>
              <w:top w:val="nil"/>
              <w:left w:val="nil"/>
              <w:bottom w:val="nil"/>
              <w:right w:val="nil"/>
            </w:tcBorders>
          </w:tcPr>
          <w:p w14:paraId="562B84DF" w14:textId="77777777" w:rsidR="003E148C" w:rsidRPr="002C306D" w:rsidRDefault="003E148C" w:rsidP="0026218B">
            <w:pPr>
              <w:widowControl w:val="0"/>
              <w:autoSpaceDE w:val="0"/>
              <w:autoSpaceDN w:val="0"/>
              <w:adjustRightInd w:val="0"/>
              <w:rPr>
                <w:sz w:val="20"/>
                <w:szCs w:val="20"/>
              </w:rPr>
            </w:pPr>
            <w:r w:rsidRPr="002C306D">
              <w:rPr>
                <w:sz w:val="20"/>
                <w:szCs w:val="20"/>
              </w:rPr>
              <w:t>Hours worked (ln)</w:t>
            </w:r>
          </w:p>
        </w:tc>
        <w:tc>
          <w:tcPr>
            <w:tcW w:w="1152" w:type="dxa"/>
            <w:tcBorders>
              <w:top w:val="nil"/>
              <w:left w:val="nil"/>
              <w:bottom w:val="nil"/>
              <w:right w:val="nil"/>
            </w:tcBorders>
            <w:vAlign w:val="center"/>
          </w:tcPr>
          <w:p w14:paraId="5E95336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-0.0067</w:t>
            </w:r>
          </w:p>
        </w:tc>
        <w:tc>
          <w:tcPr>
            <w:tcW w:w="1152" w:type="dxa"/>
            <w:tcBorders>
              <w:top w:val="nil"/>
              <w:left w:val="nil"/>
              <w:bottom w:val="nil"/>
              <w:right w:val="nil"/>
            </w:tcBorders>
            <w:vAlign w:val="center"/>
          </w:tcPr>
          <w:p w14:paraId="1CE0FE4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-0.0095</w:t>
            </w:r>
          </w:p>
        </w:tc>
        <w:tc>
          <w:tcPr>
            <w:tcW w:w="1152" w:type="dxa"/>
            <w:tcBorders>
              <w:top w:val="nil"/>
              <w:left w:val="nil"/>
              <w:bottom w:val="nil"/>
              <w:right w:val="nil"/>
            </w:tcBorders>
            <w:vAlign w:val="center"/>
          </w:tcPr>
          <w:p w14:paraId="7E88F00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-0.0068</w:t>
            </w:r>
          </w:p>
        </w:tc>
        <w:tc>
          <w:tcPr>
            <w:tcW w:w="1152" w:type="dxa"/>
            <w:tcBorders>
              <w:top w:val="nil"/>
              <w:left w:val="nil"/>
              <w:bottom w:val="nil"/>
              <w:right w:val="nil"/>
            </w:tcBorders>
            <w:vAlign w:val="center"/>
          </w:tcPr>
          <w:p w14:paraId="666CC90E"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-0.0094</w:t>
            </w:r>
          </w:p>
        </w:tc>
      </w:tr>
      <w:tr w:rsidR="003E148C" w:rsidRPr="002C306D" w14:paraId="3EF097B2" w14:textId="77777777" w:rsidTr="0026218B">
        <w:trPr>
          <w:trHeight w:val="20"/>
        </w:trPr>
        <w:tc>
          <w:tcPr>
            <w:tcW w:w="0" w:type="auto"/>
            <w:tcBorders>
              <w:top w:val="nil"/>
              <w:left w:val="nil"/>
              <w:bottom w:val="nil"/>
              <w:right w:val="nil"/>
            </w:tcBorders>
          </w:tcPr>
          <w:p w14:paraId="5C477A86"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3D34544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c>
          <w:tcPr>
            <w:tcW w:w="1152" w:type="dxa"/>
            <w:tcBorders>
              <w:top w:val="nil"/>
              <w:left w:val="nil"/>
              <w:bottom w:val="nil"/>
              <w:right w:val="nil"/>
            </w:tcBorders>
            <w:vAlign w:val="center"/>
          </w:tcPr>
          <w:p w14:paraId="1B92DDD9"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(0.0003)</w:t>
            </w:r>
          </w:p>
        </w:tc>
        <w:tc>
          <w:tcPr>
            <w:tcW w:w="1152" w:type="dxa"/>
            <w:tcBorders>
              <w:top w:val="nil"/>
              <w:left w:val="nil"/>
              <w:bottom w:val="nil"/>
              <w:right w:val="nil"/>
            </w:tcBorders>
            <w:vAlign w:val="center"/>
          </w:tcPr>
          <w:p w14:paraId="6C55996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c>
          <w:tcPr>
            <w:tcW w:w="1152" w:type="dxa"/>
            <w:tcBorders>
              <w:top w:val="nil"/>
              <w:left w:val="nil"/>
              <w:bottom w:val="nil"/>
              <w:right w:val="nil"/>
            </w:tcBorders>
            <w:vAlign w:val="center"/>
          </w:tcPr>
          <w:p w14:paraId="2AEC1BB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(0.0003)</w:t>
            </w:r>
          </w:p>
        </w:tc>
      </w:tr>
      <w:tr w:rsidR="003E148C" w:rsidRPr="002C306D" w14:paraId="5F3EA9E1" w14:textId="77777777" w:rsidTr="0026218B">
        <w:trPr>
          <w:trHeight w:val="20"/>
        </w:trPr>
        <w:tc>
          <w:tcPr>
            <w:tcW w:w="0" w:type="auto"/>
            <w:tcBorders>
              <w:top w:val="nil"/>
              <w:left w:val="nil"/>
              <w:bottom w:val="nil"/>
              <w:right w:val="nil"/>
            </w:tcBorders>
          </w:tcPr>
          <w:p w14:paraId="2EF85B6F" w14:textId="77777777" w:rsidR="003E148C" w:rsidRPr="002C306D" w:rsidRDefault="003E148C" w:rsidP="0026218B">
            <w:pPr>
              <w:widowControl w:val="0"/>
              <w:autoSpaceDE w:val="0"/>
              <w:autoSpaceDN w:val="0"/>
              <w:adjustRightInd w:val="0"/>
              <w:rPr>
                <w:sz w:val="20"/>
                <w:szCs w:val="20"/>
              </w:rPr>
            </w:pPr>
            <w:r w:rsidRPr="002C306D">
              <w:rPr>
                <w:sz w:val="20"/>
                <w:szCs w:val="20"/>
              </w:rPr>
              <w:t>Mid qualification</w:t>
            </w:r>
          </w:p>
        </w:tc>
        <w:tc>
          <w:tcPr>
            <w:tcW w:w="1152" w:type="dxa"/>
            <w:tcBorders>
              <w:top w:val="nil"/>
              <w:left w:val="nil"/>
              <w:bottom w:val="nil"/>
              <w:right w:val="nil"/>
            </w:tcBorders>
            <w:vAlign w:val="center"/>
          </w:tcPr>
          <w:p w14:paraId="08D88E0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0.0004</w:t>
            </w:r>
          </w:p>
        </w:tc>
        <w:tc>
          <w:tcPr>
            <w:tcW w:w="1152" w:type="dxa"/>
            <w:tcBorders>
              <w:top w:val="nil"/>
              <w:left w:val="nil"/>
              <w:bottom w:val="nil"/>
              <w:right w:val="nil"/>
            </w:tcBorders>
            <w:vAlign w:val="center"/>
          </w:tcPr>
          <w:p w14:paraId="76CCD70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0.0016</w:t>
            </w:r>
          </w:p>
        </w:tc>
        <w:tc>
          <w:tcPr>
            <w:tcW w:w="1152" w:type="dxa"/>
            <w:tcBorders>
              <w:top w:val="nil"/>
              <w:left w:val="nil"/>
              <w:bottom w:val="nil"/>
              <w:right w:val="nil"/>
            </w:tcBorders>
            <w:vAlign w:val="center"/>
          </w:tcPr>
          <w:p w14:paraId="2B618AB2"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c>
          <w:tcPr>
            <w:tcW w:w="1152" w:type="dxa"/>
            <w:tcBorders>
              <w:top w:val="nil"/>
              <w:left w:val="nil"/>
              <w:bottom w:val="nil"/>
              <w:right w:val="nil"/>
            </w:tcBorders>
            <w:vAlign w:val="center"/>
          </w:tcPr>
          <w:p w14:paraId="5812AB3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0.0015</w:t>
            </w:r>
          </w:p>
        </w:tc>
      </w:tr>
      <w:tr w:rsidR="003E148C" w:rsidRPr="002C306D" w14:paraId="7DD33B76" w14:textId="77777777" w:rsidTr="0026218B">
        <w:trPr>
          <w:trHeight w:val="20"/>
        </w:trPr>
        <w:tc>
          <w:tcPr>
            <w:tcW w:w="0" w:type="auto"/>
            <w:tcBorders>
              <w:top w:val="nil"/>
              <w:left w:val="nil"/>
              <w:bottom w:val="nil"/>
              <w:right w:val="nil"/>
            </w:tcBorders>
          </w:tcPr>
          <w:p w14:paraId="0207FB3A"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073D956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609A104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c>
          <w:tcPr>
            <w:tcW w:w="1152" w:type="dxa"/>
            <w:tcBorders>
              <w:top w:val="nil"/>
              <w:left w:val="nil"/>
              <w:bottom w:val="nil"/>
              <w:right w:val="nil"/>
            </w:tcBorders>
            <w:vAlign w:val="center"/>
          </w:tcPr>
          <w:p w14:paraId="1170300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17F06EB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(0.0002)</w:t>
            </w:r>
          </w:p>
        </w:tc>
      </w:tr>
      <w:tr w:rsidR="003E148C" w:rsidRPr="002C306D" w14:paraId="008E37E7" w14:textId="77777777" w:rsidTr="0026218B">
        <w:trPr>
          <w:trHeight w:val="20"/>
        </w:trPr>
        <w:tc>
          <w:tcPr>
            <w:tcW w:w="0" w:type="auto"/>
            <w:tcBorders>
              <w:top w:val="nil"/>
              <w:left w:val="nil"/>
              <w:bottom w:val="nil"/>
              <w:right w:val="nil"/>
            </w:tcBorders>
          </w:tcPr>
          <w:p w14:paraId="2B9D22CB" w14:textId="77777777" w:rsidR="003E148C" w:rsidRPr="002C306D" w:rsidRDefault="003E148C" w:rsidP="0026218B">
            <w:pPr>
              <w:widowControl w:val="0"/>
              <w:autoSpaceDE w:val="0"/>
              <w:autoSpaceDN w:val="0"/>
              <w:adjustRightInd w:val="0"/>
              <w:rPr>
                <w:sz w:val="20"/>
                <w:szCs w:val="20"/>
              </w:rPr>
            </w:pPr>
            <w:r w:rsidRPr="002C306D">
              <w:rPr>
                <w:sz w:val="20"/>
                <w:szCs w:val="20"/>
              </w:rPr>
              <w:t>High qualification</w:t>
            </w:r>
          </w:p>
        </w:tc>
        <w:tc>
          <w:tcPr>
            <w:tcW w:w="1152" w:type="dxa"/>
            <w:tcBorders>
              <w:top w:val="nil"/>
              <w:left w:val="nil"/>
              <w:bottom w:val="nil"/>
              <w:right w:val="nil"/>
            </w:tcBorders>
            <w:vAlign w:val="center"/>
          </w:tcPr>
          <w:p w14:paraId="464C823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0.0028</w:t>
            </w:r>
          </w:p>
        </w:tc>
        <w:tc>
          <w:tcPr>
            <w:tcW w:w="1152" w:type="dxa"/>
            <w:tcBorders>
              <w:top w:val="nil"/>
              <w:left w:val="nil"/>
              <w:bottom w:val="nil"/>
              <w:right w:val="nil"/>
            </w:tcBorders>
            <w:vAlign w:val="center"/>
          </w:tcPr>
          <w:p w14:paraId="002C41D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0.0121</w:t>
            </w:r>
          </w:p>
        </w:tc>
        <w:tc>
          <w:tcPr>
            <w:tcW w:w="1152" w:type="dxa"/>
            <w:tcBorders>
              <w:top w:val="nil"/>
              <w:left w:val="nil"/>
              <w:bottom w:val="nil"/>
              <w:right w:val="nil"/>
            </w:tcBorders>
            <w:vAlign w:val="center"/>
          </w:tcPr>
          <w:p w14:paraId="3CE77282"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0.0052</w:t>
            </w:r>
          </w:p>
        </w:tc>
        <w:tc>
          <w:tcPr>
            <w:tcW w:w="1152" w:type="dxa"/>
            <w:tcBorders>
              <w:top w:val="nil"/>
              <w:left w:val="nil"/>
              <w:bottom w:val="nil"/>
              <w:right w:val="nil"/>
            </w:tcBorders>
            <w:vAlign w:val="center"/>
          </w:tcPr>
          <w:p w14:paraId="1620BA0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0.0118</w:t>
            </w:r>
          </w:p>
        </w:tc>
      </w:tr>
      <w:tr w:rsidR="003E148C" w:rsidRPr="002C306D" w14:paraId="1F06EDEE" w14:textId="77777777" w:rsidTr="0026218B">
        <w:trPr>
          <w:trHeight w:val="20"/>
        </w:trPr>
        <w:tc>
          <w:tcPr>
            <w:tcW w:w="0" w:type="auto"/>
            <w:tcBorders>
              <w:top w:val="nil"/>
              <w:left w:val="nil"/>
              <w:bottom w:val="nil"/>
              <w:right w:val="nil"/>
            </w:tcBorders>
          </w:tcPr>
          <w:p w14:paraId="6B034EB7"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78EFAC5A"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1DB3F76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(0.0009)</w:t>
            </w:r>
          </w:p>
        </w:tc>
        <w:tc>
          <w:tcPr>
            <w:tcW w:w="1152" w:type="dxa"/>
            <w:tcBorders>
              <w:top w:val="nil"/>
              <w:left w:val="nil"/>
              <w:bottom w:val="nil"/>
              <w:right w:val="nil"/>
            </w:tcBorders>
            <w:vAlign w:val="center"/>
          </w:tcPr>
          <w:p w14:paraId="1C26E3E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(0.0004)</w:t>
            </w:r>
          </w:p>
        </w:tc>
        <w:tc>
          <w:tcPr>
            <w:tcW w:w="1152" w:type="dxa"/>
            <w:tcBorders>
              <w:top w:val="nil"/>
              <w:left w:val="nil"/>
              <w:bottom w:val="nil"/>
              <w:right w:val="nil"/>
            </w:tcBorders>
            <w:vAlign w:val="center"/>
          </w:tcPr>
          <w:p w14:paraId="1B016185"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(0.0009)</w:t>
            </w:r>
          </w:p>
        </w:tc>
      </w:tr>
      <w:tr w:rsidR="003E148C" w:rsidRPr="002C306D" w14:paraId="46E72D0D" w14:textId="77777777" w:rsidTr="0026218B">
        <w:trPr>
          <w:trHeight w:val="20"/>
        </w:trPr>
        <w:tc>
          <w:tcPr>
            <w:tcW w:w="0" w:type="auto"/>
            <w:tcBorders>
              <w:top w:val="nil"/>
              <w:left w:val="nil"/>
              <w:bottom w:val="nil"/>
              <w:right w:val="nil"/>
            </w:tcBorders>
          </w:tcPr>
          <w:p w14:paraId="67E2894B" w14:textId="77777777" w:rsidR="003E148C" w:rsidRPr="002C306D" w:rsidRDefault="003E148C" w:rsidP="0026218B">
            <w:pPr>
              <w:widowControl w:val="0"/>
              <w:autoSpaceDE w:val="0"/>
              <w:autoSpaceDN w:val="0"/>
              <w:adjustRightInd w:val="0"/>
              <w:rPr>
                <w:sz w:val="20"/>
                <w:szCs w:val="20"/>
              </w:rPr>
            </w:pPr>
            <w:r w:rsidRPr="002C306D">
              <w:rPr>
                <w:sz w:val="20"/>
                <w:szCs w:val="20"/>
              </w:rPr>
              <w:t>Workers (ln)</w:t>
            </w:r>
          </w:p>
        </w:tc>
        <w:tc>
          <w:tcPr>
            <w:tcW w:w="1152" w:type="dxa"/>
            <w:tcBorders>
              <w:top w:val="nil"/>
              <w:left w:val="nil"/>
              <w:bottom w:val="nil"/>
              <w:right w:val="nil"/>
            </w:tcBorders>
            <w:vAlign w:val="center"/>
          </w:tcPr>
          <w:p w14:paraId="78B9E72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-0.0011</w:t>
            </w:r>
          </w:p>
        </w:tc>
        <w:tc>
          <w:tcPr>
            <w:tcW w:w="1152" w:type="dxa"/>
            <w:tcBorders>
              <w:top w:val="nil"/>
              <w:left w:val="nil"/>
              <w:bottom w:val="nil"/>
              <w:right w:val="nil"/>
            </w:tcBorders>
            <w:vAlign w:val="center"/>
          </w:tcPr>
          <w:p w14:paraId="0EE6768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-0.0044</w:t>
            </w:r>
          </w:p>
        </w:tc>
        <w:tc>
          <w:tcPr>
            <w:tcW w:w="1152" w:type="dxa"/>
            <w:tcBorders>
              <w:top w:val="nil"/>
              <w:left w:val="nil"/>
              <w:bottom w:val="nil"/>
              <w:right w:val="nil"/>
            </w:tcBorders>
            <w:vAlign w:val="center"/>
          </w:tcPr>
          <w:p w14:paraId="3A5DD01E"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-0.0011</w:t>
            </w:r>
          </w:p>
        </w:tc>
        <w:tc>
          <w:tcPr>
            <w:tcW w:w="1152" w:type="dxa"/>
            <w:tcBorders>
              <w:top w:val="nil"/>
              <w:left w:val="nil"/>
              <w:bottom w:val="nil"/>
              <w:right w:val="nil"/>
            </w:tcBorders>
            <w:vAlign w:val="center"/>
          </w:tcPr>
          <w:p w14:paraId="3C05D5C8"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-0.0044</w:t>
            </w:r>
          </w:p>
        </w:tc>
      </w:tr>
      <w:tr w:rsidR="003E148C" w:rsidRPr="002C306D" w14:paraId="0E40B25E" w14:textId="77777777" w:rsidTr="0026218B">
        <w:trPr>
          <w:trHeight w:val="20"/>
        </w:trPr>
        <w:tc>
          <w:tcPr>
            <w:tcW w:w="0" w:type="auto"/>
            <w:tcBorders>
              <w:top w:val="nil"/>
              <w:left w:val="nil"/>
              <w:bottom w:val="nil"/>
              <w:right w:val="nil"/>
            </w:tcBorders>
          </w:tcPr>
          <w:p w14:paraId="2DB82BEF"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0D7A2BF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22F683A5"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c>
          <w:tcPr>
            <w:tcW w:w="1152" w:type="dxa"/>
            <w:tcBorders>
              <w:top w:val="nil"/>
              <w:left w:val="nil"/>
              <w:bottom w:val="nil"/>
              <w:right w:val="nil"/>
            </w:tcBorders>
            <w:vAlign w:val="center"/>
          </w:tcPr>
          <w:p w14:paraId="662518A5"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(0.0000)</w:t>
            </w:r>
          </w:p>
        </w:tc>
        <w:tc>
          <w:tcPr>
            <w:tcW w:w="1152" w:type="dxa"/>
            <w:tcBorders>
              <w:top w:val="nil"/>
              <w:left w:val="nil"/>
              <w:bottom w:val="nil"/>
              <w:right w:val="nil"/>
            </w:tcBorders>
            <w:vAlign w:val="center"/>
          </w:tcPr>
          <w:p w14:paraId="382F6BA0"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(0.0001)</w:t>
            </w:r>
          </w:p>
        </w:tc>
      </w:tr>
      <w:tr w:rsidR="003E148C" w:rsidRPr="002C306D" w14:paraId="173A3122" w14:textId="77777777" w:rsidTr="0026218B">
        <w:trPr>
          <w:trHeight w:val="20"/>
        </w:trPr>
        <w:tc>
          <w:tcPr>
            <w:tcW w:w="0" w:type="auto"/>
            <w:tcBorders>
              <w:top w:val="nil"/>
              <w:left w:val="nil"/>
              <w:bottom w:val="nil"/>
              <w:right w:val="nil"/>
            </w:tcBorders>
          </w:tcPr>
          <w:p w14:paraId="6307806F" w14:textId="77777777" w:rsidR="003E148C" w:rsidRPr="002C306D" w:rsidRDefault="003E148C" w:rsidP="0026218B">
            <w:pPr>
              <w:widowControl w:val="0"/>
              <w:autoSpaceDE w:val="0"/>
              <w:autoSpaceDN w:val="0"/>
              <w:adjustRightInd w:val="0"/>
              <w:rPr>
                <w:sz w:val="20"/>
                <w:szCs w:val="20"/>
              </w:rPr>
            </w:pPr>
            <w:r w:rsidRPr="002C306D">
              <w:rPr>
                <w:sz w:val="20"/>
                <w:szCs w:val="20"/>
              </w:rPr>
              <w:t>Constant</w:t>
            </w:r>
          </w:p>
        </w:tc>
        <w:tc>
          <w:tcPr>
            <w:tcW w:w="1152" w:type="dxa"/>
            <w:tcBorders>
              <w:top w:val="nil"/>
              <w:left w:val="nil"/>
              <w:bottom w:val="nil"/>
              <w:right w:val="nil"/>
            </w:tcBorders>
            <w:vAlign w:val="center"/>
          </w:tcPr>
          <w:p w14:paraId="31D71CAF"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247430CE"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1881106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0.0625</w:t>
            </w:r>
          </w:p>
        </w:tc>
        <w:tc>
          <w:tcPr>
            <w:tcW w:w="1152" w:type="dxa"/>
            <w:tcBorders>
              <w:top w:val="nil"/>
              <w:left w:val="nil"/>
              <w:bottom w:val="nil"/>
              <w:right w:val="nil"/>
            </w:tcBorders>
            <w:vAlign w:val="center"/>
          </w:tcPr>
          <w:p w14:paraId="2A5EF06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0.1355</w:t>
            </w:r>
          </w:p>
        </w:tc>
      </w:tr>
      <w:tr w:rsidR="003E148C" w:rsidRPr="002C306D" w14:paraId="13297ABB" w14:textId="77777777" w:rsidTr="0026218B">
        <w:trPr>
          <w:trHeight w:val="20"/>
        </w:trPr>
        <w:tc>
          <w:tcPr>
            <w:tcW w:w="0" w:type="auto"/>
            <w:tcBorders>
              <w:top w:val="nil"/>
              <w:left w:val="nil"/>
              <w:bottom w:val="nil"/>
              <w:right w:val="nil"/>
            </w:tcBorders>
          </w:tcPr>
          <w:p w14:paraId="2E7BAD49" w14:textId="77777777" w:rsidR="003E148C" w:rsidRPr="002C306D"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59B38B61"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57F6FB7A"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391A5F19"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(0.0025)</w:t>
            </w:r>
          </w:p>
        </w:tc>
        <w:tc>
          <w:tcPr>
            <w:tcW w:w="1152" w:type="dxa"/>
            <w:tcBorders>
              <w:top w:val="nil"/>
              <w:left w:val="nil"/>
              <w:bottom w:val="nil"/>
              <w:right w:val="nil"/>
            </w:tcBorders>
            <w:vAlign w:val="center"/>
          </w:tcPr>
          <w:p w14:paraId="43BF0B8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(0.0048)</w:t>
            </w:r>
          </w:p>
        </w:tc>
      </w:tr>
      <w:tr w:rsidR="003E148C" w:rsidRPr="002C306D" w14:paraId="6DD25D9A" w14:textId="77777777" w:rsidTr="0026218B">
        <w:trPr>
          <w:trHeight w:val="20"/>
        </w:trPr>
        <w:tc>
          <w:tcPr>
            <w:tcW w:w="0" w:type="auto"/>
            <w:tcBorders>
              <w:top w:val="nil"/>
              <w:left w:val="nil"/>
              <w:bottom w:val="nil"/>
              <w:right w:val="nil"/>
            </w:tcBorders>
          </w:tcPr>
          <w:p w14:paraId="39561F1E" w14:textId="77777777" w:rsidR="003E148C" w:rsidRPr="002C306D" w:rsidRDefault="003E148C" w:rsidP="0026218B">
            <w:pPr>
              <w:widowControl w:val="0"/>
              <w:autoSpaceDE w:val="0"/>
              <w:autoSpaceDN w:val="0"/>
              <w:adjustRightInd w:val="0"/>
              <w:rPr>
                <w:sz w:val="20"/>
                <w:szCs w:val="20"/>
              </w:rPr>
            </w:pPr>
            <w:r w:rsidRPr="002C306D">
              <w:rPr>
                <w:sz w:val="20"/>
                <w:szCs w:val="20"/>
              </w:rPr>
              <w:t xml:space="preserve">R2 </w:t>
            </w:r>
          </w:p>
        </w:tc>
        <w:tc>
          <w:tcPr>
            <w:tcW w:w="1152" w:type="dxa"/>
            <w:tcBorders>
              <w:top w:val="nil"/>
              <w:left w:val="nil"/>
              <w:bottom w:val="nil"/>
              <w:right w:val="nil"/>
            </w:tcBorders>
            <w:vAlign w:val="center"/>
          </w:tcPr>
          <w:p w14:paraId="37F48ACE"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0.06</w:t>
            </w:r>
          </w:p>
        </w:tc>
        <w:tc>
          <w:tcPr>
            <w:tcW w:w="1152" w:type="dxa"/>
            <w:tcBorders>
              <w:top w:val="nil"/>
              <w:left w:val="nil"/>
              <w:bottom w:val="nil"/>
              <w:right w:val="nil"/>
            </w:tcBorders>
            <w:vAlign w:val="center"/>
          </w:tcPr>
          <w:p w14:paraId="3B7DD08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0.27</w:t>
            </w:r>
          </w:p>
        </w:tc>
        <w:tc>
          <w:tcPr>
            <w:tcW w:w="1152" w:type="dxa"/>
            <w:tcBorders>
              <w:top w:val="nil"/>
              <w:left w:val="nil"/>
              <w:bottom w:val="nil"/>
              <w:right w:val="nil"/>
            </w:tcBorders>
            <w:vAlign w:val="center"/>
          </w:tcPr>
          <w:p w14:paraId="64B6E1FA"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0.06</w:t>
            </w:r>
          </w:p>
        </w:tc>
        <w:tc>
          <w:tcPr>
            <w:tcW w:w="1152" w:type="dxa"/>
            <w:tcBorders>
              <w:top w:val="nil"/>
              <w:left w:val="nil"/>
              <w:bottom w:val="nil"/>
              <w:right w:val="nil"/>
            </w:tcBorders>
            <w:vAlign w:val="center"/>
          </w:tcPr>
          <w:p w14:paraId="57082077"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0.27</w:t>
            </w:r>
          </w:p>
        </w:tc>
      </w:tr>
      <w:tr w:rsidR="003E148C" w:rsidRPr="002C306D" w14:paraId="77AEFEF7" w14:textId="77777777" w:rsidTr="0026218B">
        <w:trPr>
          <w:trHeight w:val="20"/>
        </w:trPr>
        <w:tc>
          <w:tcPr>
            <w:tcW w:w="0" w:type="auto"/>
            <w:tcBorders>
              <w:top w:val="nil"/>
              <w:left w:val="nil"/>
              <w:bottom w:val="nil"/>
              <w:right w:val="nil"/>
            </w:tcBorders>
          </w:tcPr>
          <w:p w14:paraId="3A5DDE1F" w14:textId="77777777" w:rsidR="003E148C" w:rsidRPr="002C306D" w:rsidRDefault="003E148C" w:rsidP="0026218B">
            <w:pPr>
              <w:widowControl w:val="0"/>
              <w:autoSpaceDE w:val="0"/>
              <w:autoSpaceDN w:val="0"/>
              <w:adjustRightInd w:val="0"/>
              <w:rPr>
                <w:sz w:val="20"/>
                <w:szCs w:val="20"/>
              </w:rPr>
            </w:pPr>
            <w:r w:rsidRPr="002C306D">
              <w:rPr>
                <w:i/>
                <w:iCs/>
                <w:sz w:val="20"/>
                <w:szCs w:val="20"/>
              </w:rPr>
              <w:t>N</w:t>
            </w:r>
          </w:p>
        </w:tc>
        <w:tc>
          <w:tcPr>
            <w:tcW w:w="1152" w:type="dxa"/>
            <w:tcBorders>
              <w:top w:val="nil"/>
              <w:left w:val="nil"/>
              <w:bottom w:val="nil"/>
              <w:right w:val="nil"/>
            </w:tcBorders>
            <w:vAlign w:val="center"/>
          </w:tcPr>
          <w:p w14:paraId="3E1F2ACC"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21,581,689</w:t>
            </w:r>
          </w:p>
        </w:tc>
        <w:tc>
          <w:tcPr>
            <w:tcW w:w="1152" w:type="dxa"/>
            <w:tcBorders>
              <w:top w:val="nil"/>
              <w:left w:val="nil"/>
              <w:bottom w:val="nil"/>
              <w:right w:val="nil"/>
            </w:tcBorders>
            <w:vAlign w:val="center"/>
          </w:tcPr>
          <w:p w14:paraId="4CB99E4A"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20,475,411</w:t>
            </w:r>
          </w:p>
        </w:tc>
        <w:tc>
          <w:tcPr>
            <w:tcW w:w="1152" w:type="dxa"/>
            <w:tcBorders>
              <w:top w:val="nil"/>
              <w:left w:val="nil"/>
              <w:bottom w:val="nil"/>
              <w:right w:val="nil"/>
            </w:tcBorders>
            <w:vAlign w:val="center"/>
          </w:tcPr>
          <w:p w14:paraId="07FA4FFB"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21,581,689</w:t>
            </w:r>
          </w:p>
        </w:tc>
        <w:tc>
          <w:tcPr>
            <w:tcW w:w="1152" w:type="dxa"/>
            <w:tcBorders>
              <w:top w:val="nil"/>
              <w:left w:val="nil"/>
              <w:bottom w:val="nil"/>
              <w:right w:val="nil"/>
            </w:tcBorders>
            <w:vAlign w:val="center"/>
          </w:tcPr>
          <w:p w14:paraId="28DB1485"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20,475,411</w:t>
            </w:r>
          </w:p>
        </w:tc>
      </w:tr>
      <w:tr w:rsidR="003E148C" w:rsidRPr="002C306D" w14:paraId="35914BB5" w14:textId="77777777" w:rsidTr="0026218B">
        <w:trPr>
          <w:trHeight w:val="20"/>
        </w:trPr>
        <w:tc>
          <w:tcPr>
            <w:tcW w:w="0" w:type="auto"/>
            <w:tcBorders>
              <w:top w:val="nil"/>
              <w:left w:val="nil"/>
              <w:bottom w:val="nil"/>
              <w:right w:val="nil"/>
            </w:tcBorders>
          </w:tcPr>
          <w:p w14:paraId="0F7842F8" w14:textId="77777777" w:rsidR="003E148C" w:rsidRPr="002C306D" w:rsidRDefault="003E148C" w:rsidP="0026218B">
            <w:pPr>
              <w:widowControl w:val="0"/>
              <w:autoSpaceDE w:val="0"/>
              <w:autoSpaceDN w:val="0"/>
              <w:adjustRightInd w:val="0"/>
              <w:rPr>
                <w:iCs/>
                <w:sz w:val="20"/>
                <w:szCs w:val="20"/>
              </w:rPr>
            </w:pPr>
            <w:r w:rsidRPr="002C306D">
              <w:rPr>
                <w:iCs/>
                <w:sz w:val="20"/>
                <w:szCs w:val="20"/>
              </w:rPr>
              <w:t>Occupation</w:t>
            </w:r>
          </w:p>
        </w:tc>
        <w:tc>
          <w:tcPr>
            <w:tcW w:w="1152" w:type="dxa"/>
            <w:tcBorders>
              <w:top w:val="nil"/>
              <w:left w:val="nil"/>
              <w:bottom w:val="nil"/>
              <w:right w:val="nil"/>
            </w:tcBorders>
            <w:vAlign w:val="center"/>
          </w:tcPr>
          <w:p w14:paraId="13ADD3AD"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bottom w:val="nil"/>
              <w:right w:val="nil"/>
            </w:tcBorders>
            <w:vAlign w:val="center"/>
          </w:tcPr>
          <w:p w14:paraId="0E9E5470"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bottom w:val="nil"/>
              <w:right w:val="nil"/>
            </w:tcBorders>
            <w:vAlign w:val="center"/>
          </w:tcPr>
          <w:p w14:paraId="6B1A1631"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bottom w:val="nil"/>
              <w:right w:val="nil"/>
            </w:tcBorders>
            <w:vAlign w:val="center"/>
          </w:tcPr>
          <w:p w14:paraId="62D236E8"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r>
      <w:tr w:rsidR="003E148C" w:rsidRPr="002C306D" w14:paraId="58D23766" w14:textId="77777777" w:rsidTr="0026218B">
        <w:trPr>
          <w:trHeight w:val="20"/>
        </w:trPr>
        <w:tc>
          <w:tcPr>
            <w:tcW w:w="0" w:type="auto"/>
            <w:tcBorders>
              <w:top w:val="nil"/>
              <w:left w:val="nil"/>
              <w:bottom w:val="nil"/>
              <w:right w:val="nil"/>
            </w:tcBorders>
          </w:tcPr>
          <w:p w14:paraId="22122809" w14:textId="77777777" w:rsidR="003E148C" w:rsidRPr="002C306D" w:rsidRDefault="003E148C" w:rsidP="0026218B">
            <w:pPr>
              <w:widowControl w:val="0"/>
              <w:autoSpaceDE w:val="0"/>
              <w:autoSpaceDN w:val="0"/>
              <w:adjustRightInd w:val="0"/>
              <w:rPr>
                <w:sz w:val="20"/>
                <w:szCs w:val="20"/>
              </w:rPr>
            </w:pPr>
            <w:r w:rsidRPr="002C306D">
              <w:rPr>
                <w:sz w:val="20"/>
                <w:szCs w:val="20"/>
              </w:rPr>
              <w:t>Year FE</w:t>
            </w:r>
          </w:p>
        </w:tc>
        <w:tc>
          <w:tcPr>
            <w:tcW w:w="1152" w:type="dxa"/>
            <w:tcBorders>
              <w:top w:val="nil"/>
              <w:left w:val="nil"/>
              <w:bottom w:val="nil"/>
              <w:right w:val="nil"/>
            </w:tcBorders>
            <w:vAlign w:val="center"/>
          </w:tcPr>
          <w:p w14:paraId="2D96AD79"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bottom w:val="nil"/>
              <w:right w:val="nil"/>
            </w:tcBorders>
            <w:vAlign w:val="center"/>
          </w:tcPr>
          <w:p w14:paraId="0889CA62"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bottom w:val="nil"/>
              <w:right w:val="nil"/>
            </w:tcBorders>
            <w:vAlign w:val="center"/>
          </w:tcPr>
          <w:p w14:paraId="2925D9C2"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noProof/>
                <w:sz w:val="20"/>
                <w:szCs w:val="20"/>
              </w:rPr>
              <mc:AlternateContent>
                <mc:Choice Requires="wpi">
                  <w:drawing>
                    <wp:anchor distT="0" distB="0" distL="114300" distR="114300" simplePos="0" relativeHeight="251662336" behindDoc="0" locked="0" layoutInCell="1" allowOverlap="1" wp14:anchorId="52693E55" wp14:editId="2A891800">
                      <wp:simplePos x="0" y="0"/>
                      <wp:positionH relativeFrom="column">
                        <wp:posOffset>-1050795695</wp:posOffset>
                      </wp:positionH>
                      <wp:positionV relativeFrom="paragraph">
                        <wp:posOffset>-1199907509</wp:posOffset>
                      </wp:positionV>
                      <wp:extent cx="933120" cy="1060560"/>
                      <wp:effectExtent l="57150" t="57150" r="57785" b="44450"/>
                      <wp:wrapNone/>
                      <wp:docPr id="13" name="Ink 13"/>
                      <wp:cNvGraphicFramePr/>
                      <a:graphic xmlns:a="http://schemas.openxmlformats.org/drawingml/2006/main">
                        <a:graphicData uri="http://schemas.microsoft.com/office/word/2010/wordprocessingInk">
                          <w14:contentPart bwMode="auto" r:id="rId13">
                            <w14:nvContentPartPr>
                              <w14:cNvContentPartPr/>
                            </w14:nvContentPartPr>
                            <w14:xfrm>
                              <a:off x="0" y="0"/>
                              <a:ext cx="933120" cy="1060560"/>
                            </w14:xfrm>
                          </w14:contentPart>
                        </a:graphicData>
                      </a:graphic>
                    </wp:anchor>
                  </w:drawing>
                </mc:Choice>
                <mc:Fallback>
                  <w:pict>
                    <v:shape w14:anchorId="5F09F74B" id="Ink 13" o:spid="_x0000_s1026" type="#_x0000_t75" style="position:absolute;margin-left:-82740.5pt;margin-top:-94481.6pt;width:74.85pt;height:84.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uBdKNAQAALwMAAA4AAABkcnMvZTJvRG9jLnhtbJxSQW7bMBC8F8gf&#10;iL3HouzYjQXLOdQIkENSH9oHMBRpERW5wpK2nN93JVu106IIkAvB5ZDDmZ1dPRx9Iw6GosNQQj6R&#10;IEzQWLmwK+Hnj8fbexAxqVCpBoMp4c1EeFjffFl1bWGmWGNTGRJMEmLRtSXUKbVFlkVdG6/iBFsT&#10;GLRIXiUuaZdVpDpm9002lXKRdUhVS6hNjHy6OYGwHvitNTp9tzaaJJoSllKyvDRuqIT75d0cxCtv&#10;vs4lZOuVKnak2trpsyT1CUVeucAC/lBtVFJiT+4fKu80YUSbJhp9htY6bQY/7CyXfzl7Cr96V/md&#10;3lOhMSQT0lZRGns3AJ/5wjfcge4ZK05H7RPCmZHb83EYJ9Eb1HvPek6JkGlU4nGItWsjCCpcVQI9&#10;VflFfzh8uzjY0sXXy2FLor+fz0AE5VkTGxdccTij+Zf3rxnJztD/eI+WfJ8IyxXHEngK3vp1CNwc&#10;k9B8uJzN8ikjmqFcLuR8MVwYqU8UY3UVAP/+Lurruld2Nefr3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pGV8fwAAAAIAEAAA8AAABkcnMvZG93bnJldi54bWxMj81OwzAQ&#10;hO9IvIO1SFxQ66QuaZrGqVArfsSlauHCzUmW2CK2o9htwtvjiANcVhp9u7Mz+XbULblg75Q1HOJ5&#10;BARNZWtlGg7vb4+zFIjzwtSitQY5fKODbXF9lYustoM54uXkGxJMjMsEB+l9l1HqKolauLnt0AT2&#10;aXstfJB9Q+teDMFct3QRRQnVQpnwQYoOdxKrr9NZc9jt2RMrD693L4dBqWclxwY/JOe3N+N+E8bD&#10;BojH0f9dwNQh5IciBCvt2dSOtBxmcXK/TONQyk8iTdcJWwAJmxNhLGZAyl+yWrMl0CKn/4sVPwAA&#10;AP//AwBQSwMEFAAGAAgAAAAhAOj3p2wYBAAAwQgAABAAAABkcnMvaW5rL2luazEueG1stJVLb9tG&#10;FIX3BfofLthFNxxpHuRwKETOqgYKtECRpEC7VCTGIiJRBkU/8u/73ZEsO4jTVQsbFjlz59xzzzkj&#10;v3n7uN/JfTce+8OwLNzMFtIN68OmH26WxZ8frk0q5Diths1qdxi6ZfGlOxZvr3784U0/fN7vFvwV&#10;EIajPu13y2I7TbeL+fzh4WH2EGaH8WburQ3zX4fPv/9WXJ1PbbpP/dBPtDw+La0Pw9Q9Tgq26DfL&#10;Yj092ks92O8Pd+O6u2zryrh+rpjG1bq7Poz71XRB3K6GodvJsNrD+69Cpi+3PPT0uenGQvY9Axs/&#10;c1VTpV9aFlaPy+LF+x0UjzDZF/PXMf/+HzCvv8VUWsE3sSnkTGnT3SunedZ88f3Z/xgPt9049d2z&#10;zCdRzhtfZH16z/qchBq742F3p94Ucr/a3SGZs5ZYnHu7+SuCfIuHNv8pHrp8F+8lua+lOY/3Uoez&#10;aJdIPVk79fuOoO9vLxmbjgDr8vtpzNfBW9ca54yrPji3sHFhm5n39Qsrzil+wvw43h23F7yP43Ne&#10;885FtdNkD/1m2l5EtzNbX0R/KflrR7ddf7Od/u3seex8+JKcV+5hDpOc53jXfVoWP+WrKPnkaSEP&#10;EkItITVS++TKn63+lIWpChOLqvGlaQ17sXRBXDAUlSYaJ423pUmmYjHv1VKx4MR5cbYuvXH8WutK&#10;SippU3XaNIrYiDVVKhtxJvDKkWhiKF1jfDBNbFmqxVcSE5BeKuMiD0FqDMs4rNDVc5wj2tfTHn50&#10;8VQpaBAPRH5Npa9MzeEIdyojOzaVUBca0EYgQ/PYmgCs8mks49gyUQJIYIKqLWknri4tM0CfI9Sx&#10;pRjGwaMMfDjn9ZiJEPWNlnoKgpWmEg8xehsYJwErgmwz24q5SWQTyypJoinNGyrRHSXMqYUwaKxM&#10;qhQ8NpIgblE6D8rUAjwEhCmbmjPoX5VNLQ1C81SbGgSUMEivrgDXQhTWTN1GqVEEfRnGUgKS1Y56&#10;S5Sxumm8NS21CU+yyCZzAdLF7CyeN+hHdWJCPECm1BrGC+gCowiy0XDo9IbWCINbqcpTg4kMLQxq&#10;FjV42oXXk666kgU2NSO5VgJ0a0Vjgwm1jmzqWRpYCaSPWZxoolpNKl2i0gi1iRgGgRMRj4aqGx4o&#10;n5BjrTeC7uCHYKosgZaps61AQPvglqhtDcl3OUjZSNsKOsE/5vtBmcu+EDY1DwETRDmHnIYQqT9K&#10;RbMFV3xQffnMKaE8UK7RtNjtNBaaxVZD56RW5rjvsMvZxsA+o1g8DhihFy1nBBbkDFwCBhwRS+gm&#10;PlPlEKmINf573Go5hd8kL+pttbasSXMNM52/JvpoFVNLrBDLt6VPqvHpAqF14ixggQ4aNQpJk9iv&#10;/tVdvr74Dr/6BwAA//8DAFBLAQItABQABgAIAAAAIQCbMyc3DAEAAC0CAAATAAAAAAAAAAAAAAAA&#10;AAAAAABbQ29udGVudF9UeXBlc10ueG1sUEsBAi0AFAAGAAgAAAAhADj9If/WAAAAlAEAAAsAAAAA&#10;AAAAAAAAAAAAPQEAAF9yZWxzLy5yZWxzUEsBAi0AFAAGAAgAAAAhAMiuBdKNAQAALwMAAA4AAAAA&#10;AAAAAAAAAAAAPAIAAGRycy9lMm9Eb2MueG1sUEsBAi0AFAAGAAgAAAAhAHkYvJ2/AAAAIQEAABkA&#10;AAAAAAAAAAAAAAAA9QMAAGRycy9fcmVscy9lMm9Eb2MueG1sLnJlbHNQSwECLQAUAAYACAAAACEA&#10;akZXx/AAAAAgAQAADwAAAAAAAAAAAAAAAADrBAAAZHJzL2Rvd25yZXYueG1sUEsBAi0AFAAGAAgA&#10;AAAhAOj3p2wYBAAAwQgAABAAAAAAAAAAAAAAAAAACAYAAGRycy9pbmsvaW5rMS54bWxQSwUGAAAA&#10;AAYABgB4AQAATgoAAAAA&#10;">
                      <v:imagedata r:id="rId14" o:title=""/>
                    </v:shape>
                  </w:pict>
                </mc:Fallback>
              </mc:AlternateContent>
            </w:r>
            <w:r w:rsidRPr="002C306D">
              <w:rPr>
                <w:sz w:val="20"/>
                <w:szCs w:val="20"/>
                <w:lang w:val="fr-FR" w:eastAsia="fr-FR"/>
              </w:rPr>
              <w:t>YES</w:t>
            </w:r>
          </w:p>
        </w:tc>
        <w:tc>
          <w:tcPr>
            <w:tcW w:w="1152" w:type="dxa"/>
            <w:tcBorders>
              <w:top w:val="nil"/>
              <w:left w:val="nil"/>
              <w:bottom w:val="nil"/>
              <w:right w:val="nil"/>
            </w:tcBorders>
            <w:vAlign w:val="center"/>
          </w:tcPr>
          <w:p w14:paraId="2C1FBE3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r>
      <w:tr w:rsidR="003E148C" w:rsidRPr="002C306D" w14:paraId="61305634" w14:textId="77777777" w:rsidTr="0026218B">
        <w:trPr>
          <w:trHeight w:val="20"/>
        </w:trPr>
        <w:tc>
          <w:tcPr>
            <w:tcW w:w="0" w:type="auto"/>
            <w:tcBorders>
              <w:top w:val="nil"/>
              <w:left w:val="nil"/>
              <w:right w:val="nil"/>
            </w:tcBorders>
          </w:tcPr>
          <w:p w14:paraId="13A42CF5" w14:textId="7DA4BDEA" w:rsidR="003E148C" w:rsidRPr="002C306D" w:rsidRDefault="004358A2" w:rsidP="0026218B">
            <w:pPr>
              <w:widowControl w:val="0"/>
              <w:autoSpaceDE w:val="0"/>
              <w:autoSpaceDN w:val="0"/>
              <w:adjustRightInd w:val="0"/>
              <w:rPr>
                <w:sz w:val="20"/>
                <w:szCs w:val="20"/>
              </w:rPr>
            </w:pPr>
            <w:r>
              <w:rPr>
                <w:sz w:val="20"/>
                <w:szCs w:val="20"/>
              </w:rPr>
              <w:t>Municipality</w:t>
            </w:r>
            <w:r w:rsidR="003E148C" w:rsidRPr="002C306D">
              <w:rPr>
                <w:sz w:val="20"/>
                <w:szCs w:val="20"/>
              </w:rPr>
              <w:t xml:space="preserve"> FE</w:t>
            </w:r>
          </w:p>
        </w:tc>
        <w:tc>
          <w:tcPr>
            <w:tcW w:w="1152" w:type="dxa"/>
            <w:tcBorders>
              <w:top w:val="nil"/>
              <w:left w:val="nil"/>
              <w:right w:val="nil"/>
            </w:tcBorders>
            <w:vAlign w:val="center"/>
          </w:tcPr>
          <w:p w14:paraId="1C5D71D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right w:val="nil"/>
            </w:tcBorders>
            <w:vAlign w:val="center"/>
          </w:tcPr>
          <w:p w14:paraId="47E63AB3"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right w:val="nil"/>
            </w:tcBorders>
            <w:vAlign w:val="center"/>
          </w:tcPr>
          <w:p w14:paraId="6666B1D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right w:val="nil"/>
            </w:tcBorders>
            <w:vAlign w:val="center"/>
          </w:tcPr>
          <w:p w14:paraId="0CC0F2D4"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r>
      <w:tr w:rsidR="003E148C" w:rsidRPr="002C306D" w14:paraId="33BE0439" w14:textId="77777777" w:rsidTr="0026218B">
        <w:trPr>
          <w:trHeight w:val="20"/>
        </w:trPr>
        <w:tc>
          <w:tcPr>
            <w:tcW w:w="0" w:type="auto"/>
            <w:tcBorders>
              <w:top w:val="nil"/>
              <w:left w:val="nil"/>
              <w:bottom w:val="single" w:sz="4" w:space="0" w:color="auto"/>
              <w:right w:val="nil"/>
            </w:tcBorders>
          </w:tcPr>
          <w:p w14:paraId="1667E2A8" w14:textId="77777777" w:rsidR="003E148C" w:rsidRPr="002C306D" w:rsidRDefault="003E148C" w:rsidP="0026218B">
            <w:pPr>
              <w:widowControl w:val="0"/>
              <w:autoSpaceDE w:val="0"/>
              <w:autoSpaceDN w:val="0"/>
              <w:adjustRightInd w:val="0"/>
              <w:rPr>
                <w:sz w:val="20"/>
                <w:szCs w:val="20"/>
              </w:rPr>
            </w:pPr>
            <w:r w:rsidRPr="002C306D">
              <w:rPr>
                <w:sz w:val="20"/>
                <w:szCs w:val="20"/>
              </w:rPr>
              <w:t>Worker FE</w:t>
            </w:r>
          </w:p>
        </w:tc>
        <w:tc>
          <w:tcPr>
            <w:tcW w:w="1152" w:type="dxa"/>
            <w:tcBorders>
              <w:top w:val="nil"/>
              <w:left w:val="nil"/>
              <w:bottom w:val="single" w:sz="4" w:space="0" w:color="auto"/>
              <w:right w:val="nil"/>
            </w:tcBorders>
            <w:vAlign w:val="center"/>
          </w:tcPr>
          <w:p w14:paraId="2A6F11BD"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4" w:space="0" w:color="auto"/>
              <w:right w:val="nil"/>
            </w:tcBorders>
            <w:vAlign w:val="center"/>
          </w:tcPr>
          <w:p w14:paraId="020836D0"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c>
          <w:tcPr>
            <w:tcW w:w="1152" w:type="dxa"/>
            <w:tcBorders>
              <w:top w:val="nil"/>
              <w:left w:val="nil"/>
              <w:bottom w:val="single" w:sz="4" w:space="0" w:color="auto"/>
              <w:right w:val="nil"/>
            </w:tcBorders>
            <w:vAlign w:val="center"/>
          </w:tcPr>
          <w:p w14:paraId="102B710E" w14:textId="77777777" w:rsidR="003E148C" w:rsidRPr="002C306D"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4" w:space="0" w:color="auto"/>
              <w:right w:val="nil"/>
            </w:tcBorders>
            <w:vAlign w:val="center"/>
          </w:tcPr>
          <w:p w14:paraId="6D9CCEFF" w14:textId="77777777" w:rsidR="003E148C" w:rsidRPr="002C306D" w:rsidRDefault="003E148C" w:rsidP="0026218B">
            <w:pPr>
              <w:widowControl w:val="0"/>
              <w:autoSpaceDE w:val="0"/>
              <w:autoSpaceDN w:val="0"/>
              <w:adjustRightInd w:val="0"/>
              <w:jc w:val="center"/>
              <w:rPr>
                <w:sz w:val="20"/>
                <w:szCs w:val="20"/>
                <w:lang w:val="fr-FR" w:eastAsia="fr-FR"/>
              </w:rPr>
            </w:pPr>
            <w:r w:rsidRPr="002C306D">
              <w:rPr>
                <w:sz w:val="20"/>
                <w:szCs w:val="20"/>
                <w:lang w:val="fr-FR" w:eastAsia="fr-FR"/>
              </w:rPr>
              <w:t>YES</w:t>
            </w:r>
          </w:p>
        </w:tc>
      </w:tr>
      <w:tr w:rsidR="003E148C" w:rsidRPr="002C306D" w14:paraId="034ECB43" w14:textId="77777777" w:rsidTr="0026218B">
        <w:tblPrEx>
          <w:tblCellMar>
            <w:left w:w="70" w:type="dxa"/>
            <w:right w:w="70" w:type="dxa"/>
          </w:tblCellMar>
          <w:tblLook w:val="04A0" w:firstRow="1" w:lastRow="0" w:firstColumn="1" w:lastColumn="0" w:noHBand="0" w:noVBand="1"/>
        </w:tblPrEx>
        <w:trPr>
          <w:gridAfter w:val="1"/>
          <w:wAfter w:w="1152" w:type="dxa"/>
          <w:trHeight w:val="20"/>
        </w:trPr>
        <w:tc>
          <w:tcPr>
            <w:tcW w:w="1152" w:type="dxa"/>
            <w:gridSpan w:val="4"/>
            <w:tcBorders>
              <w:top w:val="nil"/>
              <w:left w:val="nil"/>
              <w:bottom w:val="nil"/>
              <w:right w:val="nil"/>
            </w:tcBorders>
            <w:shd w:val="clear" w:color="auto" w:fill="auto"/>
            <w:noWrap/>
            <w:vAlign w:val="bottom"/>
            <w:hideMark/>
          </w:tcPr>
          <w:p w14:paraId="1BB4D4A7" w14:textId="77777777" w:rsidR="003E148C" w:rsidRPr="002C306D" w:rsidRDefault="003E148C" w:rsidP="0026218B">
            <w:pPr>
              <w:rPr>
                <w:sz w:val="20"/>
                <w:szCs w:val="20"/>
                <w:lang w:eastAsia="pt-PT"/>
              </w:rPr>
            </w:pPr>
            <w:r w:rsidRPr="002C306D">
              <w:rPr>
                <w:sz w:val="20"/>
                <w:szCs w:val="20"/>
                <w:lang w:eastAsia="pt-PT"/>
              </w:rPr>
              <w:t>Robust standard errors clustered by municipality in brackets</w:t>
            </w:r>
          </w:p>
        </w:tc>
      </w:tr>
      <w:tr w:rsidR="003E148C" w:rsidRPr="002C306D" w14:paraId="16C66D91" w14:textId="77777777" w:rsidTr="0026218B">
        <w:tblPrEx>
          <w:tblLook w:val="04A0" w:firstRow="1" w:lastRow="0" w:firstColumn="1" w:lastColumn="0" w:noHBand="0" w:noVBand="1"/>
        </w:tblPrEx>
        <w:trPr>
          <w:gridAfter w:val="1"/>
          <w:wAfter w:w="1152" w:type="dxa"/>
          <w:trHeight w:val="20"/>
        </w:trPr>
        <w:tc>
          <w:tcPr>
            <w:tcW w:w="0" w:type="auto"/>
            <w:tcBorders>
              <w:top w:val="nil"/>
              <w:left w:val="nil"/>
              <w:bottom w:val="nil"/>
              <w:right w:val="nil"/>
            </w:tcBorders>
            <w:shd w:val="clear" w:color="auto" w:fill="auto"/>
            <w:noWrap/>
            <w:vAlign w:val="bottom"/>
          </w:tcPr>
          <w:p w14:paraId="00D86C7C" w14:textId="77777777" w:rsidR="003E148C" w:rsidRPr="002C306D" w:rsidRDefault="003E148C" w:rsidP="0026218B">
            <w:pPr>
              <w:rPr>
                <w:sz w:val="20"/>
                <w:szCs w:val="20"/>
                <w:lang w:eastAsia="pt-PT"/>
              </w:rPr>
            </w:pPr>
          </w:p>
        </w:tc>
        <w:tc>
          <w:tcPr>
            <w:tcW w:w="1152" w:type="dxa"/>
            <w:tcBorders>
              <w:top w:val="nil"/>
              <w:left w:val="nil"/>
              <w:bottom w:val="nil"/>
              <w:right w:val="nil"/>
            </w:tcBorders>
            <w:shd w:val="clear" w:color="auto" w:fill="auto"/>
            <w:noWrap/>
            <w:vAlign w:val="bottom"/>
          </w:tcPr>
          <w:p w14:paraId="09C68BCC" w14:textId="77777777" w:rsidR="003E148C" w:rsidRPr="002C306D" w:rsidRDefault="003E148C" w:rsidP="0026218B">
            <w:pPr>
              <w:rPr>
                <w:sz w:val="20"/>
                <w:szCs w:val="20"/>
                <w:lang w:eastAsia="pt-PT"/>
              </w:rPr>
            </w:pPr>
          </w:p>
        </w:tc>
        <w:tc>
          <w:tcPr>
            <w:tcW w:w="1152" w:type="dxa"/>
            <w:tcBorders>
              <w:top w:val="nil"/>
              <w:left w:val="nil"/>
              <w:bottom w:val="nil"/>
              <w:right w:val="nil"/>
            </w:tcBorders>
            <w:shd w:val="clear" w:color="auto" w:fill="auto"/>
            <w:noWrap/>
            <w:vAlign w:val="bottom"/>
          </w:tcPr>
          <w:p w14:paraId="20EDC4CE" w14:textId="77777777" w:rsidR="003E148C" w:rsidRPr="002C306D" w:rsidRDefault="003E148C" w:rsidP="0026218B">
            <w:pPr>
              <w:rPr>
                <w:sz w:val="20"/>
                <w:szCs w:val="20"/>
                <w:lang w:eastAsia="pt-PT"/>
              </w:rPr>
            </w:pPr>
          </w:p>
        </w:tc>
        <w:tc>
          <w:tcPr>
            <w:tcW w:w="1152" w:type="dxa"/>
            <w:tcBorders>
              <w:top w:val="nil"/>
              <w:left w:val="nil"/>
              <w:bottom w:val="nil"/>
              <w:right w:val="nil"/>
            </w:tcBorders>
            <w:shd w:val="clear" w:color="auto" w:fill="auto"/>
            <w:noWrap/>
            <w:vAlign w:val="bottom"/>
          </w:tcPr>
          <w:p w14:paraId="5CA3E649" w14:textId="77777777" w:rsidR="003E148C" w:rsidRPr="002C306D" w:rsidRDefault="003E148C" w:rsidP="0026218B">
            <w:pPr>
              <w:rPr>
                <w:sz w:val="20"/>
                <w:szCs w:val="20"/>
                <w:lang w:eastAsia="pt-PT"/>
              </w:rPr>
            </w:pPr>
          </w:p>
        </w:tc>
      </w:tr>
      <w:tr w:rsidR="003E148C" w:rsidRPr="002C306D" w14:paraId="0F7348B4" w14:textId="77777777" w:rsidTr="0026218B">
        <w:tblPrEx>
          <w:tblLook w:val="04A0" w:firstRow="1" w:lastRow="0" w:firstColumn="1" w:lastColumn="0" w:noHBand="0" w:noVBand="1"/>
        </w:tblPrEx>
        <w:trPr>
          <w:gridAfter w:val="1"/>
          <w:wAfter w:w="1152" w:type="dxa"/>
          <w:trHeight w:val="20"/>
        </w:trPr>
        <w:tc>
          <w:tcPr>
            <w:tcW w:w="0" w:type="auto"/>
            <w:tcBorders>
              <w:top w:val="nil"/>
              <w:left w:val="nil"/>
              <w:bottom w:val="nil"/>
              <w:right w:val="nil"/>
            </w:tcBorders>
            <w:shd w:val="clear" w:color="auto" w:fill="auto"/>
            <w:noWrap/>
            <w:vAlign w:val="bottom"/>
          </w:tcPr>
          <w:p w14:paraId="55660E7E" w14:textId="77777777" w:rsidR="003E148C" w:rsidRPr="002C306D" w:rsidRDefault="003E148C" w:rsidP="0026218B">
            <w:pPr>
              <w:rPr>
                <w:sz w:val="20"/>
                <w:szCs w:val="20"/>
                <w:lang w:eastAsia="pt-PT"/>
              </w:rPr>
            </w:pPr>
          </w:p>
        </w:tc>
        <w:tc>
          <w:tcPr>
            <w:tcW w:w="1152" w:type="dxa"/>
            <w:tcBorders>
              <w:top w:val="nil"/>
              <w:left w:val="nil"/>
              <w:bottom w:val="nil"/>
              <w:right w:val="nil"/>
            </w:tcBorders>
            <w:shd w:val="clear" w:color="auto" w:fill="auto"/>
            <w:noWrap/>
            <w:vAlign w:val="bottom"/>
          </w:tcPr>
          <w:p w14:paraId="4746E82A" w14:textId="77777777" w:rsidR="003E148C" w:rsidRPr="002C306D" w:rsidRDefault="003E148C" w:rsidP="0026218B">
            <w:pPr>
              <w:rPr>
                <w:sz w:val="20"/>
                <w:szCs w:val="20"/>
                <w:lang w:eastAsia="pt-PT"/>
              </w:rPr>
            </w:pPr>
          </w:p>
        </w:tc>
        <w:tc>
          <w:tcPr>
            <w:tcW w:w="1152" w:type="dxa"/>
            <w:tcBorders>
              <w:top w:val="nil"/>
              <w:left w:val="nil"/>
              <w:bottom w:val="nil"/>
              <w:right w:val="nil"/>
            </w:tcBorders>
            <w:shd w:val="clear" w:color="auto" w:fill="auto"/>
            <w:noWrap/>
            <w:vAlign w:val="bottom"/>
          </w:tcPr>
          <w:p w14:paraId="06457EC9" w14:textId="77777777" w:rsidR="003E148C" w:rsidRPr="002C306D" w:rsidRDefault="003E148C" w:rsidP="0026218B">
            <w:pPr>
              <w:rPr>
                <w:sz w:val="20"/>
                <w:szCs w:val="20"/>
                <w:lang w:eastAsia="pt-PT"/>
              </w:rPr>
            </w:pPr>
          </w:p>
        </w:tc>
        <w:tc>
          <w:tcPr>
            <w:tcW w:w="1152" w:type="dxa"/>
            <w:tcBorders>
              <w:top w:val="nil"/>
              <w:left w:val="nil"/>
              <w:bottom w:val="nil"/>
              <w:right w:val="nil"/>
            </w:tcBorders>
            <w:shd w:val="clear" w:color="auto" w:fill="auto"/>
            <w:noWrap/>
            <w:vAlign w:val="bottom"/>
          </w:tcPr>
          <w:p w14:paraId="331D8B3C" w14:textId="77777777" w:rsidR="003E148C" w:rsidRPr="002C306D" w:rsidRDefault="003E148C" w:rsidP="0026218B">
            <w:pPr>
              <w:rPr>
                <w:sz w:val="20"/>
                <w:szCs w:val="20"/>
                <w:lang w:eastAsia="pt-PT"/>
              </w:rPr>
            </w:pPr>
          </w:p>
        </w:tc>
      </w:tr>
    </w:tbl>
    <w:p w14:paraId="54B8D4F1" w14:textId="77777777" w:rsidR="003E148C" w:rsidRPr="00BD2A98" w:rsidRDefault="003E148C" w:rsidP="003E148C">
      <w:pPr>
        <w:autoSpaceDE w:val="0"/>
        <w:autoSpaceDN w:val="0"/>
        <w:adjustRightInd w:val="0"/>
        <w:spacing w:line="480" w:lineRule="auto"/>
        <w:ind w:firstLine="720"/>
        <w:rPr>
          <w:sz w:val="20"/>
          <w:szCs w:val="20"/>
        </w:rPr>
      </w:pPr>
    </w:p>
    <w:p w14:paraId="51CDFA31" w14:textId="77777777" w:rsidR="003E148C" w:rsidRPr="00BD2A98" w:rsidRDefault="003E148C" w:rsidP="003E148C">
      <w:pPr>
        <w:rPr>
          <w:b/>
          <w:sz w:val="20"/>
          <w:szCs w:val="20"/>
        </w:rPr>
      </w:pPr>
      <w:r w:rsidRPr="00BD2A98">
        <w:rPr>
          <w:b/>
          <w:sz w:val="20"/>
          <w:szCs w:val="20"/>
        </w:rPr>
        <w:br w:type="page"/>
      </w:r>
    </w:p>
    <w:p w14:paraId="6603FF11" w14:textId="77777777" w:rsidR="003E148C" w:rsidRDefault="003E148C" w:rsidP="003E148C">
      <w:pPr>
        <w:keepNext/>
        <w:keepLines/>
        <w:autoSpaceDE w:val="0"/>
        <w:autoSpaceDN w:val="0"/>
        <w:adjustRightInd w:val="0"/>
        <w:outlineLvl w:val="1"/>
        <w:rPr>
          <w:b/>
          <w:sz w:val="22"/>
          <w:szCs w:val="22"/>
        </w:rPr>
      </w:pPr>
      <w:r w:rsidRPr="00E94742">
        <w:rPr>
          <w:b/>
          <w:sz w:val="22"/>
          <w:szCs w:val="22"/>
        </w:rPr>
        <w:t>Table 4. Effect of the reform on wage by gender</w:t>
      </w:r>
    </w:p>
    <w:p w14:paraId="425D2424" w14:textId="77777777" w:rsidR="003E148C" w:rsidRPr="00E94742" w:rsidRDefault="003E148C" w:rsidP="003E148C">
      <w:pPr>
        <w:keepNext/>
        <w:keepLines/>
        <w:autoSpaceDE w:val="0"/>
        <w:autoSpaceDN w:val="0"/>
        <w:adjustRightInd w:val="0"/>
        <w:outlineLvl w:val="1"/>
        <w:rPr>
          <w:b/>
          <w:sz w:val="22"/>
          <w:szCs w:val="22"/>
        </w:rPr>
      </w:pPr>
    </w:p>
    <w:tbl>
      <w:tblPr>
        <w:tblW w:w="0" w:type="auto"/>
        <w:tblCellMar>
          <w:left w:w="14" w:type="dxa"/>
          <w:right w:w="14" w:type="dxa"/>
        </w:tblCellMar>
        <w:tblLook w:val="0000" w:firstRow="0" w:lastRow="0" w:firstColumn="0" w:lastColumn="0" w:noHBand="0" w:noVBand="0"/>
      </w:tblPr>
      <w:tblGrid>
        <w:gridCol w:w="2211"/>
        <w:gridCol w:w="1152"/>
        <w:gridCol w:w="1152"/>
        <w:gridCol w:w="1152"/>
        <w:gridCol w:w="1152"/>
      </w:tblGrid>
      <w:tr w:rsidR="003E148C" w:rsidRPr="00BD2A98" w14:paraId="28A7E18D" w14:textId="77777777" w:rsidTr="0026218B">
        <w:trPr>
          <w:trHeight w:val="20"/>
        </w:trPr>
        <w:tc>
          <w:tcPr>
            <w:tcW w:w="0" w:type="auto"/>
            <w:tcBorders>
              <w:top w:val="single" w:sz="6" w:space="0" w:color="auto"/>
              <w:left w:val="nil"/>
              <w:bottom w:val="nil"/>
              <w:right w:val="nil"/>
            </w:tcBorders>
          </w:tcPr>
          <w:p w14:paraId="0A404150" w14:textId="77777777" w:rsidR="003E148C" w:rsidRPr="00BD2A98" w:rsidRDefault="003E148C" w:rsidP="0026218B">
            <w:pPr>
              <w:widowControl w:val="0"/>
              <w:autoSpaceDE w:val="0"/>
              <w:autoSpaceDN w:val="0"/>
              <w:adjustRightInd w:val="0"/>
              <w:rPr>
                <w:sz w:val="20"/>
                <w:szCs w:val="20"/>
              </w:rPr>
            </w:pPr>
          </w:p>
        </w:tc>
        <w:tc>
          <w:tcPr>
            <w:tcW w:w="1152" w:type="dxa"/>
            <w:tcBorders>
              <w:top w:val="single" w:sz="6" w:space="0" w:color="auto"/>
              <w:left w:val="nil"/>
              <w:bottom w:val="nil"/>
              <w:right w:val="nil"/>
            </w:tcBorders>
            <w:vAlign w:val="center"/>
          </w:tcPr>
          <w:p w14:paraId="5E16516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w:t>
            </w:r>
          </w:p>
        </w:tc>
        <w:tc>
          <w:tcPr>
            <w:tcW w:w="1152" w:type="dxa"/>
            <w:tcBorders>
              <w:top w:val="single" w:sz="6" w:space="0" w:color="auto"/>
              <w:left w:val="nil"/>
              <w:bottom w:val="nil"/>
              <w:right w:val="nil"/>
            </w:tcBorders>
            <w:vAlign w:val="center"/>
          </w:tcPr>
          <w:p w14:paraId="193EF21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w:t>
            </w:r>
          </w:p>
        </w:tc>
        <w:tc>
          <w:tcPr>
            <w:tcW w:w="1152" w:type="dxa"/>
            <w:tcBorders>
              <w:top w:val="single" w:sz="6" w:space="0" w:color="auto"/>
              <w:left w:val="nil"/>
              <w:bottom w:val="nil"/>
              <w:right w:val="nil"/>
            </w:tcBorders>
            <w:vAlign w:val="center"/>
          </w:tcPr>
          <w:p w14:paraId="1ED9D2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w:t>
            </w:r>
          </w:p>
        </w:tc>
        <w:tc>
          <w:tcPr>
            <w:tcW w:w="1152" w:type="dxa"/>
            <w:tcBorders>
              <w:top w:val="single" w:sz="6" w:space="0" w:color="auto"/>
              <w:left w:val="nil"/>
              <w:bottom w:val="nil"/>
              <w:right w:val="nil"/>
            </w:tcBorders>
            <w:vAlign w:val="center"/>
          </w:tcPr>
          <w:p w14:paraId="256ED9D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4</w:t>
            </w:r>
          </w:p>
        </w:tc>
      </w:tr>
      <w:tr w:rsidR="003E148C" w:rsidRPr="00BD2A98" w14:paraId="45C12AC2" w14:textId="77777777" w:rsidTr="0026218B">
        <w:trPr>
          <w:trHeight w:val="20"/>
        </w:trPr>
        <w:tc>
          <w:tcPr>
            <w:tcW w:w="0" w:type="auto"/>
            <w:tcBorders>
              <w:top w:val="single" w:sz="6" w:space="0" w:color="auto"/>
              <w:left w:val="nil"/>
              <w:bottom w:val="nil"/>
              <w:right w:val="nil"/>
            </w:tcBorders>
          </w:tcPr>
          <w:p w14:paraId="4B84ACE6"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w:t>
            </w:r>
          </w:p>
        </w:tc>
        <w:tc>
          <w:tcPr>
            <w:tcW w:w="1152" w:type="dxa"/>
            <w:tcBorders>
              <w:top w:val="single" w:sz="6" w:space="0" w:color="auto"/>
              <w:left w:val="nil"/>
              <w:bottom w:val="nil"/>
              <w:right w:val="nil"/>
            </w:tcBorders>
            <w:vAlign w:val="center"/>
          </w:tcPr>
          <w:p w14:paraId="3BE9C2C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w:t>
            </w:r>
          </w:p>
        </w:tc>
        <w:tc>
          <w:tcPr>
            <w:tcW w:w="1152" w:type="dxa"/>
            <w:tcBorders>
              <w:top w:val="single" w:sz="6" w:space="0" w:color="auto"/>
              <w:left w:val="nil"/>
              <w:bottom w:val="nil"/>
              <w:right w:val="nil"/>
            </w:tcBorders>
            <w:vAlign w:val="center"/>
          </w:tcPr>
          <w:p w14:paraId="11E13FB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w:t>
            </w:r>
          </w:p>
        </w:tc>
        <w:tc>
          <w:tcPr>
            <w:tcW w:w="1152" w:type="dxa"/>
            <w:tcBorders>
              <w:top w:val="single" w:sz="6" w:space="0" w:color="auto"/>
              <w:left w:val="nil"/>
              <w:bottom w:val="nil"/>
              <w:right w:val="nil"/>
            </w:tcBorders>
            <w:vAlign w:val="center"/>
          </w:tcPr>
          <w:p w14:paraId="0956A5B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w:t>
            </w:r>
          </w:p>
        </w:tc>
        <w:tc>
          <w:tcPr>
            <w:tcW w:w="1152" w:type="dxa"/>
            <w:tcBorders>
              <w:top w:val="single" w:sz="6" w:space="0" w:color="auto"/>
              <w:left w:val="nil"/>
              <w:bottom w:val="nil"/>
              <w:right w:val="nil"/>
            </w:tcBorders>
            <w:vAlign w:val="center"/>
          </w:tcPr>
          <w:p w14:paraId="5C1FA9C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w:t>
            </w:r>
          </w:p>
        </w:tc>
      </w:tr>
      <w:tr w:rsidR="003E148C" w:rsidRPr="00BD2A98" w14:paraId="45FC0964" w14:textId="77777777" w:rsidTr="0026218B">
        <w:trPr>
          <w:trHeight w:val="20"/>
        </w:trPr>
        <w:tc>
          <w:tcPr>
            <w:tcW w:w="0" w:type="auto"/>
            <w:tcBorders>
              <w:top w:val="nil"/>
              <w:left w:val="nil"/>
              <w:bottom w:val="nil"/>
              <w:right w:val="nil"/>
            </w:tcBorders>
          </w:tcPr>
          <w:p w14:paraId="1E922ACC"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6880912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w:t>
            </w:r>
          </w:p>
        </w:tc>
        <w:tc>
          <w:tcPr>
            <w:tcW w:w="1152" w:type="dxa"/>
            <w:tcBorders>
              <w:top w:val="nil"/>
              <w:left w:val="nil"/>
              <w:bottom w:val="nil"/>
              <w:right w:val="nil"/>
            </w:tcBorders>
            <w:vAlign w:val="center"/>
          </w:tcPr>
          <w:p w14:paraId="274E469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w:t>
            </w:r>
          </w:p>
        </w:tc>
        <w:tc>
          <w:tcPr>
            <w:tcW w:w="1152" w:type="dxa"/>
            <w:tcBorders>
              <w:top w:val="nil"/>
              <w:left w:val="nil"/>
              <w:bottom w:val="nil"/>
              <w:right w:val="nil"/>
            </w:tcBorders>
            <w:vAlign w:val="center"/>
          </w:tcPr>
          <w:p w14:paraId="00F7B1A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w:t>
            </w:r>
          </w:p>
        </w:tc>
        <w:tc>
          <w:tcPr>
            <w:tcW w:w="1152" w:type="dxa"/>
            <w:tcBorders>
              <w:top w:val="nil"/>
              <w:left w:val="nil"/>
              <w:bottom w:val="nil"/>
              <w:right w:val="nil"/>
            </w:tcBorders>
            <w:vAlign w:val="center"/>
          </w:tcPr>
          <w:p w14:paraId="39672B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w:t>
            </w:r>
          </w:p>
        </w:tc>
      </w:tr>
      <w:tr w:rsidR="003E148C" w:rsidRPr="00BD2A98" w14:paraId="5A81673C" w14:textId="77777777" w:rsidTr="0026218B">
        <w:trPr>
          <w:trHeight w:val="20"/>
        </w:trPr>
        <w:tc>
          <w:tcPr>
            <w:tcW w:w="0" w:type="auto"/>
            <w:tcBorders>
              <w:top w:val="nil"/>
              <w:left w:val="nil"/>
              <w:bottom w:val="nil"/>
              <w:right w:val="nil"/>
            </w:tcBorders>
          </w:tcPr>
          <w:p w14:paraId="7101225C" w14:textId="77777777" w:rsidR="003E148C" w:rsidRPr="00BD2A98" w:rsidRDefault="003E148C" w:rsidP="0026218B">
            <w:pPr>
              <w:widowControl w:val="0"/>
              <w:autoSpaceDE w:val="0"/>
              <w:autoSpaceDN w:val="0"/>
              <w:adjustRightInd w:val="0"/>
              <w:rPr>
                <w:sz w:val="20"/>
                <w:szCs w:val="20"/>
              </w:rPr>
            </w:pPr>
            <w:r w:rsidRPr="00BD2A98">
              <w:rPr>
                <w:sz w:val="20"/>
                <w:szCs w:val="20"/>
              </w:rPr>
              <w:t>Female</w:t>
            </w:r>
          </w:p>
        </w:tc>
        <w:tc>
          <w:tcPr>
            <w:tcW w:w="1152" w:type="dxa"/>
            <w:tcBorders>
              <w:top w:val="nil"/>
              <w:left w:val="nil"/>
              <w:bottom w:val="nil"/>
              <w:right w:val="nil"/>
            </w:tcBorders>
            <w:vAlign w:val="center"/>
          </w:tcPr>
          <w:p w14:paraId="539005E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-0.197</w:t>
            </w:r>
          </w:p>
        </w:tc>
        <w:tc>
          <w:tcPr>
            <w:tcW w:w="1152" w:type="dxa"/>
            <w:tcBorders>
              <w:top w:val="nil"/>
              <w:left w:val="nil"/>
              <w:bottom w:val="nil"/>
              <w:right w:val="nil"/>
            </w:tcBorders>
            <w:vAlign w:val="center"/>
          </w:tcPr>
          <w:p w14:paraId="573E564A"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0D812EA6"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2FE76102"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78A958F9" w14:textId="77777777" w:rsidTr="0026218B">
        <w:trPr>
          <w:trHeight w:val="20"/>
        </w:trPr>
        <w:tc>
          <w:tcPr>
            <w:tcW w:w="0" w:type="auto"/>
            <w:tcBorders>
              <w:top w:val="nil"/>
              <w:left w:val="nil"/>
              <w:bottom w:val="nil"/>
              <w:right w:val="nil"/>
            </w:tcBorders>
          </w:tcPr>
          <w:p w14:paraId="31625D03"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25970B5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w:t>
            </w:r>
          </w:p>
        </w:tc>
        <w:tc>
          <w:tcPr>
            <w:tcW w:w="1152" w:type="dxa"/>
            <w:tcBorders>
              <w:top w:val="nil"/>
              <w:left w:val="nil"/>
              <w:bottom w:val="nil"/>
              <w:right w:val="nil"/>
            </w:tcBorders>
            <w:vAlign w:val="center"/>
          </w:tcPr>
          <w:p w14:paraId="2E9BCF5E"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2A6F2829"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05646CAA"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481504F5" w14:textId="77777777" w:rsidTr="0026218B">
        <w:trPr>
          <w:trHeight w:val="20"/>
        </w:trPr>
        <w:tc>
          <w:tcPr>
            <w:tcW w:w="0" w:type="auto"/>
            <w:tcBorders>
              <w:top w:val="nil"/>
              <w:left w:val="nil"/>
              <w:bottom w:val="nil"/>
              <w:right w:val="nil"/>
            </w:tcBorders>
          </w:tcPr>
          <w:p w14:paraId="13C73089"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deregulation*Female</w:t>
            </w:r>
          </w:p>
        </w:tc>
        <w:tc>
          <w:tcPr>
            <w:tcW w:w="1152" w:type="dxa"/>
            <w:tcBorders>
              <w:top w:val="nil"/>
              <w:left w:val="nil"/>
              <w:bottom w:val="nil"/>
              <w:right w:val="nil"/>
            </w:tcBorders>
            <w:vAlign w:val="center"/>
          </w:tcPr>
          <w:p w14:paraId="5B9DB6C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w:t>
            </w:r>
          </w:p>
        </w:tc>
        <w:tc>
          <w:tcPr>
            <w:tcW w:w="1152" w:type="dxa"/>
            <w:tcBorders>
              <w:top w:val="nil"/>
              <w:left w:val="nil"/>
              <w:bottom w:val="nil"/>
              <w:right w:val="nil"/>
            </w:tcBorders>
            <w:vAlign w:val="center"/>
          </w:tcPr>
          <w:p w14:paraId="4C7A0DA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w:t>
            </w:r>
          </w:p>
        </w:tc>
        <w:tc>
          <w:tcPr>
            <w:tcW w:w="1152" w:type="dxa"/>
            <w:tcBorders>
              <w:top w:val="nil"/>
              <w:left w:val="nil"/>
              <w:bottom w:val="nil"/>
              <w:right w:val="nil"/>
            </w:tcBorders>
            <w:vAlign w:val="center"/>
          </w:tcPr>
          <w:p w14:paraId="016A378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w:t>
            </w:r>
          </w:p>
        </w:tc>
        <w:tc>
          <w:tcPr>
            <w:tcW w:w="1152" w:type="dxa"/>
            <w:tcBorders>
              <w:top w:val="nil"/>
              <w:left w:val="nil"/>
              <w:bottom w:val="nil"/>
              <w:right w:val="nil"/>
            </w:tcBorders>
            <w:vAlign w:val="center"/>
          </w:tcPr>
          <w:p w14:paraId="62E00B0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w:t>
            </w:r>
          </w:p>
        </w:tc>
      </w:tr>
      <w:tr w:rsidR="003E148C" w:rsidRPr="00BD2A98" w14:paraId="188B4633" w14:textId="77777777" w:rsidTr="0026218B">
        <w:trPr>
          <w:trHeight w:val="20"/>
        </w:trPr>
        <w:tc>
          <w:tcPr>
            <w:tcW w:w="0" w:type="auto"/>
            <w:tcBorders>
              <w:top w:val="nil"/>
              <w:left w:val="nil"/>
              <w:bottom w:val="nil"/>
              <w:right w:val="nil"/>
            </w:tcBorders>
          </w:tcPr>
          <w:p w14:paraId="696C0D62"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714A556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w:t>
            </w:r>
          </w:p>
        </w:tc>
        <w:tc>
          <w:tcPr>
            <w:tcW w:w="1152" w:type="dxa"/>
            <w:tcBorders>
              <w:top w:val="nil"/>
              <w:left w:val="nil"/>
              <w:bottom w:val="nil"/>
              <w:right w:val="nil"/>
            </w:tcBorders>
            <w:vAlign w:val="center"/>
          </w:tcPr>
          <w:p w14:paraId="4BBAFA0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5F15CB0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c>
          <w:tcPr>
            <w:tcW w:w="1152" w:type="dxa"/>
            <w:tcBorders>
              <w:top w:val="nil"/>
              <w:left w:val="nil"/>
              <w:bottom w:val="nil"/>
              <w:right w:val="nil"/>
            </w:tcBorders>
            <w:vAlign w:val="center"/>
          </w:tcPr>
          <w:p w14:paraId="6219F2F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r>
      <w:tr w:rsidR="003E148C" w:rsidRPr="00BD2A98" w14:paraId="615DAA89" w14:textId="77777777" w:rsidTr="0026218B">
        <w:trPr>
          <w:trHeight w:val="20"/>
        </w:trPr>
        <w:tc>
          <w:tcPr>
            <w:tcW w:w="0" w:type="auto"/>
            <w:tcBorders>
              <w:top w:val="nil"/>
              <w:left w:val="nil"/>
              <w:bottom w:val="nil"/>
              <w:right w:val="nil"/>
            </w:tcBorders>
          </w:tcPr>
          <w:p w14:paraId="3210E327" w14:textId="77777777" w:rsidR="003E148C" w:rsidRPr="00BD2A98" w:rsidRDefault="003E148C" w:rsidP="0026218B">
            <w:pPr>
              <w:widowControl w:val="0"/>
              <w:autoSpaceDE w:val="0"/>
              <w:autoSpaceDN w:val="0"/>
              <w:adjustRightInd w:val="0"/>
              <w:rPr>
                <w:sz w:val="20"/>
                <w:szCs w:val="20"/>
              </w:rPr>
            </w:pPr>
            <w:r w:rsidRPr="00BD2A98">
              <w:rPr>
                <w:sz w:val="20"/>
                <w:szCs w:val="20"/>
              </w:rPr>
              <w:t>Age</w:t>
            </w:r>
          </w:p>
        </w:tc>
        <w:tc>
          <w:tcPr>
            <w:tcW w:w="1152" w:type="dxa"/>
            <w:tcBorders>
              <w:top w:val="nil"/>
              <w:left w:val="nil"/>
              <w:bottom w:val="nil"/>
              <w:right w:val="nil"/>
            </w:tcBorders>
            <w:vAlign w:val="center"/>
          </w:tcPr>
          <w:p w14:paraId="4CE713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0.029</w:t>
            </w:r>
          </w:p>
        </w:tc>
        <w:tc>
          <w:tcPr>
            <w:tcW w:w="1152" w:type="dxa"/>
            <w:tcBorders>
              <w:top w:val="nil"/>
              <w:left w:val="nil"/>
              <w:bottom w:val="nil"/>
              <w:right w:val="nil"/>
            </w:tcBorders>
            <w:vAlign w:val="center"/>
          </w:tcPr>
          <w:p w14:paraId="57ECA82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0.028</w:t>
            </w:r>
          </w:p>
        </w:tc>
        <w:tc>
          <w:tcPr>
            <w:tcW w:w="1152" w:type="dxa"/>
            <w:tcBorders>
              <w:top w:val="nil"/>
              <w:left w:val="nil"/>
              <w:bottom w:val="nil"/>
              <w:right w:val="nil"/>
            </w:tcBorders>
            <w:vAlign w:val="center"/>
          </w:tcPr>
          <w:p w14:paraId="2CFAC07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0.025</w:t>
            </w:r>
          </w:p>
        </w:tc>
        <w:tc>
          <w:tcPr>
            <w:tcW w:w="1152" w:type="dxa"/>
            <w:tcBorders>
              <w:top w:val="nil"/>
              <w:left w:val="nil"/>
              <w:bottom w:val="nil"/>
              <w:right w:val="nil"/>
            </w:tcBorders>
            <w:vAlign w:val="center"/>
          </w:tcPr>
          <w:p w14:paraId="2AB79F0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0.024</w:t>
            </w:r>
          </w:p>
        </w:tc>
      </w:tr>
      <w:tr w:rsidR="003E148C" w:rsidRPr="00BD2A98" w14:paraId="1D9944EA" w14:textId="77777777" w:rsidTr="0026218B">
        <w:trPr>
          <w:trHeight w:val="20"/>
        </w:trPr>
        <w:tc>
          <w:tcPr>
            <w:tcW w:w="0" w:type="auto"/>
            <w:tcBorders>
              <w:top w:val="nil"/>
              <w:left w:val="nil"/>
              <w:bottom w:val="nil"/>
              <w:right w:val="nil"/>
            </w:tcBorders>
          </w:tcPr>
          <w:p w14:paraId="61642A6D"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5ABC7D9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0C2A526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4EA8501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2A15B3A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r>
      <w:tr w:rsidR="003E148C" w:rsidRPr="00BD2A98" w14:paraId="2C9974C5" w14:textId="77777777" w:rsidTr="0026218B">
        <w:trPr>
          <w:trHeight w:val="20"/>
        </w:trPr>
        <w:tc>
          <w:tcPr>
            <w:tcW w:w="0" w:type="auto"/>
            <w:tcBorders>
              <w:top w:val="nil"/>
              <w:left w:val="nil"/>
              <w:bottom w:val="nil"/>
              <w:right w:val="nil"/>
            </w:tcBorders>
          </w:tcPr>
          <w:p w14:paraId="1BF5908A" w14:textId="77777777" w:rsidR="003E148C" w:rsidRPr="00BD2A98" w:rsidRDefault="003E148C" w:rsidP="0026218B">
            <w:pPr>
              <w:widowControl w:val="0"/>
              <w:autoSpaceDE w:val="0"/>
              <w:autoSpaceDN w:val="0"/>
              <w:adjustRightInd w:val="0"/>
              <w:rPr>
                <w:sz w:val="20"/>
                <w:szCs w:val="20"/>
              </w:rPr>
            </w:pPr>
            <w:r w:rsidRPr="00BD2A98">
              <w:rPr>
                <w:sz w:val="20"/>
                <w:szCs w:val="20"/>
              </w:rPr>
              <w:t>Age squared</w:t>
            </w:r>
          </w:p>
        </w:tc>
        <w:tc>
          <w:tcPr>
            <w:tcW w:w="1152" w:type="dxa"/>
            <w:tcBorders>
              <w:top w:val="nil"/>
              <w:left w:val="nil"/>
              <w:bottom w:val="nil"/>
              <w:right w:val="nil"/>
            </w:tcBorders>
            <w:vAlign w:val="center"/>
          </w:tcPr>
          <w:p w14:paraId="36B6B53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w:t>
            </w:r>
          </w:p>
        </w:tc>
        <w:tc>
          <w:tcPr>
            <w:tcW w:w="1152" w:type="dxa"/>
            <w:tcBorders>
              <w:top w:val="nil"/>
              <w:left w:val="nil"/>
              <w:bottom w:val="nil"/>
              <w:right w:val="nil"/>
            </w:tcBorders>
            <w:vAlign w:val="center"/>
          </w:tcPr>
          <w:p w14:paraId="1A52792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w:t>
            </w:r>
          </w:p>
        </w:tc>
        <w:tc>
          <w:tcPr>
            <w:tcW w:w="1152" w:type="dxa"/>
            <w:tcBorders>
              <w:top w:val="nil"/>
              <w:left w:val="nil"/>
              <w:bottom w:val="nil"/>
              <w:right w:val="nil"/>
            </w:tcBorders>
            <w:vAlign w:val="center"/>
          </w:tcPr>
          <w:p w14:paraId="68FE071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w:t>
            </w:r>
          </w:p>
        </w:tc>
        <w:tc>
          <w:tcPr>
            <w:tcW w:w="1152" w:type="dxa"/>
            <w:tcBorders>
              <w:top w:val="nil"/>
              <w:left w:val="nil"/>
              <w:bottom w:val="nil"/>
              <w:right w:val="nil"/>
            </w:tcBorders>
            <w:vAlign w:val="center"/>
          </w:tcPr>
          <w:p w14:paraId="74639D6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w:t>
            </w:r>
          </w:p>
        </w:tc>
      </w:tr>
      <w:tr w:rsidR="003E148C" w:rsidRPr="00BD2A98" w14:paraId="52D04206" w14:textId="77777777" w:rsidTr="0026218B">
        <w:trPr>
          <w:trHeight w:val="20"/>
        </w:trPr>
        <w:tc>
          <w:tcPr>
            <w:tcW w:w="0" w:type="auto"/>
            <w:tcBorders>
              <w:top w:val="nil"/>
              <w:left w:val="nil"/>
              <w:bottom w:val="nil"/>
              <w:right w:val="nil"/>
            </w:tcBorders>
          </w:tcPr>
          <w:p w14:paraId="16217E03"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1DEC07C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w:t>
            </w:r>
          </w:p>
        </w:tc>
        <w:tc>
          <w:tcPr>
            <w:tcW w:w="1152" w:type="dxa"/>
            <w:tcBorders>
              <w:top w:val="nil"/>
              <w:left w:val="nil"/>
              <w:bottom w:val="nil"/>
              <w:right w:val="nil"/>
            </w:tcBorders>
            <w:vAlign w:val="center"/>
          </w:tcPr>
          <w:p w14:paraId="02F2B96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w:t>
            </w:r>
          </w:p>
        </w:tc>
        <w:tc>
          <w:tcPr>
            <w:tcW w:w="1152" w:type="dxa"/>
            <w:tcBorders>
              <w:top w:val="nil"/>
              <w:left w:val="nil"/>
              <w:bottom w:val="nil"/>
              <w:right w:val="nil"/>
            </w:tcBorders>
            <w:vAlign w:val="center"/>
          </w:tcPr>
          <w:p w14:paraId="34BF7E0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w:t>
            </w:r>
          </w:p>
        </w:tc>
        <w:tc>
          <w:tcPr>
            <w:tcW w:w="1152" w:type="dxa"/>
            <w:tcBorders>
              <w:top w:val="nil"/>
              <w:left w:val="nil"/>
              <w:bottom w:val="nil"/>
              <w:right w:val="nil"/>
            </w:tcBorders>
            <w:vAlign w:val="center"/>
          </w:tcPr>
          <w:p w14:paraId="3152DC0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w:t>
            </w:r>
          </w:p>
        </w:tc>
      </w:tr>
      <w:tr w:rsidR="003E148C" w:rsidRPr="00BD2A98" w14:paraId="62E602A5" w14:textId="77777777" w:rsidTr="0026218B">
        <w:trPr>
          <w:trHeight w:val="20"/>
        </w:trPr>
        <w:tc>
          <w:tcPr>
            <w:tcW w:w="0" w:type="auto"/>
            <w:tcBorders>
              <w:top w:val="nil"/>
              <w:left w:val="nil"/>
              <w:bottom w:val="nil"/>
              <w:right w:val="nil"/>
            </w:tcBorders>
          </w:tcPr>
          <w:p w14:paraId="1A81CA95" w14:textId="77777777" w:rsidR="003E148C" w:rsidRPr="00BD2A98" w:rsidRDefault="003E148C" w:rsidP="0026218B">
            <w:pPr>
              <w:widowControl w:val="0"/>
              <w:autoSpaceDE w:val="0"/>
              <w:autoSpaceDN w:val="0"/>
              <w:adjustRightInd w:val="0"/>
              <w:rPr>
                <w:sz w:val="20"/>
                <w:szCs w:val="20"/>
              </w:rPr>
            </w:pPr>
            <w:r w:rsidRPr="00BD2A98">
              <w:rPr>
                <w:sz w:val="20"/>
                <w:szCs w:val="20"/>
              </w:rPr>
              <w:t>Mid education</w:t>
            </w:r>
          </w:p>
        </w:tc>
        <w:tc>
          <w:tcPr>
            <w:tcW w:w="1152" w:type="dxa"/>
            <w:tcBorders>
              <w:top w:val="nil"/>
              <w:left w:val="nil"/>
              <w:bottom w:val="nil"/>
              <w:right w:val="nil"/>
            </w:tcBorders>
            <w:vAlign w:val="center"/>
          </w:tcPr>
          <w:p w14:paraId="004566E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0.125</w:t>
            </w:r>
          </w:p>
        </w:tc>
        <w:tc>
          <w:tcPr>
            <w:tcW w:w="1152" w:type="dxa"/>
            <w:tcBorders>
              <w:top w:val="nil"/>
              <w:left w:val="nil"/>
              <w:bottom w:val="nil"/>
              <w:right w:val="nil"/>
            </w:tcBorders>
            <w:vAlign w:val="center"/>
          </w:tcPr>
          <w:p w14:paraId="0189B5A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w:t>
            </w:r>
          </w:p>
        </w:tc>
        <w:tc>
          <w:tcPr>
            <w:tcW w:w="1152" w:type="dxa"/>
            <w:tcBorders>
              <w:top w:val="nil"/>
              <w:left w:val="nil"/>
              <w:bottom w:val="nil"/>
              <w:right w:val="nil"/>
            </w:tcBorders>
            <w:vAlign w:val="center"/>
          </w:tcPr>
          <w:p w14:paraId="1B0A02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c>
          <w:tcPr>
            <w:tcW w:w="1152" w:type="dxa"/>
            <w:tcBorders>
              <w:top w:val="nil"/>
              <w:left w:val="nil"/>
              <w:bottom w:val="nil"/>
              <w:right w:val="nil"/>
            </w:tcBorders>
            <w:vAlign w:val="center"/>
          </w:tcPr>
          <w:p w14:paraId="6A0F2AB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r>
      <w:tr w:rsidR="003E148C" w:rsidRPr="00BD2A98" w14:paraId="1517E4B4" w14:textId="77777777" w:rsidTr="0026218B">
        <w:trPr>
          <w:trHeight w:val="20"/>
        </w:trPr>
        <w:tc>
          <w:tcPr>
            <w:tcW w:w="0" w:type="auto"/>
            <w:tcBorders>
              <w:top w:val="nil"/>
              <w:left w:val="nil"/>
              <w:bottom w:val="nil"/>
              <w:right w:val="nil"/>
            </w:tcBorders>
          </w:tcPr>
          <w:p w14:paraId="2D006A2E"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03F6325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(0.013)</w:t>
            </w:r>
          </w:p>
        </w:tc>
        <w:tc>
          <w:tcPr>
            <w:tcW w:w="1152" w:type="dxa"/>
            <w:tcBorders>
              <w:top w:val="nil"/>
              <w:left w:val="nil"/>
              <w:bottom w:val="nil"/>
              <w:right w:val="nil"/>
            </w:tcBorders>
            <w:vAlign w:val="center"/>
          </w:tcPr>
          <w:p w14:paraId="16F50B7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c>
          <w:tcPr>
            <w:tcW w:w="1152" w:type="dxa"/>
            <w:tcBorders>
              <w:top w:val="nil"/>
              <w:left w:val="nil"/>
              <w:bottom w:val="nil"/>
              <w:right w:val="nil"/>
            </w:tcBorders>
            <w:vAlign w:val="center"/>
          </w:tcPr>
          <w:p w14:paraId="51C5BD5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c>
          <w:tcPr>
            <w:tcW w:w="1152" w:type="dxa"/>
            <w:tcBorders>
              <w:top w:val="nil"/>
              <w:left w:val="nil"/>
              <w:bottom w:val="nil"/>
              <w:right w:val="nil"/>
            </w:tcBorders>
            <w:vAlign w:val="center"/>
          </w:tcPr>
          <w:p w14:paraId="29FE1FD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r>
      <w:tr w:rsidR="003E148C" w:rsidRPr="00BD2A98" w14:paraId="42858C80" w14:textId="77777777" w:rsidTr="0026218B">
        <w:trPr>
          <w:trHeight w:val="20"/>
        </w:trPr>
        <w:tc>
          <w:tcPr>
            <w:tcW w:w="0" w:type="auto"/>
            <w:tcBorders>
              <w:top w:val="nil"/>
              <w:left w:val="nil"/>
              <w:bottom w:val="nil"/>
              <w:right w:val="nil"/>
            </w:tcBorders>
          </w:tcPr>
          <w:p w14:paraId="50AD9B51" w14:textId="77777777" w:rsidR="003E148C" w:rsidRPr="00BD2A98" w:rsidRDefault="003E148C" w:rsidP="0026218B">
            <w:pPr>
              <w:widowControl w:val="0"/>
              <w:autoSpaceDE w:val="0"/>
              <w:autoSpaceDN w:val="0"/>
              <w:adjustRightInd w:val="0"/>
              <w:rPr>
                <w:sz w:val="20"/>
                <w:szCs w:val="20"/>
              </w:rPr>
            </w:pPr>
            <w:r w:rsidRPr="00BD2A98">
              <w:rPr>
                <w:sz w:val="20"/>
                <w:szCs w:val="20"/>
              </w:rPr>
              <w:t>High education</w:t>
            </w:r>
          </w:p>
        </w:tc>
        <w:tc>
          <w:tcPr>
            <w:tcW w:w="1152" w:type="dxa"/>
            <w:tcBorders>
              <w:top w:val="nil"/>
              <w:left w:val="nil"/>
              <w:bottom w:val="nil"/>
              <w:right w:val="nil"/>
            </w:tcBorders>
            <w:vAlign w:val="center"/>
          </w:tcPr>
          <w:p w14:paraId="2F2C48A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0.396</w:t>
            </w:r>
          </w:p>
        </w:tc>
        <w:tc>
          <w:tcPr>
            <w:tcW w:w="1152" w:type="dxa"/>
            <w:tcBorders>
              <w:top w:val="nil"/>
              <w:left w:val="nil"/>
              <w:bottom w:val="nil"/>
              <w:right w:val="nil"/>
            </w:tcBorders>
            <w:vAlign w:val="center"/>
          </w:tcPr>
          <w:p w14:paraId="50ECA49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0.104</w:t>
            </w:r>
          </w:p>
        </w:tc>
        <w:tc>
          <w:tcPr>
            <w:tcW w:w="1152" w:type="dxa"/>
            <w:tcBorders>
              <w:top w:val="nil"/>
              <w:left w:val="nil"/>
              <w:bottom w:val="nil"/>
              <w:right w:val="nil"/>
            </w:tcBorders>
            <w:vAlign w:val="center"/>
          </w:tcPr>
          <w:p w14:paraId="2172C78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0.072</w:t>
            </w:r>
          </w:p>
        </w:tc>
        <w:tc>
          <w:tcPr>
            <w:tcW w:w="1152" w:type="dxa"/>
            <w:tcBorders>
              <w:top w:val="nil"/>
              <w:left w:val="nil"/>
              <w:bottom w:val="nil"/>
              <w:right w:val="nil"/>
            </w:tcBorders>
            <w:vAlign w:val="center"/>
          </w:tcPr>
          <w:p w14:paraId="4B5CCF3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0.051</w:t>
            </w:r>
          </w:p>
        </w:tc>
      </w:tr>
      <w:tr w:rsidR="003E148C" w:rsidRPr="00BD2A98" w14:paraId="4EAA3AA5" w14:textId="77777777" w:rsidTr="0026218B">
        <w:trPr>
          <w:trHeight w:val="20"/>
        </w:trPr>
        <w:tc>
          <w:tcPr>
            <w:tcW w:w="0" w:type="auto"/>
            <w:tcBorders>
              <w:top w:val="nil"/>
              <w:left w:val="nil"/>
              <w:bottom w:val="nil"/>
              <w:right w:val="nil"/>
            </w:tcBorders>
          </w:tcPr>
          <w:p w14:paraId="186BF474"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008DB37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(0.011)</w:t>
            </w:r>
          </w:p>
        </w:tc>
        <w:tc>
          <w:tcPr>
            <w:tcW w:w="1152" w:type="dxa"/>
            <w:tcBorders>
              <w:top w:val="nil"/>
              <w:left w:val="nil"/>
              <w:bottom w:val="nil"/>
              <w:right w:val="nil"/>
            </w:tcBorders>
            <w:vAlign w:val="center"/>
          </w:tcPr>
          <w:p w14:paraId="572AFEA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w:t>
            </w:r>
          </w:p>
        </w:tc>
        <w:tc>
          <w:tcPr>
            <w:tcW w:w="1152" w:type="dxa"/>
            <w:tcBorders>
              <w:top w:val="nil"/>
              <w:left w:val="nil"/>
              <w:bottom w:val="nil"/>
              <w:right w:val="nil"/>
            </w:tcBorders>
            <w:vAlign w:val="center"/>
          </w:tcPr>
          <w:p w14:paraId="277904E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w:t>
            </w:r>
          </w:p>
        </w:tc>
        <w:tc>
          <w:tcPr>
            <w:tcW w:w="1152" w:type="dxa"/>
            <w:tcBorders>
              <w:top w:val="nil"/>
              <w:left w:val="nil"/>
              <w:bottom w:val="nil"/>
              <w:right w:val="nil"/>
            </w:tcBorders>
            <w:vAlign w:val="center"/>
          </w:tcPr>
          <w:p w14:paraId="68BDA68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r>
      <w:tr w:rsidR="003E148C" w:rsidRPr="00BD2A98" w14:paraId="13B13D73" w14:textId="77777777" w:rsidTr="0026218B">
        <w:trPr>
          <w:trHeight w:val="20"/>
        </w:trPr>
        <w:tc>
          <w:tcPr>
            <w:tcW w:w="0" w:type="auto"/>
            <w:tcBorders>
              <w:top w:val="nil"/>
              <w:left w:val="nil"/>
              <w:bottom w:val="nil"/>
              <w:right w:val="nil"/>
            </w:tcBorders>
          </w:tcPr>
          <w:p w14:paraId="7398AF38" w14:textId="77777777" w:rsidR="003E148C" w:rsidRPr="00BD2A98" w:rsidRDefault="003E148C" w:rsidP="0026218B">
            <w:pPr>
              <w:widowControl w:val="0"/>
              <w:autoSpaceDE w:val="0"/>
              <w:autoSpaceDN w:val="0"/>
              <w:adjustRightInd w:val="0"/>
              <w:rPr>
                <w:sz w:val="20"/>
                <w:szCs w:val="20"/>
              </w:rPr>
            </w:pPr>
            <w:r w:rsidRPr="00BD2A98">
              <w:rPr>
                <w:sz w:val="20"/>
                <w:szCs w:val="20"/>
              </w:rPr>
              <w:t>Hours worked (ln)</w:t>
            </w:r>
          </w:p>
        </w:tc>
        <w:tc>
          <w:tcPr>
            <w:tcW w:w="1152" w:type="dxa"/>
            <w:tcBorders>
              <w:top w:val="nil"/>
              <w:left w:val="nil"/>
              <w:bottom w:val="nil"/>
              <w:right w:val="nil"/>
            </w:tcBorders>
            <w:vAlign w:val="center"/>
          </w:tcPr>
          <w:p w14:paraId="4386EB0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0.703</w:t>
            </w:r>
          </w:p>
        </w:tc>
        <w:tc>
          <w:tcPr>
            <w:tcW w:w="1152" w:type="dxa"/>
            <w:tcBorders>
              <w:top w:val="nil"/>
              <w:left w:val="nil"/>
              <w:bottom w:val="nil"/>
              <w:right w:val="nil"/>
            </w:tcBorders>
            <w:vAlign w:val="center"/>
          </w:tcPr>
          <w:p w14:paraId="29F37D2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0.828</w:t>
            </w:r>
          </w:p>
        </w:tc>
        <w:tc>
          <w:tcPr>
            <w:tcW w:w="1152" w:type="dxa"/>
            <w:tcBorders>
              <w:top w:val="nil"/>
              <w:left w:val="nil"/>
              <w:bottom w:val="nil"/>
              <w:right w:val="nil"/>
            </w:tcBorders>
            <w:vAlign w:val="center"/>
          </w:tcPr>
          <w:p w14:paraId="7D14320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0.852</w:t>
            </w:r>
          </w:p>
        </w:tc>
        <w:tc>
          <w:tcPr>
            <w:tcW w:w="1152" w:type="dxa"/>
            <w:tcBorders>
              <w:top w:val="nil"/>
              <w:left w:val="nil"/>
              <w:bottom w:val="nil"/>
              <w:right w:val="nil"/>
            </w:tcBorders>
            <w:vAlign w:val="center"/>
          </w:tcPr>
          <w:p w14:paraId="0AD11F7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0.820</w:t>
            </w:r>
          </w:p>
        </w:tc>
      </w:tr>
      <w:tr w:rsidR="003E148C" w:rsidRPr="00BD2A98" w14:paraId="23AE6764" w14:textId="77777777" w:rsidTr="0026218B">
        <w:trPr>
          <w:trHeight w:val="20"/>
        </w:trPr>
        <w:tc>
          <w:tcPr>
            <w:tcW w:w="0" w:type="auto"/>
            <w:tcBorders>
              <w:top w:val="nil"/>
              <w:left w:val="nil"/>
              <w:bottom w:val="nil"/>
              <w:right w:val="nil"/>
            </w:tcBorders>
          </w:tcPr>
          <w:p w14:paraId="118F2C1D"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3C9C050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(0.045)</w:t>
            </w:r>
          </w:p>
        </w:tc>
        <w:tc>
          <w:tcPr>
            <w:tcW w:w="1152" w:type="dxa"/>
            <w:tcBorders>
              <w:top w:val="nil"/>
              <w:left w:val="nil"/>
              <w:bottom w:val="nil"/>
              <w:right w:val="nil"/>
            </w:tcBorders>
            <w:vAlign w:val="center"/>
          </w:tcPr>
          <w:p w14:paraId="487931E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w:t>
            </w:r>
          </w:p>
        </w:tc>
        <w:tc>
          <w:tcPr>
            <w:tcW w:w="1152" w:type="dxa"/>
            <w:tcBorders>
              <w:top w:val="nil"/>
              <w:left w:val="nil"/>
              <w:bottom w:val="nil"/>
              <w:right w:val="nil"/>
            </w:tcBorders>
            <w:vAlign w:val="center"/>
          </w:tcPr>
          <w:p w14:paraId="6C7D829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w:t>
            </w:r>
          </w:p>
        </w:tc>
        <w:tc>
          <w:tcPr>
            <w:tcW w:w="1152" w:type="dxa"/>
            <w:tcBorders>
              <w:top w:val="nil"/>
              <w:left w:val="nil"/>
              <w:bottom w:val="nil"/>
              <w:right w:val="nil"/>
            </w:tcBorders>
            <w:vAlign w:val="center"/>
          </w:tcPr>
          <w:p w14:paraId="2608338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w:t>
            </w:r>
          </w:p>
        </w:tc>
      </w:tr>
      <w:tr w:rsidR="003E148C" w:rsidRPr="00BD2A98" w14:paraId="1E4BD507" w14:textId="77777777" w:rsidTr="0026218B">
        <w:trPr>
          <w:trHeight w:val="20"/>
        </w:trPr>
        <w:tc>
          <w:tcPr>
            <w:tcW w:w="0" w:type="auto"/>
            <w:tcBorders>
              <w:top w:val="nil"/>
              <w:left w:val="nil"/>
              <w:bottom w:val="nil"/>
              <w:right w:val="nil"/>
            </w:tcBorders>
          </w:tcPr>
          <w:p w14:paraId="74C11F85" w14:textId="77777777" w:rsidR="003E148C" w:rsidRPr="00BD2A98" w:rsidRDefault="003E148C" w:rsidP="0026218B">
            <w:pPr>
              <w:widowControl w:val="0"/>
              <w:autoSpaceDE w:val="0"/>
              <w:autoSpaceDN w:val="0"/>
              <w:adjustRightInd w:val="0"/>
              <w:rPr>
                <w:sz w:val="20"/>
                <w:szCs w:val="20"/>
              </w:rPr>
            </w:pPr>
            <w:r w:rsidRPr="00BD2A98">
              <w:rPr>
                <w:sz w:val="20"/>
                <w:szCs w:val="20"/>
              </w:rPr>
              <w:t>Long term contract</w:t>
            </w:r>
          </w:p>
        </w:tc>
        <w:tc>
          <w:tcPr>
            <w:tcW w:w="1152" w:type="dxa"/>
            <w:tcBorders>
              <w:top w:val="nil"/>
              <w:left w:val="nil"/>
              <w:bottom w:val="nil"/>
              <w:right w:val="nil"/>
            </w:tcBorders>
            <w:vAlign w:val="center"/>
          </w:tcPr>
          <w:p w14:paraId="2FE33A5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0.099</w:t>
            </w:r>
          </w:p>
        </w:tc>
        <w:tc>
          <w:tcPr>
            <w:tcW w:w="1152" w:type="dxa"/>
            <w:tcBorders>
              <w:top w:val="nil"/>
              <w:left w:val="nil"/>
              <w:bottom w:val="nil"/>
              <w:right w:val="nil"/>
            </w:tcBorders>
            <w:vAlign w:val="center"/>
          </w:tcPr>
          <w:p w14:paraId="3B42BDC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w:t>
            </w:r>
          </w:p>
        </w:tc>
        <w:tc>
          <w:tcPr>
            <w:tcW w:w="1152" w:type="dxa"/>
            <w:tcBorders>
              <w:top w:val="nil"/>
              <w:left w:val="nil"/>
              <w:bottom w:val="nil"/>
              <w:right w:val="nil"/>
            </w:tcBorders>
            <w:vAlign w:val="center"/>
          </w:tcPr>
          <w:p w14:paraId="0A784E4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0.021</w:t>
            </w:r>
          </w:p>
        </w:tc>
        <w:tc>
          <w:tcPr>
            <w:tcW w:w="1152" w:type="dxa"/>
            <w:tcBorders>
              <w:top w:val="nil"/>
              <w:left w:val="nil"/>
              <w:bottom w:val="nil"/>
              <w:right w:val="nil"/>
            </w:tcBorders>
            <w:vAlign w:val="center"/>
          </w:tcPr>
          <w:p w14:paraId="445F7D0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w:t>
            </w:r>
          </w:p>
        </w:tc>
      </w:tr>
      <w:tr w:rsidR="003E148C" w:rsidRPr="00BD2A98" w14:paraId="5852AC96" w14:textId="77777777" w:rsidTr="0026218B">
        <w:trPr>
          <w:trHeight w:val="20"/>
        </w:trPr>
        <w:tc>
          <w:tcPr>
            <w:tcW w:w="0" w:type="auto"/>
            <w:tcBorders>
              <w:top w:val="nil"/>
              <w:left w:val="nil"/>
              <w:bottom w:val="nil"/>
              <w:right w:val="nil"/>
            </w:tcBorders>
          </w:tcPr>
          <w:p w14:paraId="5E382776"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2B4EC35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w:t>
            </w:r>
          </w:p>
        </w:tc>
        <w:tc>
          <w:tcPr>
            <w:tcW w:w="1152" w:type="dxa"/>
            <w:tcBorders>
              <w:top w:val="nil"/>
              <w:left w:val="nil"/>
              <w:bottom w:val="nil"/>
              <w:right w:val="nil"/>
            </w:tcBorders>
            <w:vAlign w:val="center"/>
          </w:tcPr>
          <w:p w14:paraId="07A9BD6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15D3BA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c>
          <w:tcPr>
            <w:tcW w:w="1152" w:type="dxa"/>
            <w:tcBorders>
              <w:top w:val="nil"/>
              <w:left w:val="nil"/>
              <w:bottom w:val="nil"/>
              <w:right w:val="nil"/>
            </w:tcBorders>
            <w:vAlign w:val="center"/>
          </w:tcPr>
          <w:p w14:paraId="7698A0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r>
      <w:tr w:rsidR="003E148C" w:rsidRPr="00BD2A98" w14:paraId="60C283A7" w14:textId="77777777" w:rsidTr="0026218B">
        <w:trPr>
          <w:trHeight w:val="20"/>
        </w:trPr>
        <w:tc>
          <w:tcPr>
            <w:tcW w:w="0" w:type="auto"/>
            <w:tcBorders>
              <w:top w:val="nil"/>
              <w:left w:val="nil"/>
              <w:bottom w:val="nil"/>
              <w:right w:val="nil"/>
            </w:tcBorders>
          </w:tcPr>
          <w:p w14:paraId="76B3DF04" w14:textId="77777777" w:rsidR="003E148C" w:rsidRPr="00BD2A98" w:rsidRDefault="003E148C" w:rsidP="0026218B">
            <w:pPr>
              <w:widowControl w:val="0"/>
              <w:autoSpaceDE w:val="0"/>
              <w:autoSpaceDN w:val="0"/>
              <w:adjustRightInd w:val="0"/>
              <w:rPr>
                <w:sz w:val="20"/>
                <w:szCs w:val="20"/>
              </w:rPr>
            </w:pPr>
            <w:r w:rsidRPr="00BD2A98">
              <w:rPr>
                <w:sz w:val="20"/>
                <w:szCs w:val="20"/>
              </w:rPr>
              <w:t>Mid qualification</w:t>
            </w:r>
          </w:p>
        </w:tc>
        <w:tc>
          <w:tcPr>
            <w:tcW w:w="1152" w:type="dxa"/>
            <w:tcBorders>
              <w:top w:val="nil"/>
              <w:left w:val="nil"/>
              <w:bottom w:val="nil"/>
              <w:right w:val="nil"/>
            </w:tcBorders>
            <w:vAlign w:val="center"/>
          </w:tcPr>
          <w:p w14:paraId="6D7F853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0.126</w:t>
            </w:r>
          </w:p>
        </w:tc>
        <w:tc>
          <w:tcPr>
            <w:tcW w:w="1152" w:type="dxa"/>
            <w:tcBorders>
              <w:top w:val="nil"/>
              <w:left w:val="nil"/>
              <w:bottom w:val="nil"/>
              <w:right w:val="nil"/>
            </w:tcBorders>
            <w:vAlign w:val="center"/>
          </w:tcPr>
          <w:p w14:paraId="5025F35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0.056</w:t>
            </w:r>
          </w:p>
        </w:tc>
        <w:tc>
          <w:tcPr>
            <w:tcW w:w="1152" w:type="dxa"/>
            <w:tcBorders>
              <w:top w:val="nil"/>
              <w:left w:val="nil"/>
              <w:bottom w:val="nil"/>
              <w:right w:val="nil"/>
            </w:tcBorders>
            <w:vAlign w:val="center"/>
          </w:tcPr>
          <w:p w14:paraId="5AF4DCD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w:t>
            </w:r>
          </w:p>
        </w:tc>
        <w:tc>
          <w:tcPr>
            <w:tcW w:w="1152" w:type="dxa"/>
            <w:tcBorders>
              <w:top w:val="nil"/>
              <w:left w:val="nil"/>
              <w:bottom w:val="nil"/>
              <w:right w:val="nil"/>
            </w:tcBorders>
            <w:vAlign w:val="center"/>
          </w:tcPr>
          <w:p w14:paraId="7EC82F1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0.032</w:t>
            </w:r>
          </w:p>
        </w:tc>
      </w:tr>
      <w:tr w:rsidR="003E148C" w:rsidRPr="00BD2A98" w14:paraId="2C675C5E" w14:textId="77777777" w:rsidTr="0026218B">
        <w:trPr>
          <w:trHeight w:val="20"/>
        </w:trPr>
        <w:tc>
          <w:tcPr>
            <w:tcW w:w="0" w:type="auto"/>
            <w:tcBorders>
              <w:top w:val="nil"/>
              <w:left w:val="nil"/>
              <w:bottom w:val="nil"/>
              <w:right w:val="nil"/>
            </w:tcBorders>
          </w:tcPr>
          <w:p w14:paraId="21418DD6"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6AEB215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w:t>
            </w:r>
          </w:p>
        </w:tc>
        <w:tc>
          <w:tcPr>
            <w:tcW w:w="1152" w:type="dxa"/>
            <w:tcBorders>
              <w:top w:val="nil"/>
              <w:left w:val="nil"/>
              <w:bottom w:val="nil"/>
              <w:right w:val="nil"/>
            </w:tcBorders>
            <w:vAlign w:val="center"/>
          </w:tcPr>
          <w:p w14:paraId="596B9F5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10CD7DA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3659C1A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r>
      <w:tr w:rsidR="003E148C" w:rsidRPr="00BD2A98" w14:paraId="2903AD7C" w14:textId="77777777" w:rsidTr="0026218B">
        <w:trPr>
          <w:trHeight w:val="20"/>
        </w:trPr>
        <w:tc>
          <w:tcPr>
            <w:tcW w:w="0" w:type="auto"/>
            <w:tcBorders>
              <w:top w:val="nil"/>
              <w:left w:val="nil"/>
              <w:bottom w:val="nil"/>
              <w:right w:val="nil"/>
            </w:tcBorders>
          </w:tcPr>
          <w:p w14:paraId="144F522D" w14:textId="77777777" w:rsidR="003E148C" w:rsidRPr="00BD2A98" w:rsidRDefault="003E148C" w:rsidP="0026218B">
            <w:pPr>
              <w:widowControl w:val="0"/>
              <w:autoSpaceDE w:val="0"/>
              <w:autoSpaceDN w:val="0"/>
              <w:adjustRightInd w:val="0"/>
              <w:rPr>
                <w:sz w:val="20"/>
                <w:szCs w:val="20"/>
              </w:rPr>
            </w:pPr>
            <w:r w:rsidRPr="00BD2A98">
              <w:rPr>
                <w:sz w:val="20"/>
                <w:szCs w:val="20"/>
              </w:rPr>
              <w:t>High qualification</w:t>
            </w:r>
          </w:p>
        </w:tc>
        <w:tc>
          <w:tcPr>
            <w:tcW w:w="1152" w:type="dxa"/>
            <w:tcBorders>
              <w:top w:val="nil"/>
              <w:left w:val="nil"/>
              <w:bottom w:val="nil"/>
              <w:right w:val="nil"/>
            </w:tcBorders>
            <w:vAlign w:val="center"/>
          </w:tcPr>
          <w:p w14:paraId="42103B8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0.384</w:t>
            </w:r>
          </w:p>
        </w:tc>
        <w:tc>
          <w:tcPr>
            <w:tcW w:w="1152" w:type="dxa"/>
            <w:tcBorders>
              <w:top w:val="nil"/>
              <w:left w:val="nil"/>
              <w:bottom w:val="nil"/>
              <w:right w:val="nil"/>
            </w:tcBorders>
            <w:vAlign w:val="center"/>
          </w:tcPr>
          <w:p w14:paraId="03C85FD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0.137</w:t>
            </w:r>
          </w:p>
        </w:tc>
        <w:tc>
          <w:tcPr>
            <w:tcW w:w="1152" w:type="dxa"/>
            <w:tcBorders>
              <w:top w:val="nil"/>
              <w:left w:val="nil"/>
              <w:bottom w:val="nil"/>
              <w:right w:val="nil"/>
            </w:tcBorders>
            <w:vAlign w:val="center"/>
          </w:tcPr>
          <w:p w14:paraId="3911A4F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0.124</w:t>
            </w:r>
          </w:p>
        </w:tc>
        <w:tc>
          <w:tcPr>
            <w:tcW w:w="1152" w:type="dxa"/>
            <w:tcBorders>
              <w:top w:val="nil"/>
              <w:left w:val="nil"/>
              <w:bottom w:val="nil"/>
              <w:right w:val="nil"/>
            </w:tcBorders>
            <w:vAlign w:val="center"/>
          </w:tcPr>
          <w:p w14:paraId="74F2FDE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0.083</w:t>
            </w:r>
          </w:p>
        </w:tc>
      </w:tr>
      <w:tr w:rsidR="003E148C" w:rsidRPr="00BD2A98" w14:paraId="63F5FC42" w14:textId="77777777" w:rsidTr="0026218B">
        <w:trPr>
          <w:trHeight w:val="20"/>
        </w:trPr>
        <w:tc>
          <w:tcPr>
            <w:tcW w:w="0" w:type="auto"/>
            <w:tcBorders>
              <w:top w:val="nil"/>
              <w:left w:val="nil"/>
              <w:bottom w:val="nil"/>
              <w:right w:val="nil"/>
            </w:tcBorders>
          </w:tcPr>
          <w:p w14:paraId="0D233FCC"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1C532F1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w:t>
            </w:r>
          </w:p>
        </w:tc>
        <w:tc>
          <w:tcPr>
            <w:tcW w:w="1152" w:type="dxa"/>
            <w:tcBorders>
              <w:top w:val="nil"/>
              <w:left w:val="nil"/>
              <w:bottom w:val="nil"/>
              <w:right w:val="nil"/>
            </w:tcBorders>
            <w:vAlign w:val="center"/>
          </w:tcPr>
          <w:p w14:paraId="3E42E8E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27EE25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w:t>
            </w:r>
          </w:p>
        </w:tc>
        <w:tc>
          <w:tcPr>
            <w:tcW w:w="1152" w:type="dxa"/>
            <w:tcBorders>
              <w:top w:val="nil"/>
              <w:left w:val="nil"/>
              <w:bottom w:val="nil"/>
              <w:right w:val="nil"/>
            </w:tcBorders>
            <w:vAlign w:val="center"/>
          </w:tcPr>
          <w:p w14:paraId="7613782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w:t>
            </w:r>
          </w:p>
        </w:tc>
      </w:tr>
      <w:tr w:rsidR="003E148C" w:rsidRPr="00BD2A98" w14:paraId="15742228" w14:textId="77777777" w:rsidTr="0026218B">
        <w:trPr>
          <w:trHeight w:val="20"/>
        </w:trPr>
        <w:tc>
          <w:tcPr>
            <w:tcW w:w="0" w:type="auto"/>
            <w:tcBorders>
              <w:top w:val="nil"/>
              <w:left w:val="nil"/>
              <w:bottom w:val="nil"/>
              <w:right w:val="nil"/>
            </w:tcBorders>
          </w:tcPr>
          <w:p w14:paraId="6EDB6CE1" w14:textId="77777777" w:rsidR="003E148C" w:rsidRPr="00BD2A98" w:rsidRDefault="003E148C" w:rsidP="0026218B">
            <w:pPr>
              <w:widowControl w:val="0"/>
              <w:autoSpaceDE w:val="0"/>
              <w:autoSpaceDN w:val="0"/>
              <w:adjustRightInd w:val="0"/>
              <w:rPr>
                <w:sz w:val="20"/>
                <w:szCs w:val="20"/>
              </w:rPr>
            </w:pPr>
            <w:r w:rsidRPr="00BD2A98">
              <w:rPr>
                <w:sz w:val="20"/>
                <w:szCs w:val="20"/>
              </w:rPr>
              <w:t>Workers (ln)</w:t>
            </w:r>
          </w:p>
        </w:tc>
        <w:tc>
          <w:tcPr>
            <w:tcW w:w="1152" w:type="dxa"/>
            <w:tcBorders>
              <w:top w:val="nil"/>
              <w:left w:val="nil"/>
              <w:bottom w:val="nil"/>
              <w:right w:val="nil"/>
            </w:tcBorders>
            <w:vAlign w:val="center"/>
          </w:tcPr>
          <w:p w14:paraId="72ECEC1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0.063</w:t>
            </w:r>
          </w:p>
        </w:tc>
        <w:tc>
          <w:tcPr>
            <w:tcW w:w="1152" w:type="dxa"/>
            <w:tcBorders>
              <w:top w:val="nil"/>
              <w:left w:val="nil"/>
              <w:bottom w:val="nil"/>
              <w:right w:val="nil"/>
            </w:tcBorders>
            <w:vAlign w:val="center"/>
          </w:tcPr>
          <w:p w14:paraId="062963F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0.030</w:t>
            </w:r>
          </w:p>
        </w:tc>
        <w:tc>
          <w:tcPr>
            <w:tcW w:w="1152" w:type="dxa"/>
            <w:tcBorders>
              <w:top w:val="nil"/>
              <w:left w:val="nil"/>
              <w:bottom w:val="nil"/>
              <w:right w:val="nil"/>
            </w:tcBorders>
            <w:vAlign w:val="center"/>
          </w:tcPr>
          <w:p w14:paraId="7CEC536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0.033</w:t>
            </w:r>
          </w:p>
        </w:tc>
        <w:tc>
          <w:tcPr>
            <w:tcW w:w="1152" w:type="dxa"/>
            <w:tcBorders>
              <w:top w:val="nil"/>
              <w:left w:val="nil"/>
              <w:bottom w:val="nil"/>
              <w:right w:val="nil"/>
            </w:tcBorders>
            <w:vAlign w:val="center"/>
          </w:tcPr>
          <w:p w14:paraId="114815A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0.042</w:t>
            </w:r>
          </w:p>
        </w:tc>
      </w:tr>
      <w:tr w:rsidR="003E148C" w:rsidRPr="00BD2A98" w14:paraId="4BAA78F8" w14:textId="77777777" w:rsidTr="0026218B">
        <w:trPr>
          <w:trHeight w:val="20"/>
        </w:trPr>
        <w:tc>
          <w:tcPr>
            <w:tcW w:w="0" w:type="auto"/>
            <w:tcBorders>
              <w:top w:val="nil"/>
              <w:left w:val="nil"/>
              <w:bottom w:val="nil"/>
              <w:right w:val="nil"/>
            </w:tcBorders>
          </w:tcPr>
          <w:p w14:paraId="234F14A0"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2BD70B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w:t>
            </w:r>
          </w:p>
        </w:tc>
        <w:tc>
          <w:tcPr>
            <w:tcW w:w="1152" w:type="dxa"/>
            <w:tcBorders>
              <w:top w:val="nil"/>
              <w:left w:val="nil"/>
              <w:bottom w:val="nil"/>
              <w:right w:val="nil"/>
            </w:tcBorders>
            <w:vAlign w:val="center"/>
          </w:tcPr>
          <w:p w14:paraId="73E205D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c>
          <w:tcPr>
            <w:tcW w:w="1152" w:type="dxa"/>
            <w:tcBorders>
              <w:top w:val="nil"/>
              <w:left w:val="nil"/>
              <w:bottom w:val="nil"/>
              <w:right w:val="nil"/>
            </w:tcBorders>
            <w:vAlign w:val="center"/>
          </w:tcPr>
          <w:p w14:paraId="41080EF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w:t>
            </w:r>
          </w:p>
        </w:tc>
        <w:tc>
          <w:tcPr>
            <w:tcW w:w="1152" w:type="dxa"/>
            <w:tcBorders>
              <w:top w:val="nil"/>
              <w:left w:val="nil"/>
              <w:bottom w:val="nil"/>
              <w:right w:val="nil"/>
            </w:tcBorders>
            <w:vAlign w:val="center"/>
          </w:tcPr>
          <w:p w14:paraId="6D32A9D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w:t>
            </w:r>
          </w:p>
        </w:tc>
      </w:tr>
      <w:tr w:rsidR="003E148C" w:rsidRPr="00BD2A98" w14:paraId="3FD40FDD" w14:textId="77777777" w:rsidTr="0026218B">
        <w:trPr>
          <w:trHeight w:val="20"/>
        </w:trPr>
        <w:tc>
          <w:tcPr>
            <w:tcW w:w="0" w:type="auto"/>
            <w:tcBorders>
              <w:top w:val="nil"/>
              <w:left w:val="nil"/>
              <w:bottom w:val="nil"/>
              <w:right w:val="nil"/>
            </w:tcBorders>
          </w:tcPr>
          <w:p w14:paraId="65EF903E" w14:textId="77777777" w:rsidR="003E148C" w:rsidRPr="00BD2A98" w:rsidRDefault="003E148C" w:rsidP="0026218B">
            <w:pPr>
              <w:widowControl w:val="0"/>
              <w:autoSpaceDE w:val="0"/>
              <w:autoSpaceDN w:val="0"/>
              <w:adjustRightInd w:val="0"/>
              <w:rPr>
                <w:sz w:val="20"/>
                <w:szCs w:val="20"/>
              </w:rPr>
            </w:pPr>
            <w:r w:rsidRPr="00BD2A98">
              <w:rPr>
                <w:sz w:val="20"/>
                <w:szCs w:val="20"/>
              </w:rPr>
              <w:t xml:space="preserve">R2 </w:t>
            </w:r>
          </w:p>
        </w:tc>
        <w:tc>
          <w:tcPr>
            <w:tcW w:w="1152" w:type="dxa"/>
            <w:tcBorders>
              <w:top w:val="nil"/>
              <w:left w:val="nil"/>
              <w:bottom w:val="nil"/>
              <w:right w:val="nil"/>
            </w:tcBorders>
            <w:vAlign w:val="center"/>
          </w:tcPr>
          <w:p w14:paraId="327D85A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0.66</w:t>
            </w:r>
          </w:p>
        </w:tc>
        <w:tc>
          <w:tcPr>
            <w:tcW w:w="1152" w:type="dxa"/>
            <w:tcBorders>
              <w:top w:val="nil"/>
              <w:left w:val="nil"/>
              <w:bottom w:val="nil"/>
              <w:right w:val="nil"/>
            </w:tcBorders>
            <w:vAlign w:val="center"/>
          </w:tcPr>
          <w:p w14:paraId="147DE79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0.93</w:t>
            </w:r>
          </w:p>
        </w:tc>
        <w:tc>
          <w:tcPr>
            <w:tcW w:w="1152" w:type="dxa"/>
            <w:tcBorders>
              <w:top w:val="nil"/>
              <w:left w:val="nil"/>
              <w:bottom w:val="nil"/>
              <w:right w:val="nil"/>
            </w:tcBorders>
            <w:vAlign w:val="center"/>
          </w:tcPr>
          <w:p w14:paraId="3D2A1FA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c>
          <w:tcPr>
            <w:tcW w:w="1152" w:type="dxa"/>
            <w:tcBorders>
              <w:top w:val="nil"/>
              <w:left w:val="nil"/>
              <w:bottom w:val="nil"/>
              <w:right w:val="nil"/>
            </w:tcBorders>
            <w:vAlign w:val="center"/>
          </w:tcPr>
          <w:p w14:paraId="140C884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r>
      <w:tr w:rsidR="003E148C" w:rsidRPr="00BD2A98" w14:paraId="19199C67" w14:textId="77777777" w:rsidTr="0026218B">
        <w:trPr>
          <w:trHeight w:val="20"/>
        </w:trPr>
        <w:tc>
          <w:tcPr>
            <w:tcW w:w="0" w:type="auto"/>
            <w:tcBorders>
              <w:top w:val="nil"/>
              <w:left w:val="nil"/>
              <w:bottom w:val="nil"/>
              <w:right w:val="nil"/>
            </w:tcBorders>
          </w:tcPr>
          <w:p w14:paraId="45715A7D" w14:textId="77777777" w:rsidR="003E148C" w:rsidRPr="00BD2A98" w:rsidRDefault="003E148C" w:rsidP="0026218B">
            <w:pPr>
              <w:widowControl w:val="0"/>
              <w:autoSpaceDE w:val="0"/>
              <w:autoSpaceDN w:val="0"/>
              <w:adjustRightInd w:val="0"/>
              <w:rPr>
                <w:sz w:val="20"/>
                <w:szCs w:val="20"/>
              </w:rPr>
            </w:pPr>
            <w:r w:rsidRPr="00BD2A98">
              <w:rPr>
                <w:i/>
                <w:iCs/>
                <w:sz w:val="20"/>
                <w:szCs w:val="20"/>
              </w:rPr>
              <w:t>N</w:t>
            </w:r>
          </w:p>
        </w:tc>
        <w:tc>
          <w:tcPr>
            <w:tcW w:w="1152" w:type="dxa"/>
            <w:tcBorders>
              <w:top w:val="nil"/>
              <w:left w:val="nil"/>
              <w:bottom w:val="nil"/>
              <w:right w:val="nil"/>
            </w:tcBorders>
            <w:vAlign w:val="center"/>
          </w:tcPr>
          <w:p w14:paraId="28A9590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19,330,720</w:t>
            </w:r>
          </w:p>
        </w:tc>
        <w:tc>
          <w:tcPr>
            <w:tcW w:w="1152" w:type="dxa"/>
            <w:tcBorders>
              <w:top w:val="nil"/>
              <w:left w:val="nil"/>
              <w:bottom w:val="nil"/>
              <w:right w:val="nil"/>
            </w:tcBorders>
            <w:vAlign w:val="center"/>
          </w:tcPr>
          <w:p w14:paraId="03C8754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18,237,603</w:t>
            </w:r>
          </w:p>
        </w:tc>
        <w:tc>
          <w:tcPr>
            <w:tcW w:w="1152" w:type="dxa"/>
            <w:tcBorders>
              <w:top w:val="nil"/>
              <w:left w:val="nil"/>
              <w:bottom w:val="nil"/>
              <w:right w:val="nil"/>
            </w:tcBorders>
            <w:vAlign w:val="center"/>
          </w:tcPr>
          <w:p w14:paraId="3C47C63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18,158,177</w:t>
            </w:r>
          </w:p>
        </w:tc>
        <w:tc>
          <w:tcPr>
            <w:tcW w:w="1152" w:type="dxa"/>
            <w:tcBorders>
              <w:top w:val="nil"/>
              <w:left w:val="nil"/>
              <w:bottom w:val="nil"/>
              <w:right w:val="nil"/>
            </w:tcBorders>
            <w:vAlign w:val="center"/>
          </w:tcPr>
          <w:p w14:paraId="288BDFE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16,367,142</w:t>
            </w:r>
          </w:p>
        </w:tc>
      </w:tr>
      <w:tr w:rsidR="003E148C" w:rsidRPr="00BD2A98" w14:paraId="113CAA8C" w14:textId="77777777" w:rsidTr="0026218B">
        <w:trPr>
          <w:trHeight w:val="20"/>
        </w:trPr>
        <w:tc>
          <w:tcPr>
            <w:tcW w:w="0" w:type="auto"/>
            <w:tcBorders>
              <w:top w:val="nil"/>
              <w:left w:val="nil"/>
              <w:bottom w:val="nil"/>
              <w:right w:val="nil"/>
            </w:tcBorders>
          </w:tcPr>
          <w:p w14:paraId="0691DC16" w14:textId="77777777" w:rsidR="003E148C" w:rsidRPr="00BD2A98" w:rsidRDefault="003E148C" w:rsidP="0026218B">
            <w:pPr>
              <w:widowControl w:val="0"/>
              <w:autoSpaceDE w:val="0"/>
              <w:autoSpaceDN w:val="0"/>
              <w:adjustRightInd w:val="0"/>
              <w:rPr>
                <w:iCs/>
                <w:sz w:val="20"/>
                <w:szCs w:val="20"/>
              </w:rPr>
            </w:pPr>
            <w:r w:rsidRPr="00BD2A98">
              <w:rPr>
                <w:iCs/>
                <w:sz w:val="20"/>
                <w:szCs w:val="20"/>
              </w:rPr>
              <w:t>Occupation</w:t>
            </w:r>
          </w:p>
        </w:tc>
        <w:tc>
          <w:tcPr>
            <w:tcW w:w="1152" w:type="dxa"/>
            <w:tcBorders>
              <w:top w:val="nil"/>
              <w:left w:val="nil"/>
              <w:bottom w:val="nil"/>
              <w:right w:val="nil"/>
            </w:tcBorders>
            <w:vAlign w:val="center"/>
          </w:tcPr>
          <w:p w14:paraId="24B4E21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4A52DC6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67DF51C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7D506B9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2A54D71A" w14:textId="77777777" w:rsidTr="0026218B">
        <w:trPr>
          <w:trHeight w:val="20"/>
        </w:trPr>
        <w:tc>
          <w:tcPr>
            <w:tcW w:w="0" w:type="auto"/>
            <w:tcBorders>
              <w:top w:val="nil"/>
              <w:left w:val="nil"/>
              <w:bottom w:val="nil"/>
              <w:right w:val="nil"/>
            </w:tcBorders>
          </w:tcPr>
          <w:p w14:paraId="5F6767F1" w14:textId="77777777" w:rsidR="003E148C" w:rsidRPr="00BD2A98" w:rsidRDefault="003E148C" w:rsidP="0026218B">
            <w:pPr>
              <w:widowControl w:val="0"/>
              <w:autoSpaceDE w:val="0"/>
              <w:autoSpaceDN w:val="0"/>
              <w:adjustRightInd w:val="0"/>
              <w:rPr>
                <w:sz w:val="20"/>
                <w:szCs w:val="20"/>
              </w:rPr>
            </w:pPr>
            <w:r w:rsidRPr="00BD2A98">
              <w:rPr>
                <w:sz w:val="20"/>
                <w:szCs w:val="20"/>
              </w:rPr>
              <w:t>Year FE</w:t>
            </w:r>
          </w:p>
        </w:tc>
        <w:tc>
          <w:tcPr>
            <w:tcW w:w="1152" w:type="dxa"/>
            <w:tcBorders>
              <w:top w:val="nil"/>
              <w:left w:val="nil"/>
              <w:bottom w:val="nil"/>
              <w:right w:val="nil"/>
            </w:tcBorders>
            <w:vAlign w:val="center"/>
          </w:tcPr>
          <w:p w14:paraId="1D0B736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5B56EAA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3074869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015B659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380CA16D" w14:textId="77777777" w:rsidTr="0026218B">
        <w:trPr>
          <w:trHeight w:val="20"/>
        </w:trPr>
        <w:tc>
          <w:tcPr>
            <w:tcW w:w="0" w:type="auto"/>
            <w:tcBorders>
              <w:top w:val="nil"/>
              <w:left w:val="nil"/>
              <w:bottom w:val="nil"/>
              <w:right w:val="nil"/>
            </w:tcBorders>
          </w:tcPr>
          <w:p w14:paraId="13CCCF59" w14:textId="3416B2B8" w:rsidR="003E148C" w:rsidRPr="00BD2A98" w:rsidRDefault="004358A2" w:rsidP="0026218B">
            <w:pPr>
              <w:widowControl w:val="0"/>
              <w:autoSpaceDE w:val="0"/>
              <w:autoSpaceDN w:val="0"/>
              <w:adjustRightInd w:val="0"/>
              <w:rPr>
                <w:sz w:val="20"/>
                <w:szCs w:val="20"/>
              </w:rPr>
            </w:pPr>
            <w:r>
              <w:rPr>
                <w:sz w:val="20"/>
                <w:szCs w:val="20"/>
              </w:rPr>
              <w:t>Municipality</w:t>
            </w:r>
            <w:r w:rsidR="003E148C" w:rsidRPr="00BD2A98">
              <w:rPr>
                <w:sz w:val="20"/>
                <w:szCs w:val="20"/>
              </w:rPr>
              <w:t xml:space="preserve"> FE</w:t>
            </w:r>
          </w:p>
        </w:tc>
        <w:tc>
          <w:tcPr>
            <w:tcW w:w="1152" w:type="dxa"/>
            <w:tcBorders>
              <w:top w:val="nil"/>
              <w:left w:val="nil"/>
              <w:bottom w:val="nil"/>
              <w:right w:val="nil"/>
            </w:tcBorders>
            <w:vAlign w:val="center"/>
          </w:tcPr>
          <w:p w14:paraId="333B529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05DBAD4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579447A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6E8D26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78AB1EE9" w14:textId="77777777" w:rsidTr="0026218B">
        <w:trPr>
          <w:trHeight w:val="20"/>
        </w:trPr>
        <w:tc>
          <w:tcPr>
            <w:tcW w:w="0" w:type="auto"/>
            <w:tcBorders>
              <w:top w:val="nil"/>
              <w:left w:val="nil"/>
              <w:bottom w:val="nil"/>
              <w:right w:val="nil"/>
            </w:tcBorders>
          </w:tcPr>
          <w:p w14:paraId="5799A10C" w14:textId="77777777" w:rsidR="003E148C" w:rsidRPr="00BD2A98" w:rsidRDefault="003E148C" w:rsidP="0026218B">
            <w:pPr>
              <w:widowControl w:val="0"/>
              <w:autoSpaceDE w:val="0"/>
              <w:autoSpaceDN w:val="0"/>
              <w:adjustRightInd w:val="0"/>
              <w:rPr>
                <w:sz w:val="20"/>
                <w:szCs w:val="20"/>
              </w:rPr>
            </w:pPr>
            <w:r w:rsidRPr="00BD2A98">
              <w:rPr>
                <w:sz w:val="20"/>
                <w:szCs w:val="20"/>
              </w:rPr>
              <w:t>Worker FE</w:t>
            </w:r>
          </w:p>
        </w:tc>
        <w:tc>
          <w:tcPr>
            <w:tcW w:w="1152" w:type="dxa"/>
            <w:tcBorders>
              <w:top w:val="nil"/>
              <w:left w:val="nil"/>
              <w:bottom w:val="nil"/>
              <w:right w:val="nil"/>
            </w:tcBorders>
            <w:vAlign w:val="center"/>
          </w:tcPr>
          <w:p w14:paraId="3BC42A0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6F8CC16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05E57A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4FAB460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5EA89EAF" w14:textId="77777777" w:rsidTr="0026218B">
        <w:trPr>
          <w:trHeight w:val="20"/>
        </w:trPr>
        <w:tc>
          <w:tcPr>
            <w:tcW w:w="0" w:type="auto"/>
            <w:tcBorders>
              <w:top w:val="nil"/>
              <w:left w:val="nil"/>
              <w:bottom w:val="nil"/>
              <w:right w:val="nil"/>
            </w:tcBorders>
          </w:tcPr>
          <w:p w14:paraId="57CDC7B4" w14:textId="77777777" w:rsidR="003E148C" w:rsidRPr="00BD2A98" w:rsidRDefault="003E148C" w:rsidP="0026218B">
            <w:pPr>
              <w:widowControl w:val="0"/>
              <w:autoSpaceDE w:val="0"/>
              <w:autoSpaceDN w:val="0"/>
              <w:adjustRightInd w:val="0"/>
              <w:rPr>
                <w:sz w:val="20"/>
                <w:szCs w:val="20"/>
              </w:rPr>
            </w:pPr>
            <w:r w:rsidRPr="00BD2A98">
              <w:rPr>
                <w:sz w:val="20"/>
                <w:szCs w:val="20"/>
              </w:rPr>
              <w:t>Firm FE</w:t>
            </w:r>
          </w:p>
        </w:tc>
        <w:tc>
          <w:tcPr>
            <w:tcW w:w="1152" w:type="dxa"/>
            <w:tcBorders>
              <w:top w:val="nil"/>
              <w:left w:val="nil"/>
              <w:bottom w:val="nil"/>
              <w:right w:val="nil"/>
            </w:tcBorders>
            <w:vAlign w:val="center"/>
          </w:tcPr>
          <w:p w14:paraId="0C73365C"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3AF9257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031F08F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58A8CC0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6D134C2E" w14:textId="77777777" w:rsidTr="0026218B">
        <w:trPr>
          <w:trHeight w:val="20"/>
        </w:trPr>
        <w:tc>
          <w:tcPr>
            <w:tcW w:w="0" w:type="auto"/>
            <w:tcBorders>
              <w:top w:val="nil"/>
              <w:left w:val="nil"/>
              <w:bottom w:val="single" w:sz="6" w:space="0" w:color="auto"/>
              <w:right w:val="nil"/>
            </w:tcBorders>
          </w:tcPr>
          <w:p w14:paraId="05DC8482" w14:textId="77777777" w:rsidR="003E148C" w:rsidRPr="00BD2A98" w:rsidRDefault="003E148C" w:rsidP="0026218B">
            <w:pPr>
              <w:widowControl w:val="0"/>
              <w:autoSpaceDE w:val="0"/>
              <w:autoSpaceDN w:val="0"/>
              <w:adjustRightInd w:val="0"/>
              <w:rPr>
                <w:sz w:val="20"/>
                <w:szCs w:val="20"/>
              </w:rPr>
            </w:pPr>
            <w:r w:rsidRPr="00BD2A98">
              <w:rPr>
                <w:sz w:val="20"/>
                <w:szCs w:val="20"/>
              </w:rPr>
              <w:t>Worker &amp; Firm FE</w:t>
            </w:r>
          </w:p>
        </w:tc>
        <w:tc>
          <w:tcPr>
            <w:tcW w:w="1152" w:type="dxa"/>
            <w:tcBorders>
              <w:top w:val="nil"/>
              <w:left w:val="nil"/>
              <w:bottom w:val="single" w:sz="6" w:space="0" w:color="auto"/>
              <w:right w:val="nil"/>
            </w:tcBorders>
            <w:vAlign w:val="center"/>
          </w:tcPr>
          <w:p w14:paraId="77D41609"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vAlign w:val="center"/>
          </w:tcPr>
          <w:p w14:paraId="1E5E5AEC"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vAlign w:val="center"/>
          </w:tcPr>
          <w:p w14:paraId="24D2C8C2"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vAlign w:val="center"/>
          </w:tcPr>
          <w:p w14:paraId="456C76B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2C306D" w14:paraId="792EA93C" w14:textId="77777777" w:rsidTr="0026218B">
        <w:tblPrEx>
          <w:tblCellMar>
            <w:left w:w="70" w:type="dxa"/>
            <w:right w:w="70" w:type="dxa"/>
          </w:tblCellMar>
          <w:tblLook w:val="04A0" w:firstRow="1" w:lastRow="0" w:firstColumn="1" w:lastColumn="0" w:noHBand="0" w:noVBand="1"/>
        </w:tblPrEx>
        <w:trPr>
          <w:trHeight w:val="20"/>
        </w:trPr>
        <w:tc>
          <w:tcPr>
            <w:tcW w:w="6819" w:type="dxa"/>
            <w:gridSpan w:val="5"/>
            <w:tcBorders>
              <w:top w:val="nil"/>
              <w:left w:val="nil"/>
              <w:bottom w:val="nil"/>
              <w:right w:val="nil"/>
            </w:tcBorders>
            <w:shd w:val="clear" w:color="auto" w:fill="auto"/>
            <w:noWrap/>
            <w:vAlign w:val="bottom"/>
            <w:hideMark/>
          </w:tcPr>
          <w:p w14:paraId="185E6AAA" w14:textId="77777777" w:rsidR="003E148C" w:rsidRPr="002C306D" w:rsidRDefault="003E148C" w:rsidP="0026218B">
            <w:pPr>
              <w:rPr>
                <w:sz w:val="20"/>
                <w:szCs w:val="20"/>
                <w:lang w:eastAsia="pt-PT"/>
              </w:rPr>
            </w:pPr>
            <w:r w:rsidRPr="002C306D">
              <w:rPr>
                <w:sz w:val="20"/>
                <w:szCs w:val="20"/>
                <w:lang w:eastAsia="pt-PT"/>
              </w:rPr>
              <w:t>Robust standard errors clustered by municipality in brackets</w:t>
            </w:r>
          </w:p>
        </w:tc>
      </w:tr>
    </w:tbl>
    <w:p w14:paraId="0E1F6CD1" w14:textId="77777777" w:rsidR="003E148C" w:rsidRDefault="003E148C" w:rsidP="003E148C">
      <w:pPr>
        <w:rPr>
          <w:sz w:val="20"/>
          <w:szCs w:val="20"/>
        </w:rPr>
      </w:pPr>
      <w:r>
        <w:rPr>
          <w:sz w:val="20"/>
          <w:szCs w:val="20"/>
        </w:rPr>
        <w:br w:type="page"/>
      </w:r>
    </w:p>
    <w:p w14:paraId="669E57E1" w14:textId="77777777" w:rsidR="003E148C" w:rsidRDefault="003E148C" w:rsidP="003E148C">
      <w:pPr>
        <w:keepNext/>
        <w:keepLines/>
        <w:autoSpaceDE w:val="0"/>
        <w:autoSpaceDN w:val="0"/>
        <w:adjustRightInd w:val="0"/>
        <w:outlineLvl w:val="1"/>
        <w:rPr>
          <w:b/>
          <w:sz w:val="22"/>
          <w:szCs w:val="22"/>
        </w:rPr>
      </w:pPr>
      <w:r w:rsidRPr="00E94742">
        <w:rPr>
          <w:b/>
          <w:sz w:val="22"/>
          <w:szCs w:val="22"/>
        </w:rPr>
        <w:t xml:space="preserve">Table 5. Effect of the reform on wage by gender and managerial position </w:t>
      </w:r>
    </w:p>
    <w:p w14:paraId="639E374A" w14:textId="77777777" w:rsidR="003E148C" w:rsidRPr="00E94742" w:rsidRDefault="003E148C" w:rsidP="003E148C">
      <w:pPr>
        <w:keepNext/>
        <w:keepLines/>
        <w:autoSpaceDE w:val="0"/>
        <w:autoSpaceDN w:val="0"/>
        <w:adjustRightInd w:val="0"/>
        <w:outlineLvl w:val="1"/>
        <w:rPr>
          <w:b/>
          <w:sz w:val="22"/>
          <w:szCs w:val="22"/>
        </w:rPr>
      </w:pPr>
    </w:p>
    <w:tbl>
      <w:tblPr>
        <w:tblW w:w="0" w:type="auto"/>
        <w:tblCellMar>
          <w:left w:w="14" w:type="dxa"/>
          <w:right w:w="14" w:type="dxa"/>
        </w:tblCellMar>
        <w:tblLook w:val="0000" w:firstRow="0" w:lastRow="0" w:firstColumn="0" w:lastColumn="0" w:noHBand="0" w:noVBand="0"/>
      </w:tblPr>
      <w:tblGrid>
        <w:gridCol w:w="3916"/>
        <w:gridCol w:w="1152"/>
        <w:gridCol w:w="1152"/>
        <w:gridCol w:w="1152"/>
        <w:gridCol w:w="1152"/>
      </w:tblGrid>
      <w:tr w:rsidR="003E148C" w:rsidRPr="00BD2A98" w14:paraId="43F8F8C9" w14:textId="77777777" w:rsidTr="0026218B">
        <w:trPr>
          <w:trHeight w:val="20"/>
        </w:trPr>
        <w:tc>
          <w:tcPr>
            <w:tcW w:w="0" w:type="auto"/>
            <w:tcBorders>
              <w:top w:val="single" w:sz="6" w:space="0" w:color="auto"/>
              <w:left w:val="nil"/>
              <w:bottom w:val="nil"/>
              <w:right w:val="nil"/>
            </w:tcBorders>
          </w:tcPr>
          <w:p w14:paraId="47BC08F2" w14:textId="77777777" w:rsidR="003E148C" w:rsidRPr="00BD2A98" w:rsidRDefault="003E148C" w:rsidP="0026218B">
            <w:pPr>
              <w:widowControl w:val="0"/>
              <w:autoSpaceDE w:val="0"/>
              <w:autoSpaceDN w:val="0"/>
              <w:adjustRightInd w:val="0"/>
              <w:rPr>
                <w:sz w:val="20"/>
                <w:szCs w:val="20"/>
              </w:rPr>
            </w:pPr>
          </w:p>
        </w:tc>
        <w:tc>
          <w:tcPr>
            <w:tcW w:w="1152" w:type="dxa"/>
            <w:tcBorders>
              <w:top w:val="single" w:sz="6" w:space="0" w:color="auto"/>
              <w:left w:val="nil"/>
              <w:bottom w:val="nil"/>
              <w:right w:val="nil"/>
            </w:tcBorders>
            <w:vAlign w:val="center"/>
          </w:tcPr>
          <w:p w14:paraId="13AFF77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w:t>
            </w:r>
          </w:p>
        </w:tc>
        <w:tc>
          <w:tcPr>
            <w:tcW w:w="1152" w:type="dxa"/>
            <w:tcBorders>
              <w:top w:val="single" w:sz="6" w:space="0" w:color="auto"/>
              <w:left w:val="nil"/>
              <w:bottom w:val="nil"/>
              <w:right w:val="nil"/>
            </w:tcBorders>
            <w:vAlign w:val="center"/>
          </w:tcPr>
          <w:p w14:paraId="60B487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w:t>
            </w:r>
          </w:p>
        </w:tc>
        <w:tc>
          <w:tcPr>
            <w:tcW w:w="1152" w:type="dxa"/>
            <w:tcBorders>
              <w:top w:val="single" w:sz="6" w:space="0" w:color="auto"/>
              <w:left w:val="nil"/>
              <w:bottom w:val="nil"/>
              <w:right w:val="nil"/>
            </w:tcBorders>
            <w:vAlign w:val="center"/>
          </w:tcPr>
          <w:p w14:paraId="08BE8D4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w:t>
            </w:r>
          </w:p>
        </w:tc>
        <w:tc>
          <w:tcPr>
            <w:tcW w:w="1152" w:type="dxa"/>
            <w:tcBorders>
              <w:top w:val="single" w:sz="6" w:space="0" w:color="auto"/>
              <w:left w:val="nil"/>
              <w:bottom w:val="nil"/>
              <w:right w:val="nil"/>
            </w:tcBorders>
            <w:vAlign w:val="center"/>
          </w:tcPr>
          <w:p w14:paraId="113F49A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4</w:t>
            </w:r>
          </w:p>
        </w:tc>
      </w:tr>
      <w:tr w:rsidR="003E148C" w:rsidRPr="00BD2A98" w14:paraId="279471D3" w14:textId="77777777" w:rsidTr="0026218B">
        <w:trPr>
          <w:trHeight w:val="20"/>
        </w:trPr>
        <w:tc>
          <w:tcPr>
            <w:tcW w:w="0" w:type="auto"/>
            <w:tcBorders>
              <w:top w:val="single" w:sz="6" w:space="0" w:color="auto"/>
              <w:left w:val="nil"/>
              <w:bottom w:val="nil"/>
              <w:right w:val="nil"/>
            </w:tcBorders>
          </w:tcPr>
          <w:p w14:paraId="416D198D"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w:t>
            </w:r>
          </w:p>
        </w:tc>
        <w:tc>
          <w:tcPr>
            <w:tcW w:w="1152" w:type="dxa"/>
            <w:tcBorders>
              <w:top w:val="single" w:sz="6" w:space="0" w:color="auto"/>
              <w:left w:val="nil"/>
              <w:bottom w:val="nil"/>
              <w:right w:val="nil"/>
            </w:tcBorders>
            <w:vAlign w:val="center"/>
          </w:tcPr>
          <w:p w14:paraId="117A0A9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-0.0175</w:t>
            </w:r>
          </w:p>
        </w:tc>
        <w:tc>
          <w:tcPr>
            <w:tcW w:w="1152" w:type="dxa"/>
            <w:tcBorders>
              <w:top w:val="single" w:sz="6" w:space="0" w:color="auto"/>
              <w:left w:val="nil"/>
              <w:bottom w:val="nil"/>
              <w:right w:val="nil"/>
            </w:tcBorders>
            <w:vAlign w:val="center"/>
          </w:tcPr>
          <w:p w14:paraId="11F530E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0.0031</w:t>
            </w:r>
          </w:p>
        </w:tc>
        <w:tc>
          <w:tcPr>
            <w:tcW w:w="1152" w:type="dxa"/>
            <w:tcBorders>
              <w:top w:val="single" w:sz="6" w:space="0" w:color="auto"/>
              <w:left w:val="nil"/>
              <w:bottom w:val="nil"/>
              <w:right w:val="nil"/>
            </w:tcBorders>
            <w:vAlign w:val="center"/>
          </w:tcPr>
          <w:p w14:paraId="0662C76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0.0015</w:t>
            </w:r>
          </w:p>
        </w:tc>
        <w:tc>
          <w:tcPr>
            <w:tcW w:w="1152" w:type="dxa"/>
            <w:tcBorders>
              <w:top w:val="single" w:sz="6" w:space="0" w:color="auto"/>
              <w:left w:val="nil"/>
              <w:bottom w:val="nil"/>
              <w:right w:val="nil"/>
            </w:tcBorders>
            <w:vAlign w:val="center"/>
          </w:tcPr>
          <w:p w14:paraId="16892D1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0.0014</w:t>
            </w:r>
          </w:p>
        </w:tc>
      </w:tr>
      <w:tr w:rsidR="003E148C" w:rsidRPr="00BD2A98" w14:paraId="30CEB007" w14:textId="77777777" w:rsidTr="0026218B">
        <w:trPr>
          <w:trHeight w:val="20"/>
        </w:trPr>
        <w:tc>
          <w:tcPr>
            <w:tcW w:w="0" w:type="auto"/>
            <w:tcBorders>
              <w:top w:val="nil"/>
              <w:left w:val="nil"/>
              <w:bottom w:val="nil"/>
              <w:right w:val="nil"/>
            </w:tcBorders>
          </w:tcPr>
          <w:p w14:paraId="04DF7FA7"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0D30CE8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(0.0068)</w:t>
            </w:r>
          </w:p>
        </w:tc>
        <w:tc>
          <w:tcPr>
            <w:tcW w:w="1152" w:type="dxa"/>
            <w:tcBorders>
              <w:top w:val="nil"/>
              <w:left w:val="nil"/>
              <w:bottom w:val="nil"/>
              <w:right w:val="nil"/>
            </w:tcBorders>
            <w:vAlign w:val="center"/>
          </w:tcPr>
          <w:p w14:paraId="24701F5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(0.0025)</w:t>
            </w:r>
          </w:p>
        </w:tc>
        <w:tc>
          <w:tcPr>
            <w:tcW w:w="1152" w:type="dxa"/>
            <w:tcBorders>
              <w:top w:val="nil"/>
              <w:left w:val="nil"/>
              <w:bottom w:val="nil"/>
              <w:right w:val="nil"/>
            </w:tcBorders>
            <w:vAlign w:val="center"/>
          </w:tcPr>
          <w:p w14:paraId="7C6ED73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(0.0023)</w:t>
            </w:r>
          </w:p>
        </w:tc>
        <w:tc>
          <w:tcPr>
            <w:tcW w:w="1152" w:type="dxa"/>
            <w:tcBorders>
              <w:top w:val="nil"/>
              <w:left w:val="nil"/>
              <w:bottom w:val="nil"/>
              <w:right w:val="nil"/>
            </w:tcBorders>
            <w:vAlign w:val="center"/>
          </w:tcPr>
          <w:p w14:paraId="43445DC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(0.0025)</w:t>
            </w:r>
          </w:p>
        </w:tc>
      </w:tr>
      <w:tr w:rsidR="003E148C" w:rsidRPr="00BD2A98" w14:paraId="078811F9" w14:textId="77777777" w:rsidTr="0026218B">
        <w:trPr>
          <w:trHeight w:val="20"/>
        </w:trPr>
        <w:tc>
          <w:tcPr>
            <w:tcW w:w="0" w:type="auto"/>
            <w:tcBorders>
              <w:top w:val="nil"/>
              <w:left w:val="nil"/>
              <w:bottom w:val="nil"/>
              <w:right w:val="nil"/>
            </w:tcBorders>
          </w:tcPr>
          <w:p w14:paraId="0443C561" w14:textId="77777777" w:rsidR="003E148C" w:rsidRPr="00BD2A98" w:rsidRDefault="003E148C" w:rsidP="0026218B">
            <w:pPr>
              <w:widowControl w:val="0"/>
              <w:autoSpaceDE w:val="0"/>
              <w:autoSpaceDN w:val="0"/>
              <w:adjustRightInd w:val="0"/>
              <w:rPr>
                <w:sz w:val="20"/>
                <w:szCs w:val="20"/>
              </w:rPr>
            </w:pPr>
            <w:r w:rsidRPr="00BD2A98">
              <w:rPr>
                <w:sz w:val="20"/>
                <w:szCs w:val="20"/>
              </w:rPr>
              <w:t>Female</w:t>
            </w:r>
          </w:p>
        </w:tc>
        <w:tc>
          <w:tcPr>
            <w:tcW w:w="1152" w:type="dxa"/>
            <w:tcBorders>
              <w:top w:val="nil"/>
              <w:left w:val="nil"/>
              <w:bottom w:val="nil"/>
              <w:right w:val="nil"/>
            </w:tcBorders>
            <w:vAlign w:val="center"/>
          </w:tcPr>
          <w:p w14:paraId="36F7BCA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-0.1951</w:t>
            </w:r>
          </w:p>
        </w:tc>
        <w:tc>
          <w:tcPr>
            <w:tcW w:w="1152" w:type="dxa"/>
            <w:tcBorders>
              <w:top w:val="nil"/>
              <w:left w:val="nil"/>
              <w:bottom w:val="nil"/>
              <w:right w:val="nil"/>
            </w:tcBorders>
            <w:vAlign w:val="center"/>
          </w:tcPr>
          <w:p w14:paraId="590C54A3"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4917DD7C"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3398C9F2"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2C781A7F" w14:textId="77777777" w:rsidTr="0026218B">
        <w:trPr>
          <w:trHeight w:val="20"/>
        </w:trPr>
        <w:tc>
          <w:tcPr>
            <w:tcW w:w="0" w:type="auto"/>
            <w:tcBorders>
              <w:top w:val="nil"/>
              <w:left w:val="nil"/>
              <w:bottom w:val="nil"/>
              <w:right w:val="nil"/>
            </w:tcBorders>
          </w:tcPr>
          <w:p w14:paraId="0A2634C2"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76C2ABE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(0.0060)</w:t>
            </w:r>
          </w:p>
        </w:tc>
        <w:tc>
          <w:tcPr>
            <w:tcW w:w="1152" w:type="dxa"/>
            <w:tcBorders>
              <w:top w:val="nil"/>
              <w:left w:val="nil"/>
              <w:bottom w:val="nil"/>
              <w:right w:val="nil"/>
            </w:tcBorders>
            <w:vAlign w:val="center"/>
          </w:tcPr>
          <w:p w14:paraId="254983F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1057E29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169D52A4"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29E4A613" w14:textId="77777777" w:rsidTr="0026218B">
        <w:trPr>
          <w:trHeight w:val="20"/>
        </w:trPr>
        <w:tc>
          <w:tcPr>
            <w:tcW w:w="0" w:type="auto"/>
            <w:tcBorders>
              <w:top w:val="nil"/>
              <w:left w:val="nil"/>
              <w:bottom w:val="nil"/>
              <w:right w:val="nil"/>
            </w:tcBorders>
          </w:tcPr>
          <w:p w14:paraId="169D4777"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deregulation*Female</w:t>
            </w:r>
          </w:p>
        </w:tc>
        <w:tc>
          <w:tcPr>
            <w:tcW w:w="1152" w:type="dxa"/>
            <w:tcBorders>
              <w:top w:val="nil"/>
              <w:left w:val="nil"/>
              <w:bottom w:val="nil"/>
              <w:right w:val="nil"/>
            </w:tcBorders>
            <w:vAlign w:val="center"/>
          </w:tcPr>
          <w:p w14:paraId="2ACB651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0.0099</w:t>
            </w:r>
          </w:p>
        </w:tc>
        <w:tc>
          <w:tcPr>
            <w:tcW w:w="1152" w:type="dxa"/>
            <w:tcBorders>
              <w:top w:val="nil"/>
              <w:left w:val="nil"/>
              <w:bottom w:val="nil"/>
              <w:right w:val="nil"/>
            </w:tcBorders>
            <w:vAlign w:val="center"/>
          </w:tcPr>
          <w:p w14:paraId="57F1FA6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-0.0082</w:t>
            </w:r>
          </w:p>
        </w:tc>
        <w:tc>
          <w:tcPr>
            <w:tcW w:w="1152" w:type="dxa"/>
            <w:tcBorders>
              <w:top w:val="nil"/>
              <w:left w:val="nil"/>
              <w:bottom w:val="nil"/>
              <w:right w:val="nil"/>
            </w:tcBorders>
            <w:vAlign w:val="center"/>
          </w:tcPr>
          <w:p w14:paraId="7920DD9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c>
          <w:tcPr>
            <w:tcW w:w="1152" w:type="dxa"/>
            <w:tcBorders>
              <w:top w:val="nil"/>
              <w:left w:val="nil"/>
              <w:bottom w:val="nil"/>
              <w:right w:val="nil"/>
            </w:tcBorders>
            <w:vAlign w:val="center"/>
          </w:tcPr>
          <w:p w14:paraId="7CE2F52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-0.0026</w:t>
            </w:r>
          </w:p>
        </w:tc>
      </w:tr>
      <w:tr w:rsidR="003E148C" w:rsidRPr="00BD2A98" w14:paraId="4FE45B68" w14:textId="77777777" w:rsidTr="0026218B">
        <w:trPr>
          <w:trHeight w:val="20"/>
        </w:trPr>
        <w:tc>
          <w:tcPr>
            <w:tcW w:w="0" w:type="auto"/>
            <w:tcBorders>
              <w:top w:val="nil"/>
              <w:left w:val="nil"/>
              <w:bottom w:val="nil"/>
              <w:right w:val="nil"/>
            </w:tcBorders>
          </w:tcPr>
          <w:p w14:paraId="43C401F1"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518B48A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(0.0049)</w:t>
            </w:r>
          </w:p>
        </w:tc>
        <w:tc>
          <w:tcPr>
            <w:tcW w:w="1152" w:type="dxa"/>
            <w:tcBorders>
              <w:top w:val="nil"/>
              <w:left w:val="nil"/>
              <w:bottom w:val="nil"/>
              <w:right w:val="nil"/>
            </w:tcBorders>
            <w:vAlign w:val="center"/>
          </w:tcPr>
          <w:p w14:paraId="676E064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c>
          <w:tcPr>
            <w:tcW w:w="1152" w:type="dxa"/>
            <w:tcBorders>
              <w:top w:val="nil"/>
              <w:left w:val="nil"/>
              <w:bottom w:val="nil"/>
              <w:right w:val="nil"/>
            </w:tcBorders>
            <w:vAlign w:val="center"/>
          </w:tcPr>
          <w:p w14:paraId="02F4B28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(0.0013)</w:t>
            </w:r>
          </w:p>
        </w:tc>
        <w:tc>
          <w:tcPr>
            <w:tcW w:w="1152" w:type="dxa"/>
            <w:tcBorders>
              <w:top w:val="nil"/>
              <w:left w:val="nil"/>
              <w:bottom w:val="nil"/>
              <w:right w:val="nil"/>
            </w:tcBorders>
            <w:vAlign w:val="center"/>
          </w:tcPr>
          <w:p w14:paraId="0072D1B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r>
      <w:tr w:rsidR="003E148C" w:rsidRPr="00BD2A98" w14:paraId="1388F5E4" w14:textId="77777777" w:rsidTr="0026218B">
        <w:trPr>
          <w:trHeight w:val="20"/>
        </w:trPr>
        <w:tc>
          <w:tcPr>
            <w:tcW w:w="0" w:type="auto"/>
            <w:tcBorders>
              <w:top w:val="nil"/>
              <w:left w:val="nil"/>
              <w:bottom w:val="nil"/>
              <w:right w:val="nil"/>
            </w:tcBorders>
          </w:tcPr>
          <w:p w14:paraId="06939446" w14:textId="77777777" w:rsidR="003E148C" w:rsidRPr="00BD2A98" w:rsidRDefault="003E148C" w:rsidP="0026218B">
            <w:pPr>
              <w:widowControl w:val="0"/>
              <w:autoSpaceDE w:val="0"/>
              <w:autoSpaceDN w:val="0"/>
              <w:adjustRightInd w:val="0"/>
              <w:rPr>
                <w:sz w:val="20"/>
                <w:szCs w:val="20"/>
              </w:rPr>
            </w:pPr>
            <w:r>
              <w:rPr>
                <w:sz w:val="20"/>
                <w:szCs w:val="20"/>
              </w:rPr>
              <w:t>Managerial position</w:t>
            </w:r>
          </w:p>
        </w:tc>
        <w:tc>
          <w:tcPr>
            <w:tcW w:w="1152" w:type="dxa"/>
            <w:tcBorders>
              <w:top w:val="nil"/>
              <w:left w:val="nil"/>
              <w:bottom w:val="nil"/>
              <w:right w:val="nil"/>
            </w:tcBorders>
            <w:vAlign w:val="center"/>
          </w:tcPr>
          <w:p w14:paraId="66ABEC9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0.1471</w:t>
            </w:r>
          </w:p>
        </w:tc>
        <w:tc>
          <w:tcPr>
            <w:tcW w:w="1152" w:type="dxa"/>
            <w:tcBorders>
              <w:top w:val="nil"/>
              <w:left w:val="nil"/>
              <w:bottom w:val="nil"/>
              <w:right w:val="nil"/>
            </w:tcBorders>
            <w:vAlign w:val="center"/>
          </w:tcPr>
          <w:p w14:paraId="6CA0284E"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5737352A"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7BFF7DC5"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1C0B3DF9" w14:textId="77777777" w:rsidTr="0026218B">
        <w:trPr>
          <w:trHeight w:val="20"/>
        </w:trPr>
        <w:tc>
          <w:tcPr>
            <w:tcW w:w="0" w:type="auto"/>
            <w:tcBorders>
              <w:top w:val="nil"/>
              <w:left w:val="nil"/>
              <w:bottom w:val="nil"/>
              <w:right w:val="nil"/>
            </w:tcBorders>
          </w:tcPr>
          <w:p w14:paraId="084DE11B"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2EC181E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(0.0158)</w:t>
            </w:r>
          </w:p>
        </w:tc>
        <w:tc>
          <w:tcPr>
            <w:tcW w:w="1152" w:type="dxa"/>
            <w:tcBorders>
              <w:top w:val="nil"/>
              <w:left w:val="nil"/>
              <w:bottom w:val="nil"/>
              <w:right w:val="nil"/>
            </w:tcBorders>
            <w:vAlign w:val="center"/>
          </w:tcPr>
          <w:p w14:paraId="50A1647E"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5A990CF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3C94303C"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295BA33E" w14:textId="77777777" w:rsidTr="0026218B">
        <w:trPr>
          <w:trHeight w:val="20"/>
        </w:trPr>
        <w:tc>
          <w:tcPr>
            <w:tcW w:w="0" w:type="auto"/>
            <w:tcBorders>
              <w:top w:val="nil"/>
              <w:left w:val="nil"/>
              <w:bottom w:val="nil"/>
              <w:right w:val="nil"/>
            </w:tcBorders>
          </w:tcPr>
          <w:p w14:paraId="76553A91"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w:t>
            </w:r>
            <w:r>
              <w:rPr>
                <w:sz w:val="20"/>
                <w:szCs w:val="20"/>
              </w:rPr>
              <w:t>Managerial position</w:t>
            </w:r>
          </w:p>
        </w:tc>
        <w:tc>
          <w:tcPr>
            <w:tcW w:w="1152" w:type="dxa"/>
            <w:tcBorders>
              <w:top w:val="nil"/>
              <w:left w:val="nil"/>
              <w:bottom w:val="nil"/>
              <w:right w:val="nil"/>
            </w:tcBorders>
            <w:vAlign w:val="center"/>
          </w:tcPr>
          <w:p w14:paraId="3EB4C6F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0.0933</w:t>
            </w:r>
          </w:p>
        </w:tc>
        <w:tc>
          <w:tcPr>
            <w:tcW w:w="1152" w:type="dxa"/>
            <w:tcBorders>
              <w:top w:val="nil"/>
              <w:left w:val="nil"/>
              <w:bottom w:val="nil"/>
              <w:right w:val="nil"/>
            </w:tcBorders>
            <w:vAlign w:val="center"/>
          </w:tcPr>
          <w:p w14:paraId="38418FA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0.0534</w:t>
            </w:r>
          </w:p>
        </w:tc>
        <w:tc>
          <w:tcPr>
            <w:tcW w:w="1152" w:type="dxa"/>
            <w:tcBorders>
              <w:top w:val="nil"/>
              <w:left w:val="nil"/>
              <w:bottom w:val="nil"/>
              <w:right w:val="nil"/>
            </w:tcBorders>
            <w:vAlign w:val="center"/>
          </w:tcPr>
          <w:p w14:paraId="462FD92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0.0512</w:t>
            </w:r>
          </w:p>
        </w:tc>
        <w:tc>
          <w:tcPr>
            <w:tcW w:w="1152" w:type="dxa"/>
            <w:tcBorders>
              <w:top w:val="nil"/>
              <w:left w:val="nil"/>
              <w:bottom w:val="nil"/>
              <w:right w:val="nil"/>
            </w:tcBorders>
            <w:vAlign w:val="center"/>
          </w:tcPr>
          <w:p w14:paraId="34AB43F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0.0472</w:t>
            </w:r>
          </w:p>
        </w:tc>
      </w:tr>
      <w:tr w:rsidR="003E148C" w:rsidRPr="00BD2A98" w14:paraId="054AD888" w14:textId="77777777" w:rsidTr="0026218B">
        <w:trPr>
          <w:trHeight w:val="20"/>
        </w:trPr>
        <w:tc>
          <w:tcPr>
            <w:tcW w:w="0" w:type="auto"/>
            <w:tcBorders>
              <w:top w:val="nil"/>
              <w:left w:val="nil"/>
              <w:bottom w:val="nil"/>
              <w:right w:val="nil"/>
            </w:tcBorders>
          </w:tcPr>
          <w:p w14:paraId="3B9237B2"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736F8E0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(0.0367)</w:t>
            </w:r>
          </w:p>
        </w:tc>
        <w:tc>
          <w:tcPr>
            <w:tcW w:w="1152" w:type="dxa"/>
            <w:tcBorders>
              <w:top w:val="nil"/>
              <w:left w:val="nil"/>
              <w:bottom w:val="nil"/>
              <w:right w:val="nil"/>
            </w:tcBorders>
            <w:vAlign w:val="center"/>
          </w:tcPr>
          <w:p w14:paraId="19A80DF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(0.0047)</w:t>
            </w:r>
          </w:p>
        </w:tc>
        <w:tc>
          <w:tcPr>
            <w:tcW w:w="1152" w:type="dxa"/>
            <w:tcBorders>
              <w:top w:val="nil"/>
              <w:left w:val="nil"/>
              <w:bottom w:val="nil"/>
              <w:right w:val="nil"/>
            </w:tcBorders>
            <w:vAlign w:val="center"/>
          </w:tcPr>
          <w:p w14:paraId="5F2B8B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(0.0038)</w:t>
            </w:r>
          </w:p>
        </w:tc>
        <w:tc>
          <w:tcPr>
            <w:tcW w:w="1152" w:type="dxa"/>
            <w:tcBorders>
              <w:top w:val="nil"/>
              <w:left w:val="nil"/>
              <w:bottom w:val="nil"/>
              <w:right w:val="nil"/>
            </w:tcBorders>
            <w:vAlign w:val="center"/>
          </w:tcPr>
          <w:p w14:paraId="24A5BCD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(0.0036)</w:t>
            </w:r>
          </w:p>
        </w:tc>
      </w:tr>
      <w:tr w:rsidR="003E148C" w:rsidRPr="00BD2A98" w14:paraId="53C0D192" w14:textId="77777777" w:rsidTr="0026218B">
        <w:trPr>
          <w:trHeight w:val="20"/>
        </w:trPr>
        <w:tc>
          <w:tcPr>
            <w:tcW w:w="0" w:type="auto"/>
            <w:tcBorders>
              <w:top w:val="nil"/>
              <w:left w:val="nil"/>
              <w:bottom w:val="nil"/>
              <w:right w:val="nil"/>
            </w:tcBorders>
          </w:tcPr>
          <w:p w14:paraId="23618B03" w14:textId="77777777" w:rsidR="003E148C" w:rsidRPr="00BD2A98" w:rsidRDefault="003E148C" w:rsidP="0026218B">
            <w:pPr>
              <w:widowControl w:val="0"/>
              <w:autoSpaceDE w:val="0"/>
              <w:autoSpaceDN w:val="0"/>
              <w:adjustRightInd w:val="0"/>
              <w:rPr>
                <w:sz w:val="20"/>
                <w:szCs w:val="20"/>
              </w:rPr>
            </w:pPr>
            <w:r w:rsidRPr="00BD2A98">
              <w:rPr>
                <w:sz w:val="20"/>
                <w:szCs w:val="20"/>
              </w:rPr>
              <w:t>Female*</w:t>
            </w:r>
            <w:r>
              <w:rPr>
                <w:sz w:val="20"/>
                <w:szCs w:val="20"/>
              </w:rPr>
              <w:t>Managerial position</w:t>
            </w:r>
          </w:p>
        </w:tc>
        <w:tc>
          <w:tcPr>
            <w:tcW w:w="1152" w:type="dxa"/>
            <w:tcBorders>
              <w:top w:val="nil"/>
              <w:left w:val="nil"/>
              <w:bottom w:val="nil"/>
              <w:right w:val="nil"/>
            </w:tcBorders>
            <w:vAlign w:val="center"/>
          </w:tcPr>
          <w:p w14:paraId="701EAF0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-0.0037</w:t>
            </w:r>
          </w:p>
        </w:tc>
        <w:tc>
          <w:tcPr>
            <w:tcW w:w="1152" w:type="dxa"/>
            <w:tcBorders>
              <w:top w:val="nil"/>
              <w:left w:val="nil"/>
              <w:bottom w:val="nil"/>
              <w:right w:val="nil"/>
            </w:tcBorders>
            <w:vAlign w:val="center"/>
          </w:tcPr>
          <w:p w14:paraId="642CAD0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20F7B6F2"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5A3238FB"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30BE84F4" w14:textId="77777777" w:rsidTr="0026218B">
        <w:trPr>
          <w:trHeight w:val="20"/>
        </w:trPr>
        <w:tc>
          <w:tcPr>
            <w:tcW w:w="0" w:type="auto"/>
            <w:tcBorders>
              <w:top w:val="nil"/>
              <w:left w:val="nil"/>
              <w:bottom w:val="nil"/>
              <w:right w:val="nil"/>
            </w:tcBorders>
          </w:tcPr>
          <w:p w14:paraId="2734A675"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29E296D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(0.0103)</w:t>
            </w:r>
          </w:p>
        </w:tc>
        <w:tc>
          <w:tcPr>
            <w:tcW w:w="1152" w:type="dxa"/>
            <w:tcBorders>
              <w:top w:val="nil"/>
              <w:left w:val="nil"/>
              <w:bottom w:val="nil"/>
              <w:right w:val="nil"/>
            </w:tcBorders>
            <w:vAlign w:val="center"/>
          </w:tcPr>
          <w:p w14:paraId="74C29D9C"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6925572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588CE874"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0F1E9DD8" w14:textId="77777777" w:rsidTr="0026218B">
        <w:trPr>
          <w:trHeight w:val="20"/>
        </w:trPr>
        <w:tc>
          <w:tcPr>
            <w:tcW w:w="0" w:type="auto"/>
            <w:tcBorders>
              <w:top w:val="nil"/>
              <w:left w:val="nil"/>
              <w:bottom w:val="nil"/>
              <w:right w:val="nil"/>
            </w:tcBorders>
          </w:tcPr>
          <w:p w14:paraId="17FF642D" w14:textId="77777777" w:rsidR="003E148C" w:rsidRPr="00BD2A98" w:rsidRDefault="003E148C" w:rsidP="0026218B">
            <w:pPr>
              <w:widowControl w:val="0"/>
              <w:tabs>
                <w:tab w:val="left" w:pos="3996"/>
              </w:tabs>
              <w:autoSpaceDE w:val="0"/>
              <w:autoSpaceDN w:val="0"/>
              <w:adjustRightInd w:val="0"/>
              <w:rPr>
                <w:sz w:val="20"/>
                <w:szCs w:val="20"/>
              </w:rPr>
            </w:pPr>
            <w:r w:rsidRPr="00BD2A98">
              <w:rPr>
                <w:sz w:val="20"/>
                <w:szCs w:val="20"/>
              </w:rPr>
              <w:t>Entry deregulation*Female*</w:t>
            </w:r>
            <w:r>
              <w:rPr>
                <w:sz w:val="20"/>
                <w:szCs w:val="20"/>
              </w:rPr>
              <w:t>Managerial position</w:t>
            </w:r>
          </w:p>
        </w:tc>
        <w:tc>
          <w:tcPr>
            <w:tcW w:w="1152" w:type="dxa"/>
            <w:tcBorders>
              <w:top w:val="nil"/>
              <w:left w:val="nil"/>
              <w:bottom w:val="nil"/>
              <w:right w:val="nil"/>
            </w:tcBorders>
            <w:vAlign w:val="center"/>
          </w:tcPr>
          <w:p w14:paraId="3BB2DC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-0.0155</w:t>
            </w:r>
          </w:p>
        </w:tc>
        <w:tc>
          <w:tcPr>
            <w:tcW w:w="1152" w:type="dxa"/>
            <w:tcBorders>
              <w:top w:val="nil"/>
              <w:left w:val="nil"/>
              <w:bottom w:val="nil"/>
              <w:right w:val="nil"/>
            </w:tcBorders>
            <w:vAlign w:val="center"/>
          </w:tcPr>
          <w:p w14:paraId="57C2FA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-0.0045</w:t>
            </w:r>
          </w:p>
        </w:tc>
        <w:tc>
          <w:tcPr>
            <w:tcW w:w="1152" w:type="dxa"/>
            <w:tcBorders>
              <w:top w:val="nil"/>
              <w:left w:val="nil"/>
              <w:bottom w:val="nil"/>
              <w:right w:val="nil"/>
            </w:tcBorders>
            <w:vAlign w:val="center"/>
          </w:tcPr>
          <w:p w14:paraId="6E02FB6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-0.0070</w:t>
            </w:r>
          </w:p>
        </w:tc>
        <w:tc>
          <w:tcPr>
            <w:tcW w:w="1152" w:type="dxa"/>
            <w:tcBorders>
              <w:top w:val="nil"/>
              <w:left w:val="nil"/>
              <w:bottom w:val="nil"/>
              <w:right w:val="nil"/>
            </w:tcBorders>
            <w:vAlign w:val="center"/>
          </w:tcPr>
          <w:p w14:paraId="0373DE2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-0.0077</w:t>
            </w:r>
          </w:p>
        </w:tc>
      </w:tr>
      <w:tr w:rsidR="003E148C" w:rsidRPr="00BD2A98" w14:paraId="35E3B045" w14:textId="77777777" w:rsidTr="0026218B">
        <w:trPr>
          <w:trHeight w:val="20"/>
        </w:trPr>
        <w:tc>
          <w:tcPr>
            <w:tcW w:w="0" w:type="auto"/>
            <w:tcBorders>
              <w:top w:val="nil"/>
              <w:left w:val="nil"/>
              <w:bottom w:val="nil"/>
              <w:right w:val="nil"/>
            </w:tcBorders>
          </w:tcPr>
          <w:p w14:paraId="249A1DDE"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4778A2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(0.0131)</w:t>
            </w:r>
          </w:p>
        </w:tc>
        <w:tc>
          <w:tcPr>
            <w:tcW w:w="1152" w:type="dxa"/>
            <w:tcBorders>
              <w:top w:val="nil"/>
              <w:left w:val="nil"/>
              <w:bottom w:val="nil"/>
              <w:right w:val="nil"/>
            </w:tcBorders>
            <w:vAlign w:val="center"/>
          </w:tcPr>
          <w:p w14:paraId="7A00809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(0.0021)</w:t>
            </w:r>
          </w:p>
        </w:tc>
        <w:tc>
          <w:tcPr>
            <w:tcW w:w="1152" w:type="dxa"/>
            <w:tcBorders>
              <w:top w:val="nil"/>
              <w:left w:val="nil"/>
              <w:bottom w:val="nil"/>
              <w:right w:val="nil"/>
            </w:tcBorders>
            <w:vAlign w:val="center"/>
          </w:tcPr>
          <w:p w14:paraId="00530A3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(0.0026)</w:t>
            </w:r>
          </w:p>
        </w:tc>
        <w:tc>
          <w:tcPr>
            <w:tcW w:w="1152" w:type="dxa"/>
            <w:tcBorders>
              <w:top w:val="nil"/>
              <w:left w:val="nil"/>
              <w:bottom w:val="nil"/>
              <w:right w:val="nil"/>
            </w:tcBorders>
            <w:vAlign w:val="center"/>
          </w:tcPr>
          <w:p w14:paraId="0CBC7BB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(0.0022)</w:t>
            </w:r>
          </w:p>
        </w:tc>
      </w:tr>
      <w:tr w:rsidR="003E148C" w:rsidRPr="00BD2A98" w14:paraId="324F7389" w14:textId="77777777" w:rsidTr="0026218B">
        <w:trPr>
          <w:trHeight w:val="20"/>
        </w:trPr>
        <w:tc>
          <w:tcPr>
            <w:tcW w:w="0" w:type="auto"/>
            <w:tcBorders>
              <w:top w:val="nil"/>
              <w:left w:val="nil"/>
              <w:bottom w:val="nil"/>
              <w:right w:val="nil"/>
            </w:tcBorders>
          </w:tcPr>
          <w:p w14:paraId="7AEE082B" w14:textId="77777777" w:rsidR="003E148C" w:rsidRPr="00BD2A98" w:rsidRDefault="003E148C" w:rsidP="0026218B">
            <w:pPr>
              <w:widowControl w:val="0"/>
              <w:autoSpaceDE w:val="0"/>
              <w:autoSpaceDN w:val="0"/>
              <w:adjustRightInd w:val="0"/>
              <w:rPr>
                <w:sz w:val="20"/>
                <w:szCs w:val="20"/>
              </w:rPr>
            </w:pPr>
            <w:r w:rsidRPr="00BD2A98">
              <w:rPr>
                <w:sz w:val="20"/>
                <w:szCs w:val="20"/>
              </w:rPr>
              <w:t>Age</w:t>
            </w:r>
          </w:p>
        </w:tc>
        <w:tc>
          <w:tcPr>
            <w:tcW w:w="1152" w:type="dxa"/>
            <w:tcBorders>
              <w:top w:val="nil"/>
              <w:left w:val="nil"/>
              <w:bottom w:val="nil"/>
              <w:right w:val="nil"/>
            </w:tcBorders>
            <w:vAlign w:val="center"/>
          </w:tcPr>
          <w:p w14:paraId="18BC449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0.0286</w:t>
            </w:r>
          </w:p>
        </w:tc>
        <w:tc>
          <w:tcPr>
            <w:tcW w:w="1152" w:type="dxa"/>
            <w:tcBorders>
              <w:top w:val="nil"/>
              <w:left w:val="nil"/>
              <w:bottom w:val="nil"/>
              <w:right w:val="nil"/>
            </w:tcBorders>
            <w:vAlign w:val="center"/>
          </w:tcPr>
          <w:p w14:paraId="09A149E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0.0280</w:t>
            </w:r>
          </w:p>
        </w:tc>
        <w:tc>
          <w:tcPr>
            <w:tcW w:w="1152" w:type="dxa"/>
            <w:tcBorders>
              <w:top w:val="nil"/>
              <w:left w:val="nil"/>
              <w:bottom w:val="nil"/>
              <w:right w:val="nil"/>
            </w:tcBorders>
            <w:vAlign w:val="center"/>
          </w:tcPr>
          <w:p w14:paraId="0B9DCB7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0.0252</w:t>
            </w:r>
          </w:p>
        </w:tc>
        <w:tc>
          <w:tcPr>
            <w:tcW w:w="1152" w:type="dxa"/>
            <w:tcBorders>
              <w:top w:val="nil"/>
              <w:left w:val="nil"/>
              <w:bottom w:val="nil"/>
              <w:right w:val="nil"/>
            </w:tcBorders>
            <w:vAlign w:val="center"/>
          </w:tcPr>
          <w:p w14:paraId="3F942B5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0.0247</w:t>
            </w:r>
          </w:p>
        </w:tc>
      </w:tr>
      <w:tr w:rsidR="003E148C" w:rsidRPr="00BD2A98" w14:paraId="1FAC06A5" w14:textId="77777777" w:rsidTr="0026218B">
        <w:trPr>
          <w:trHeight w:val="20"/>
        </w:trPr>
        <w:tc>
          <w:tcPr>
            <w:tcW w:w="0" w:type="auto"/>
            <w:tcBorders>
              <w:top w:val="nil"/>
              <w:left w:val="nil"/>
              <w:bottom w:val="nil"/>
              <w:right w:val="nil"/>
            </w:tcBorders>
          </w:tcPr>
          <w:p w14:paraId="2D101AD3"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5DE1D2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c>
          <w:tcPr>
            <w:tcW w:w="1152" w:type="dxa"/>
            <w:tcBorders>
              <w:top w:val="nil"/>
              <w:left w:val="nil"/>
              <w:bottom w:val="nil"/>
              <w:right w:val="nil"/>
            </w:tcBorders>
            <w:vAlign w:val="center"/>
          </w:tcPr>
          <w:p w14:paraId="3B477F7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(0.0019)</w:t>
            </w:r>
          </w:p>
        </w:tc>
        <w:tc>
          <w:tcPr>
            <w:tcW w:w="1152" w:type="dxa"/>
            <w:tcBorders>
              <w:top w:val="nil"/>
              <w:left w:val="nil"/>
              <w:bottom w:val="nil"/>
              <w:right w:val="nil"/>
            </w:tcBorders>
            <w:vAlign w:val="center"/>
          </w:tcPr>
          <w:p w14:paraId="40F2415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1152" w:type="dxa"/>
            <w:tcBorders>
              <w:top w:val="nil"/>
              <w:left w:val="nil"/>
              <w:bottom w:val="nil"/>
              <w:right w:val="nil"/>
            </w:tcBorders>
            <w:vAlign w:val="center"/>
          </w:tcPr>
          <w:p w14:paraId="28C16E2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r>
      <w:tr w:rsidR="003E148C" w:rsidRPr="00BD2A98" w14:paraId="58821398" w14:textId="77777777" w:rsidTr="0026218B">
        <w:trPr>
          <w:trHeight w:val="20"/>
        </w:trPr>
        <w:tc>
          <w:tcPr>
            <w:tcW w:w="0" w:type="auto"/>
            <w:tcBorders>
              <w:top w:val="nil"/>
              <w:left w:val="nil"/>
              <w:bottom w:val="nil"/>
              <w:right w:val="nil"/>
            </w:tcBorders>
          </w:tcPr>
          <w:p w14:paraId="2587A310" w14:textId="77777777" w:rsidR="003E148C" w:rsidRPr="00BD2A98" w:rsidRDefault="003E148C" w:rsidP="0026218B">
            <w:pPr>
              <w:widowControl w:val="0"/>
              <w:autoSpaceDE w:val="0"/>
              <w:autoSpaceDN w:val="0"/>
              <w:adjustRightInd w:val="0"/>
              <w:rPr>
                <w:sz w:val="20"/>
                <w:szCs w:val="20"/>
              </w:rPr>
            </w:pPr>
            <w:r w:rsidRPr="00BD2A98">
              <w:rPr>
                <w:sz w:val="20"/>
                <w:szCs w:val="20"/>
              </w:rPr>
              <w:t>Age squared</w:t>
            </w:r>
          </w:p>
        </w:tc>
        <w:tc>
          <w:tcPr>
            <w:tcW w:w="1152" w:type="dxa"/>
            <w:tcBorders>
              <w:top w:val="nil"/>
              <w:left w:val="nil"/>
              <w:bottom w:val="nil"/>
              <w:right w:val="nil"/>
            </w:tcBorders>
            <w:vAlign w:val="center"/>
          </w:tcPr>
          <w:p w14:paraId="5F875C5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vAlign w:val="center"/>
          </w:tcPr>
          <w:p w14:paraId="66EEC3B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vAlign w:val="center"/>
          </w:tcPr>
          <w:p w14:paraId="70D7D15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vAlign w:val="center"/>
          </w:tcPr>
          <w:p w14:paraId="22880DB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r>
      <w:tr w:rsidR="003E148C" w:rsidRPr="00BD2A98" w14:paraId="0D36051E" w14:textId="77777777" w:rsidTr="0026218B">
        <w:trPr>
          <w:trHeight w:val="20"/>
        </w:trPr>
        <w:tc>
          <w:tcPr>
            <w:tcW w:w="0" w:type="auto"/>
            <w:tcBorders>
              <w:top w:val="nil"/>
              <w:left w:val="nil"/>
              <w:bottom w:val="nil"/>
              <w:right w:val="nil"/>
            </w:tcBorders>
          </w:tcPr>
          <w:p w14:paraId="11369553"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760B423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vAlign w:val="center"/>
          </w:tcPr>
          <w:p w14:paraId="28F8AA4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vAlign w:val="center"/>
          </w:tcPr>
          <w:p w14:paraId="66AA0FE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vAlign w:val="center"/>
          </w:tcPr>
          <w:p w14:paraId="2532140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r>
      <w:tr w:rsidR="003E148C" w:rsidRPr="00BD2A98" w14:paraId="0BE0A985" w14:textId="77777777" w:rsidTr="0026218B">
        <w:trPr>
          <w:trHeight w:val="20"/>
        </w:trPr>
        <w:tc>
          <w:tcPr>
            <w:tcW w:w="0" w:type="auto"/>
            <w:tcBorders>
              <w:top w:val="nil"/>
              <w:left w:val="nil"/>
              <w:bottom w:val="nil"/>
              <w:right w:val="nil"/>
            </w:tcBorders>
          </w:tcPr>
          <w:p w14:paraId="6C6EFD74" w14:textId="77777777" w:rsidR="003E148C" w:rsidRPr="00BD2A98" w:rsidRDefault="003E148C" w:rsidP="0026218B">
            <w:pPr>
              <w:widowControl w:val="0"/>
              <w:autoSpaceDE w:val="0"/>
              <w:autoSpaceDN w:val="0"/>
              <w:adjustRightInd w:val="0"/>
              <w:rPr>
                <w:sz w:val="20"/>
                <w:szCs w:val="20"/>
              </w:rPr>
            </w:pPr>
            <w:r w:rsidRPr="00BD2A98">
              <w:rPr>
                <w:sz w:val="20"/>
                <w:szCs w:val="20"/>
              </w:rPr>
              <w:t>Mid education</w:t>
            </w:r>
          </w:p>
        </w:tc>
        <w:tc>
          <w:tcPr>
            <w:tcW w:w="1152" w:type="dxa"/>
            <w:tcBorders>
              <w:top w:val="nil"/>
              <w:left w:val="nil"/>
              <w:bottom w:val="nil"/>
              <w:right w:val="nil"/>
            </w:tcBorders>
            <w:vAlign w:val="center"/>
          </w:tcPr>
          <w:p w14:paraId="78FE35C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0.1219</w:t>
            </w:r>
          </w:p>
        </w:tc>
        <w:tc>
          <w:tcPr>
            <w:tcW w:w="1152" w:type="dxa"/>
            <w:tcBorders>
              <w:top w:val="nil"/>
              <w:left w:val="nil"/>
              <w:bottom w:val="nil"/>
              <w:right w:val="nil"/>
            </w:tcBorders>
            <w:vAlign w:val="center"/>
          </w:tcPr>
          <w:p w14:paraId="4B6165F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0.0067</w:t>
            </w:r>
          </w:p>
        </w:tc>
        <w:tc>
          <w:tcPr>
            <w:tcW w:w="1152" w:type="dxa"/>
            <w:tcBorders>
              <w:top w:val="nil"/>
              <w:left w:val="nil"/>
              <w:bottom w:val="nil"/>
              <w:right w:val="nil"/>
            </w:tcBorders>
            <w:vAlign w:val="center"/>
          </w:tcPr>
          <w:p w14:paraId="72916C6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1152" w:type="dxa"/>
            <w:tcBorders>
              <w:top w:val="nil"/>
              <w:left w:val="nil"/>
              <w:bottom w:val="nil"/>
              <w:right w:val="nil"/>
            </w:tcBorders>
            <w:vAlign w:val="center"/>
          </w:tcPr>
          <w:p w14:paraId="4FF883A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-0.0002</w:t>
            </w:r>
          </w:p>
        </w:tc>
      </w:tr>
      <w:tr w:rsidR="003E148C" w:rsidRPr="00BD2A98" w14:paraId="1B52CABF" w14:textId="77777777" w:rsidTr="0026218B">
        <w:trPr>
          <w:trHeight w:val="20"/>
        </w:trPr>
        <w:tc>
          <w:tcPr>
            <w:tcW w:w="0" w:type="auto"/>
            <w:tcBorders>
              <w:top w:val="nil"/>
              <w:left w:val="nil"/>
              <w:bottom w:val="nil"/>
              <w:right w:val="nil"/>
            </w:tcBorders>
          </w:tcPr>
          <w:p w14:paraId="44D3F7BB"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12D3A56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(0.0122)</w:t>
            </w:r>
          </w:p>
        </w:tc>
        <w:tc>
          <w:tcPr>
            <w:tcW w:w="1152" w:type="dxa"/>
            <w:tcBorders>
              <w:top w:val="nil"/>
              <w:left w:val="nil"/>
              <w:bottom w:val="nil"/>
              <w:right w:val="nil"/>
            </w:tcBorders>
            <w:vAlign w:val="center"/>
          </w:tcPr>
          <w:p w14:paraId="5C7D9D3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(0.0011)</w:t>
            </w:r>
          </w:p>
        </w:tc>
        <w:tc>
          <w:tcPr>
            <w:tcW w:w="1152" w:type="dxa"/>
            <w:tcBorders>
              <w:top w:val="nil"/>
              <w:left w:val="nil"/>
              <w:bottom w:val="nil"/>
              <w:right w:val="nil"/>
            </w:tcBorders>
            <w:vAlign w:val="center"/>
          </w:tcPr>
          <w:p w14:paraId="5A05FCC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(0.0006)</w:t>
            </w:r>
          </w:p>
        </w:tc>
        <w:tc>
          <w:tcPr>
            <w:tcW w:w="1152" w:type="dxa"/>
            <w:tcBorders>
              <w:top w:val="nil"/>
              <w:left w:val="nil"/>
              <w:bottom w:val="nil"/>
              <w:right w:val="nil"/>
            </w:tcBorders>
            <w:vAlign w:val="center"/>
          </w:tcPr>
          <w:p w14:paraId="32C06E4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(0.0010)</w:t>
            </w:r>
          </w:p>
        </w:tc>
      </w:tr>
      <w:tr w:rsidR="003E148C" w:rsidRPr="00BD2A98" w14:paraId="1F65F6CB" w14:textId="77777777" w:rsidTr="0026218B">
        <w:trPr>
          <w:trHeight w:val="20"/>
        </w:trPr>
        <w:tc>
          <w:tcPr>
            <w:tcW w:w="0" w:type="auto"/>
            <w:tcBorders>
              <w:top w:val="nil"/>
              <w:left w:val="nil"/>
              <w:bottom w:val="nil"/>
              <w:right w:val="nil"/>
            </w:tcBorders>
          </w:tcPr>
          <w:p w14:paraId="5238C306" w14:textId="77777777" w:rsidR="003E148C" w:rsidRPr="00BD2A98" w:rsidRDefault="003E148C" w:rsidP="0026218B">
            <w:pPr>
              <w:widowControl w:val="0"/>
              <w:autoSpaceDE w:val="0"/>
              <w:autoSpaceDN w:val="0"/>
              <w:adjustRightInd w:val="0"/>
              <w:rPr>
                <w:sz w:val="20"/>
                <w:szCs w:val="20"/>
              </w:rPr>
            </w:pPr>
            <w:r w:rsidRPr="00BD2A98">
              <w:rPr>
                <w:sz w:val="20"/>
                <w:szCs w:val="20"/>
              </w:rPr>
              <w:t>High education</w:t>
            </w:r>
          </w:p>
        </w:tc>
        <w:tc>
          <w:tcPr>
            <w:tcW w:w="1152" w:type="dxa"/>
            <w:tcBorders>
              <w:top w:val="nil"/>
              <w:left w:val="nil"/>
              <w:bottom w:val="nil"/>
              <w:right w:val="nil"/>
            </w:tcBorders>
            <w:vAlign w:val="center"/>
          </w:tcPr>
          <w:p w14:paraId="669E9B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0.3756</w:t>
            </w:r>
          </w:p>
        </w:tc>
        <w:tc>
          <w:tcPr>
            <w:tcW w:w="1152" w:type="dxa"/>
            <w:tcBorders>
              <w:top w:val="nil"/>
              <w:left w:val="nil"/>
              <w:bottom w:val="nil"/>
              <w:right w:val="nil"/>
            </w:tcBorders>
            <w:vAlign w:val="center"/>
          </w:tcPr>
          <w:p w14:paraId="6DC0E4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0.1028</w:t>
            </w:r>
          </w:p>
        </w:tc>
        <w:tc>
          <w:tcPr>
            <w:tcW w:w="1152" w:type="dxa"/>
            <w:tcBorders>
              <w:top w:val="nil"/>
              <w:left w:val="nil"/>
              <w:bottom w:val="nil"/>
              <w:right w:val="nil"/>
            </w:tcBorders>
            <w:vAlign w:val="center"/>
          </w:tcPr>
          <w:p w14:paraId="1C13A23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0.0713</w:t>
            </w:r>
          </w:p>
        </w:tc>
        <w:tc>
          <w:tcPr>
            <w:tcW w:w="1152" w:type="dxa"/>
            <w:tcBorders>
              <w:top w:val="nil"/>
              <w:left w:val="nil"/>
              <w:bottom w:val="nil"/>
              <w:right w:val="nil"/>
            </w:tcBorders>
            <w:vAlign w:val="center"/>
          </w:tcPr>
          <w:p w14:paraId="3843E2F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0.0494</w:t>
            </w:r>
          </w:p>
        </w:tc>
      </w:tr>
      <w:tr w:rsidR="003E148C" w:rsidRPr="00BD2A98" w14:paraId="3619842E" w14:textId="77777777" w:rsidTr="0026218B">
        <w:trPr>
          <w:trHeight w:val="20"/>
        </w:trPr>
        <w:tc>
          <w:tcPr>
            <w:tcW w:w="0" w:type="auto"/>
            <w:tcBorders>
              <w:top w:val="nil"/>
              <w:left w:val="nil"/>
              <w:bottom w:val="nil"/>
              <w:right w:val="nil"/>
            </w:tcBorders>
          </w:tcPr>
          <w:p w14:paraId="25B988EA"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59C631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(0.0107)</w:t>
            </w:r>
          </w:p>
        </w:tc>
        <w:tc>
          <w:tcPr>
            <w:tcW w:w="1152" w:type="dxa"/>
            <w:tcBorders>
              <w:top w:val="nil"/>
              <w:left w:val="nil"/>
              <w:bottom w:val="nil"/>
              <w:right w:val="nil"/>
            </w:tcBorders>
            <w:vAlign w:val="center"/>
          </w:tcPr>
          <w:p w14:paraId="235A7A9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c>
          <w:tcPr>
            <w:tcW w:w="1152" w:type="dxa"/>
            <w:tcBorders>
              <w:top w:val="nil"/>
              <w:left w:val="nil"/>
              <w:bottom w:val="nil"/>
              <w:right w:val="nil"/>
            </w:tcBorders>
            <w:vAlign w:val="center"/>
          </w:tcPr>
          <w:p w14:paraId="611D155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(0.0049)</w:t>
            </w:r>
          </w:p>
        </w:tc>
        <w:tc>
          <w:tcPr>
            <w:tcW w:w="1152" w:type="dxa"/>
            <w:tcBorders>
              <w:top w:val="nil"/>
              <w:left w:val="nil"/>
              <w:bottom w:val="nil"/>
              <w:right w:val="nil"/>
            </w:tcBorders>
            <w:vAlign w:val="center"/>
          </w:tcPr>
          <w:p w14:paraId="33C8B6C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(0.0023)</w:t>
            </w:r>
          </w:p>
        </w:tc>
      </w:tr>
      <w:tr w:rsidR="003E148C" w:rsidRPr="00BD2A98" w14:paraId="7E6DE4D2" w14:textId="77777777" w:rsidTr="0026218B">
        <w:trPr>
          <w:trHeight w:val="20"/>
        </w:trPr>
        <w:tc>
          <w:tcPr>
            <w:tcW w:w="0" w:type="auto"/>
            <w:tcBorders>
              <w:top w:val="nil"/>
              <w:left w:val="nil"/>
              <w:bottom w:val="nil"/>
              <w:right w:val="nil"/>
            </w:tcBorders>
          </w:tcPr>
          <w:p w14:paraId="0BF0AAE9" w14:textId="77777777" w:rsidR="003E148C" w:rsidRPr="00BD2A98" w:rsidRDefault="003E148C" w:rsidP="0026218B">
            <w:pPr>
              <w:widowControl w:val="0"/>
              <w:autoSpaceDE w:val="0"/>
              <w:autoSpaceDN w:val="0"/>
              <w:adjustRightInd w:val="0"/>
              <w:rPr>
                <w:sz w:val="20"/>
                <w:szCs w:val="20"/>
              </w:rPr>
            </w:pPr>
            <w:r w:rsidRPr="00BD2A98">
              <w:rPr>
                <w:sz w:val="20"/>
                <w:szCs w:val="20"/>
              </w:rPr>
              <w:t>Hours worked (ln)</w:t>
            </w:r>
          </w:p>
        </w:tc>
        <w:tc>
          <w:tcPr>
            <w:tcW w:w="1152" w:type="dxa"/>
            <w:tcBorders>
              <w:top w:val="nil"/>
              <w:left w:val="nil"/>
              <w:bottom w:val="nil"/>
              <w:right w:val="nil"/>
            </w:tcBorders>
            <w:vAlign w:val="center"/>
          </w:tcPr>
          <w:p w14:paraId="2AD96A1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0.7033</w:t>
            </w:r>
          </w:p>
        </w:tc>
        <w:tc>
          <w:tcPr>
            <w:tcW w:w="1152" w:type="dxa"/>
            <w:tcBorders>
              <w:top w:val="nil"/>
              <w:left w:val="nil"/>
              <w:bottom w:val="nil"/>
              <w:right w:val="nil"/>
            </w:tcBorders>
            <w:vAlign w:val="center"/>
          </w:tcPr>
          <w:p w14:paraId="71C7A5B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0.8283</w:t>
            </w:r>
          </w:p>
        </w:tc>
        <w:tc>
          <w:tcPr>
            <w:tcW w:w="1152" w:type="dxa"/>
            <w:tcBorders>
              <w:top w:val="nil"/>
              <w:left w:val="nil"/>
              <w:bottom w:val="nil"/>
              <w:right w:val="nil"/>
            </w:tcBorders>
            <w:vAlign w:val="center"/>
          </w:tcPr>
          <w:p w14:paraId="132DEBA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0.8519</w:t>
            </w:r>
          </w:p>
        </w:tc>
        <w:tc>
          <w:tcPr>
            <w:tcW w:w="1152" w:type="dxa"/>
            <w:tcBorders>
              <w:top w:val="nil"/>
              <w:left w:val="nil"/>
              <w:bottom w:val="nil"/>
              <w:right w:val="nil"/>
            </w:tcBorders>
            <w:vAlign w:val="center"/>
          </w:tcPr>
          <w:p w14:paraId="63B6FF5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0.8198</w:t>
            </w:r>
          </w:p>
        </w:tc>
      </w:tr>
      <w:tr w:rsidR="003E148C" w:rsidRPr="00BD2A98" w14:paraId="7BDE9395" w14:textId="77777777" w:rsidTr="0026218B">
        <w:trPr>
          <w:trHeight w:val="20"/>
        </w:trPr>
        <w:tc>
          <w:tcPr>
            <w:tcW w:w="0" w:type="auto"/>
            <w:tcBorders>
              <w:top w:val="nil"/>
              <w:left w:val="nil"/>
              <w:bottom w:val="nil"/>
              <w:right w:val="nil"/>
            </w:tcBorders>
          </w:tcPr>
          <w:p w14:paraId="58F04C0A"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15A2104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(0.0450)</w:t>
            </w:r>
          </w:p>
        </w:tc>
        <w:tc>
          <w:tcPr>
            <w:tcW w:w="1152" w:type="dxa"/>
            <w:tcBorders>
              <w:top w:val="nil"/>
              <w:left w:val="nil"/>
              <w:bottom w:val="nil"/>
              <w:right w:val="nil"/>
            </w:tcBorders>
            <w:vAlign w:val="center"/>
          </w:tcPr>
          <w:p w14:paraId="0558065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(0.0122)</w:t>
            </w:r>
          </w:p>
        </w:tc>
        <w:tc>
          <w:tcPr>
            <w:tcW w:w="1152" w:type="dxa"/>
            <w:tcBorders>
              <w:top w:val="nil"/>
              <w:left w:val="nil"/>
              <w:bottom w:val="nil"/>
              <w:right w:val="nil"/>
            </w:tcBorders>
            <w:vAlign w:val="center"/>
          </w:tcPr>
          <w:p w14:paraId="1CF7B2B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(0.0080)</w:t>
            </w:r>
          </w:p>
        </w:tc>
        <w:tc>
          <w:tcPr>
            <w:tcW w:w="1152" w:type="dxa"/>
            <w:tcBorders>
              <w:top w:val="nil"/>
              <w:left w:val="nil"/>
              <w:bottom w:val="nil"/>
              <w:right w:val="nil"/>
            </w:tcBorders>
            <w:vAlign w:val="center"/>
          </w:tcPr>
          <w:p w14:paraId="6590B78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(0.0124)</w:t>
            </w:r>
          </w:p>
        </w:tc>
      </w:tr>
      <w:tr w:rsidR="003E148C" w:rsidRPr="00BD2A98" w14:paraId="65462072" w14:textId="77777777" w:rsidTr="0026218B">
        <w:trPr>
          <w:trHeight w:val="20"/>
        </w:trPr>
        <w:tc>
          <w:tcPr>
            <w:tcW w:w="0" w:type="auto"/>
            <w:tcBorders>
              <w:top w:val="nil"/>
              <w:left w:val="nil"/>
              <w:bottom w:val="nil"/>
              <w:right w:val="nil"/>
            </w:tcBorders>
          </w:tcPr>
          <w:p w14:paraId="24D0A288" w14:textId="77777777" w:rsidR="003E148C" w:rsidRPr="00BD2A98" w:rsidRDefault="003E148C" w:rsidP="0026218B">
            <w:pPr>
              <w:widowControl w:val="0"/>
              <w:autoSpaceDE w:val="0"/>
              <w:autoSpaceDN w:val="0"/>
              <w:adjustRightInd w:val="0"/>
              <w:rPr>
                <w:sz w:val="20"/>
                <w:szCs w:val="20"/>
              </w:rPr>
            </w:pPr>
            <w:r w:rsidRPr="00BD2A98">
              <w:rPr>
                <w:sz w:val="20"/>
                <w:szCs w:val="20"/>
              </w:rPr>
              <w:t>Long term contract</w:t>
            </w:r>
          </w:p>
        </w:tc>
        <w:tc>
          <w:tcPr>
            <w:tcW w:w="1152" w:type="dxa"/>
            <w:tcBorders>
              <w:top w:val="nil"/>
              <w:left w:val="nil"/>
              <w:bottom w:val="nil"/>
              <w:right w:val="nil"/>
            </w:tcBorders>
            <w:vAlign w:val="center"/>
          </w:tcPr>
          <w:p w14:paraId="72F8085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0.0962</w:t>
            </w:r>
          </w:p>
        </w:tc>
        <w:tc>
          <w:tcPr>
            <w:tcW w:w="1152" w:type="dxa"/>
            <w:tcBorders>
              <w:top w:val="nil"/>
              <w:left w:val="nil"/>
              <w:bottom w:val="nil"/>
              <w:right w:val="nil"/>
            </w:tcBorders>
            <w:vAlign w:val="center"/>
          </w:tcPr>
          <w:p w14:paraId="306579C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0.0163</w:t>
            </w:r>
          </w:p>
        </w:tc>
        <w:tc>
          <w:tcPr>
            <w:tcW w:w="1152" w:type="dxa"/>
            <w:tcBorders>
              <w:top w:val="nil"/>
              <w:left w:val="nil"/>
              <w:bottom w:val="nil"/>
              <w:right w:val="nil"/>
            </w:tcBorders>
            <w:vAlign w:val="center"/>
          </w:tcPr>
          <w:p w14:paraId="3FFE994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0.0215</w:t>
            </w:r>
          </w:p>
        </w:tc>
        <w:tc>
          <w:tcPr>
            <w:tcW w:w="1152" w:type="dxa"/>
            <w:tcBorders>
              <w:top w:val="nil"/>
              <w:left w:val="nil"/>
              <w:bottom w:val="nil"/>
              <w:right w:val="nil"/>
            </w:tcBorders>
            <w:vAlign w:val="center"/>
          </w:tcPr>
          <w:p w14:paraId="254BBAB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0.0105</w:t>
            </w:r>
          </w:p>
        </w:tc>
      </w:tr>
      <w:tr w:rsidR="003E148C" w:rsidRPr="00BD2A98" w14:paraId="0130CD38" w14:textId="77777777" w:rsidTr="0026218B">
        <w:trPr>
          <w:trHeight w:val="20"/>
        </w:trPr>
        <w:tc>
          <w:tcPr>
            <w:tcW w:w="0" w:type="auto"/>
            <w:tcBorders>
              <w:top w:val="nil"/>
              <w:left w:val="nil"/>
              <w:bottom w:val="nil"/>
              <w:right w:val="nil"/>
            </w:tcBorders>
          </w:tcPr>
          <w:p w14:paraId="4E5790D3"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105BDF9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(0.0096)</w:t>
            </w:r>
          </w:p>
        </w:tc>
        <w:tc>
          <w:tcPr>
            <w:tcW w:w="1152" w:type="dxa"/>
            <w:tcBorders>
              <w:top w:val="nil"/>
              <w:left w:val="nil"/>
              <w:bottom w:val="nil"/>
              <w:right w:val="nil"/>
            </w:tcBorders>
            <w:vAlign w:val="center"/>
          </w:tcPr>
          <w:p w14:paraId="2F9CB39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c>
          <w:tcPr>
            <w:tcW w:w="1152" w:type="dxa"/>
            <w:tcBorders>
              <w:top w:val="nil"/>
              <w:left w:val="nil"/>
              <w:bottom w:val="nil"/>
              <w:right w:val="nil"/>
            </w:tcBorders>
            <w:vAlign w:val="center"/>
          </w:tcPr>
          <w:p w14:paraId="29A3642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(0.0014)</w:t>
            </w:r>
          </w:p>
        </w:tc>
        <w:tc>
          <w:tcPr>
            <w:tcW w:w="1152" w:type="dxa"/>
            <w:tcBorders>
              <w:top w:val="nil"/>
              <w:left w:val="nil"/>
              <w:bottom w:val="nil"/>
              <w:right w:val="nil"/>
            </w:tcBorders>
            <w:vAlign w:val="center"/>
          </w:tcPr>
          <w:p w14:paraId="7C4514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(0.0009)</w:t>
            </w:r>
          </w:p>
        </w:tc>
      </w:tr>
      <w:tr w:rsidR="003E148C" w:rsidRPr="00BD2A98" w14:paraId="15BE3C46" w14:textId="77777777" w:rsidTr="0026218B">
        <w:trPr>
          <w:trHeight w:val="20"/>
        </w:trPr>
        <w:tc>
          <w:tcPr>
            <w:tcW w:w="0" w:type="auto"/>
            <w:tcBorders>
              <w:top w:val="nil"/>
              <w:left w:val="nil"/>
              <w:bottom w:val="nil"/>
              <w:right w:val="nil"/>
            </w:tcBorders>
          </w:tcPr>
          <w:p w14:paraId="483D98E9" w14:textId="77777777" w:rsidR="003E148C" w:rsidRPr="00BD2A98" w:rsidRDefault="003E148C" w:rsidP="0026218B">
            <w:pPr>
              <w:widowControl w:val="0"/>
              <w:autoSpaceDE w:val="0"/>
              <w:autoSpaceDN w:val="0"/>
              <w:adjustRightInd w:val="0"/>
              <w:rPr>
                <w:sz w:val="20"/>
                <w:szCs w:val="20"/>
              </w:rPr>
            </w:pPr>
            <w:r w:rsidRPr="00BD2A98">
              <w:rPr>
                <w:sz w:val="20"/>
                <w:szCs w:val="20"/>
              </w:rPr>
              <w:t>Mid qualification</w:t>
            </w:r>
          </w:p>
        </w:tc>
        <w:tc>
          <w:tcPr>
            <w:tcW w:w="1152" w:type="dxa"/>
            <w:tcBorders>
              <w:top w:val="nil"/>
              <w:left w:val="nil"/>
              <w:bottom w:val="nil"/>
              <w:right w:val="nil"/>
            </w:tcBorders>
            <w:vAlign w:val="center"/>
          </w:tcPr>
          <w:p w14:paraId="7E200BF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0.1284</w:t>
            </w:r>
          </w:p>
        </w:tc>
        <w:tc>
          <w:tcPr>
            <w:tcW w:w="1152" w:type="dxa"/>
            <w:tcBorders>
              <w:top w:val="nil"/>
              <w:left w:val="nil"/>
              <w:bottom w:val="nil"/>
              <w:right w:val="nil"/>
            </w:tcBorders>
            <w:vAlign w:val="center"/>
          </w:tcPr>
          <w:p w14:paraId="2E79036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0.0559</w:t>
            </w:r>
          </w:p>
        </w:tc>
        <w:tc>
          <w:tcPr>
            <w:tcW w:w="1152" w:type="dxa"/>
            <w:tcBorders>
              <w:top w:val="nil"/>
              <w:left w:val="nil"/>
              <w:bottom w:val="nil"/>
              <w:right w:val="nil"/>
            </w:tcBorders>
            <w:vAlign w:val="center"/>
          </w:tcPr>
          <w:p w14:paraId="7384C1F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0.0504</w:t>
            </w:r>
          </w:p>
        </w:tc>
        <w:tc>
          <w:tcPr>
            <w:tcW w:w="1152" w:type="dxa"/>
            <w:tcBorders>
              <w:top w:val="nil"/>
              <w:left w:val="nil"/>
              <w:bottom w:val="nil"/>
              <w:right w:val="nil"/>
            </w:tcBorders>
            <w:vAlign w:val="center"/>
          </w:tcPr>
          <w:p w14:paraId="4711ED0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0.0319</w:t>
            </w:r>
          </w:p>
        </w:tc>
      </w:tr>
      <w:tr w:rsidR="003E148C" w:rsidRPr="00BD2A98" w14:paraId="49D1069C" w14:textId="77777777" w:rsidTr="0026218B">
        <w:trPr>
          <w:trHeight w:val="20"/>
        </w:trPr>
        <w:tc>
          <w:tcPr>
            <w:tcW w:w="0" w:type="auto"/>
            <w:tcBorders>
              <w:top w:val="nil"/>
              <w:left w:val="nil"/>
              <w:bottom w:val="nil"/>
              <w:right w:val="nil"/>
            </w:tcBorders>
          </w:tcPr>
          <w:p w14:paraId="3E1AF50A"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2B374F8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(0.0043)</w:t>
            </w:r>
          </w:p>
        </w:tc>
        <w:tc>
          <w:tcPr>
            <w:tcW w:w="1152" w:type="dxa"/>
            <w:tcBorders>
              <w:top w:val="nil"/>
              <w:left w:val="nil"/>
              <w:bottom w:val="nil"/>
              <w:right w:val="nil"/>
            </w:tcBorders>
            <w:vAlign w:val="center"/>
          </w:tcPr>
          <w:p w14:paraId="03F2F88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c>
          <w:tcPr>
            <w:tcW w:w="1152" w:type="dxa"/>
            <w:tcBorders>
              <w:top w:val="nil"/>
              <w:left w:val="nil"/>
              <w:bottom w:val="nil"/>
              <w:right w:val="nil"/>
            </w:tcBorders>
            <w:vAlign w:val="center"/>
          </w:tcPr>
          <w:p w14:paraId="1B3486D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1152" w:type="dxa"/>
            <w:tcBorders>
              <w:top w:val="nil"/>
              <w:left w:val="nil"/>
              <w:bottom w:val="nil"/>
              <w:right w:val="nil"/>
            </w:tcBorders>
            <w:vAlign w:val="center"/>
          </w:tcPr>
          <w:p w14:paraId="4925CA5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r>
      <w:tr w:rsidR="003E148C" w:rsidRPr="00BD2A98" w14:paraId="0013CEC7" w14:textId="77777777" w:rsidTr="0026218B">
        <w:trPr>
          <w:trHeight w:val="20"/>
        </w:trPr>
        <w:tc>
          <w:tcPr>
            <w:tcW w:w="0" w:type="auto"/>
            <w:tcBorders>
              <w:top w:val="nil"/>
              <w:left w:val="nil"/>
              <w:bottom w:val="nil"/>
              <w:right w:val="nil"/>
            </w:tcBorders>
          </w:tcPr>
          <w:p w14:paraId="72F76AAE" w14:textId="77777777" w:rsidR="003E148C" w:rsidRPr="00BD2A98" w:rsidRDefault="003E148C" w:rsidP="0026218B">
            <w:pPr>
              <w:widowControl w:val="0"/>
              <w:autoSpaceDE w:val="0"/>
              <w:autoSpaceDN w:val="0"/>
              <w:adjustRightInd w:val="0"/>
              <w:rPr>
                <w:sz w:val="20"/>
                <w:szCs w:val="20"/>
              </w:rPr>
            </w:pPr>
            <w:r w:rsidRPr="00BD2A98">
              <w:rPr>
                <w:sz w:val="20"/>
                <w:szCs w:val="20"/>
              </w:rPr>
              <w:t>High qualification</w:t>
            </w:r>
          </w:p>
        </w:tc>
        <w:tc>
          <w:tcPr>
            <w:tcW w:w="1152" w:type="dxa"/>
            <w:tcBorders>
              <w:top w:val="nil"/>
              <w:left w:val="nil"/>
              <w:bottom w:val="nil"/>
              <w:right w:val="nil"/>
            </w:tcBorders>
            <w:vAlign w:val="center"/>
          </w:tcPr>
          <w:p w14:paraId="18C4978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0.3656</w:t>
            </w:r>
          </w:p>
        </w:tc>
        <w:tc>
          <w:tcPr>
            <w:tcW w:w="1152" w:type="dxa"/>
            <w:tcBorders>
              <w:top w:val="nil"/>
              <w:left w:val="nil"/>
              <w:bottom w:val="nil"/>
              <w:right w:val="nil"/>
            </w:tcBorders>
            <w:vAlign w:val="center"/>
          </w:tcPr>
          <w:p w14:paraId="48F551A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0.1380</w:t>
            </w:r>
          </w:p>
        </w:tc>
        <w:tc>
          <w:tcPr>
            <w:tcW w:w="1152" w:type="dxa"/>
            <w:tcBorders>
              <w:top w:val="nil"/>
              <w:left w:val="nil"/>
              <w:bottom w:val="nil"/>
              <w:right w:val="nil"/>
            </w:tcBorders>
            <w:vAlign w:val="center"/>
          </w:tcPr>
          <w:p w14:paraId="064993E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0.1245</w:t>
            </w:r>
          </w:p>
        </w:tc>
        <w:tc>
          <w:tcPr>
            <w:tcW w:w="1152" w:type="dxa"/>
            <w:tcBorders>
              <w:top w:val="nil"/>
              <w:left w:val="nil"/>
              <w:bottom w:val="nil"/>
              <w:right w:val="nil"/>
            </w:tcBorders>
            <w:vAlign w:val="center"/>
          </w:tcPr>
          <w:p w14:paraId="4FBC263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0.0833</w:t>
            </w:r>
          </w:p>
        </w:tc>
      </w:tr>
      <w:tr w:rsidR="003E148C" w:rsidRPr="00BD2A98" w14:paraId="67071850" w14:textId="77777777" w:rsidTr="0026218B">
        <w:trPr>
          <w:trHeight w:val="20"/>
        </w:trPr>
        <w:tc>
          <w:tcPr>
            <w:tcW w:w="0" w:type="auto"/>
            <w:tcBorders>
              <w:top w:val="nil"/>
              <w:left w:val="nil"/>
              <w:bottom w:val="nil"/>
              <w:right w:val="nil"/>
            </w:tcBorders>
          </w:tcPr>
          <w:p w14:paraId="12F048E4"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272906D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(0.0057)</w:t>
            </w:r>
          </w:p>
        </w:tc>
        <w:tc>
          <w:tcPr>
            <w:tcW w:w="1152" w:type="dxa"/>
            <w:tcBorders>
              <w:top w:val="nil"/>
              <w:left w:val="nil"/>
              <w:bottom w:val="nil"/>
              <w:right w:val="nil"/>
            </w:tcBorders>
            <w:vAlign w:val="center"/>
          </w:tcPr>
          <w:p w14:paraId="6BF7DCC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(0.0023)</w:t>
            </w:r>
          </w:p>
        </w:tc>
        <w:tc>
          <w:tcPr>
            <w:tcW w:w="1152" w:type="dxa"/>
            <w:tcBorders>
              <w:top w:val="nil"/>
              <w:left w:val="nil"/>
              <w:bottom w:val="nil"/>
              <w:right w:val="nil"/>
            </w:tcBorders>
            <w:vAlign w:val="center"/>
          </w:tcPr>
          <w:p w14:paraId="1EDCDBC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(0.0026)</w:t>
            </w:r>
          </w:p>
        </w:tc>
        <w:tc>
          <w:tcPr>
            <w:tcW w:w="1152" w:type="dxa"/>
            <w:tcBorders>
              <w:top w:val="nil"/>
              <w:left w:val="nil"/>
              <w:bottom w:val="nil"/>
              <w:right w:val="nil"/>
            </w:tcBorders>
            <w:vAlign w:val="center"/>
          </w:tcPr>
          <w:p w14:paraId="19E7A73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(0.0027)</w:t>
            </w:r>
          </w:p>
        </w:tc>
      </w:tr>
      <w:tr w:rsidR="003E148C" w:rsidRPr="00BD2A98" w14:paraId="5C5D1F10" w14:textId="77777777" w:rsidTr="0026218B">
        <w:trPr>
          <w:trHeight w:val="20"/>
        </w:trPr>
        <w:tc>
          <w:tcPr>
            <w:tcW w:w="0" w:type="auto"/>
            <w:tcBorders>
              <w:top w:val="nil"/>
              <w:left w:val="nil"/>
              <w:bottom w:val="nil"/>
              <w:right w:val="nil"/>
            </w:tcBorders>
          </w:tcPr>
          <w:p w14:paraId="163C9067" w14:textId="77777777" w:rsidR="003E148C" w:rsidRPr="00BD2A98" w:rsidRDefault="003E148C" w:rsidP="0026218B">
            <w:pPr>
              <w:widowControl w:val="0"/>
              <w:autoSpaceDE w:val="0"/>
              <w:autoSpaceDN w:val="0"/>
              <w:adjustRightInd w:val="0"/>
              <w:rPr>
                <w:sz w:val="20"/>
                <w:szCs w:val="20"/>
              </w:rPr>
            </w:pPr>
            <w:r w:rsidRPr="00BD2A98">
              <w:rPr>
                <w:sz w:val="20"/>
                <w:szCs w:val="20"/>
              </w:rPr>
              <w:t>Workers (ln)</w:t>
            </w:r>
          </w:p>
        </w:tc>
        <w:tc>
          <w:tcPr>
            <w:tcW w:w="1152" w:type="dxa"/>
            <w:tcBorders>
              <w:top w:val="nil"/>
              <w:left w:val="nil"/>
              <w:bottom w:val="nil"/>
              <w:right w:val="nil"/>
            </w:tcBorders>
            <w:vAlign w:val="center"/>
          </w:tcPr>
          <w:p w14:paraId="2C7C830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0.0635</w:t>
            </w:r>
          </w:p>
        </w:tc>
        <w:tc>
          <w:tcPr>
            <w:tcW w:w="1152" w:type="dxa"/>
            <w:tcBorders>
              <w:top w:val="nil"/>
              <w:left w:val="nil"/>
              <w:bottom w:val="nil"/>
              <w:right w:val="nil"/>
            </w:tcBorders>
            <w:vAlign w:val="center"/>
          </w:tcPr>
          <w:p w14:paraId="3FBA910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0.0300</w:t>
            </w:r>
          </w:p>
        </w:tc>
        <w:tc>
          <w:tcPr>
            <w:tcW w:w="1152" w:type="dxa"/>
            <w:tcBorders>
              <w:top w:val="nil"/>
              <w:left w:val="nil"/>
              <w:bottom w:val="nil"/>
              <w:right w:val="nil"/>
            </w:tcBorders>
            <w:vAlign w:val="center"/>
          </w:tcPr>
          <w:p w14:paraId="735BC22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0.0325</w:t>
            </w:r>
          </w:p>
        </w:tc>
        <w:tc>
          <w:tcPr>
            <w:tcW w:w="1152" w:type="dxa"/>
            <w:tcBorders>
              <w:top w:val="nil"/>
              <w:left w:val="nil"/>
              <w:bottom w:val="nil"/>
              <w:right w:val="nil"/>
            </w:tcBorders>
            <w:vAlign w:val="center"/>
          </w:tcPr>
          <w:p w14:paraId="2234BDA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0.0413</w:t>
            </w:r>
          </w:p>
        </w:tc>
      </w:tr>
      <w:tr w:rsidR="003E148C" w:rsidRPr="00BD2A98" w14:paraId="12369A71" w14:textId="77777777" w:rsidTr="0026218B">
        <w:trPr>
          <w:trHeight w:val="20"/>
        </w:trPr>
        <w:tc>
          <w:tcPr>
            <w:tcW w:w="0" w:type="auto"/>
            <w:tcBorders>
              <w:top w:val="nil"/>
              <w:left w:val="nil"/>
              <w:bottom w:val="nil"/>
              <w:right w:val="nil"/>
            </w:tcBorders>
          </w:tcPr>
          <w:p w14:paraId="7B7D8FC3"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1B011BB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(0.0014)</w:t>
            </w:r>
          </w:p>
        </w:tc>
        <w:tc>
          <w:tcPr>
            <w:tcW w:w="1152" w:type="dxa"/>
            <w:tcBorders>
              <w:top w:val="nil"/>
              <w:left w:val="nil"/>
              <w:bottom w:val="nil"/>
              <w:right w:val="nil"/>
            </w:tcBorders>
            <w:vAlign w:val="center"/>
          </w:tcPr>
          <w:p w14:paraId="1490CFF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(0.0019)</w:t>
            </w:r>
          </w:p>
        </w:tc>
        <w:tc>
          <w:tcPr>
            <w:tcW w:w="1152" w:type="dxa"/>
            <w:tcBorders>
              <w:top w:val="nil"/>
              <w:left w:val="nil"/>
              <w:bottom w:val="nil"/>
              <w:right w:val="nil"/>
            </w:tcBorders>
            <w:vAlign w:val="center"/>
          </w:tcPr>
          <w:p w14:paraId="1285F43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(0.0026)</w:t>
            </w:r>
          </w:p>
        </w:tc>
        <w:tc>
          <w:tcPr>
            <w:tcW w:w="1152" w:type="dxa"/>
            <w:tcBorders>
              <w:top w:val="nil"/>
              <w:left w:val="nil"/>
              <w:bottom w:val="nil"/>
              <w:right w:val="nil"/>
            </w:tcBorders>
            <w:vAlign w:val="center"/>
          </w:tcPr>
          <w:p w14:paraId="37F6CD8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r>
      <w:tr w:rsidR="003E148C" w:rsidRPr="00BD2A98" w14:paraId="5296CD7C" w14:textId="77777777" w:rsidTr="0026218B">
        <w:trPr>
          <w:trHeight w:val="20"/>
        </w:trPr>
        <w:tc>
          <w:tcPr>
            <w:tcW w:w="0" w:type="auto"/>
            <w:tcBorders>
              <w:top w:val="nil"/>
              <w:left w:val="nil"/>
              <w:bottom w:val="nil"/>
              <w:right w:val="nil"/>
            </w:tcBorders>
          </w:tcPr>
          <w:p w14:paraId="53CFACF4" w14:textId="77777777" w:rsidR="003E148C" w:rsidRPr="00BD2A98" w:rsidRDefault="003E148C" w:rsidP="0026218B">
            <w:pPr>
              <w:widowControl w:val="0"/>
              <w:autoSpaceDE w:val="0"/>
              <w:autoSpaceDN w:val="0"/>
              <w:adjustRightInd w:val="0"/>
              <w:rPr>
                <w:sz w:val="20"/>
                <w:szCs w:val="20"/>
              </w:rPr>
            </w:pPr>
            <w:r w:rsidRPr="00BD2A98">
              <w:rPr>
                <w:sz w:val="20"/>
                <w:szCs w:val="20"/>
              </w:rPr>
              <w:t>Constant</w:t>
            </w:r>
          </w:p>
        </w:tc>
        <w:tc>
          <w:tcPr>
            <w:tcW w:w="1152" w:type="dxa"/>
            <w:tcBorders>
              <w:top w:val="nil"/>
              <w:left w:val="nil"/>
              <w:bottom w:val="nil"/>
              <w:right w:val="nil"/>
            </w:tcBorders>
            <w:vAlign w:val="center"/>
          </w:tcPr>
          <w:p w14:paraId="612AE68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2.1326</w:t>
            </w:r>
          </w:p>
        </w:tc>
        <w:tc>
          <w:tcPr>
            <w:tcW w:w="1152" w:type="dxa"/>
            <w:tcBorders>
              <w:top w:val="nil"/>
              <w:left w:val="nil"/>
              <w:bottom w:val="nil"/>
              <w:right w:val="nil"/>
            </w:tcBorders>
            <w:vAlign w:val="center"/>
          </w:tcPr>
          <w:p w14:paraId="45DBAE3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1.6863</w:t>
            </w:r>
          </w:p>
        </w:tc>
        <w:tc>
          <w:tcPr>
            <w:tcW w:w="1152" w:type="dxa"/>
            <w:tcBorders>
              <w:top w:val="nil"/>
              <w:left w:val="nil"/>
              <w:bottom w:val="nil"/>
              <w:right w:val="nil"/>
            </w:tcBorders>
            <w:vAlign w:val="center"/>
          </w:tcPr>
          <w:p w14:paraId="17B7BC5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1.6378</w:t>
            </w:r>
          </w:p>
        </w:tc>
        <w:tc>
          <w:tcPr>
            <w:tcW w:w="1152" w:type="dxa"/>
            <w:tcBorders>
              <w:top w:val="nil"/>
              <w:left w:val="nil"/>
              <w:bottom w:val="nil"/>
              <w:right w:val="nil"/>
            </w:tcBorders>
            <w:vAlign w:val="center"/>
          </w:tcPr>
          <w:p w14:paraId="7EC124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1.7845</w:t>
            </w:r>
          </w:p>
        </w:tc>
      </w:tr>
      <w:tr w:rsidR="003E148C" w:rsidRPr="00BD2A98" w14:paraId="63D68DB2" w14:textId="77777777" w:rsidTr="0026218B">
        <w:trPr>
          <w:trHeight w:val="20"/>
        </w:trPr>
        <w:tc>
          <w:tcPr>
            <w:tcW w:w="0" w:type="auto"/>
            <w:tcBorders>
              <w:top w:val="nil"/>
              <w:left w:val="nil"/>
              <w:bottom w:val="nil"/>
              <w:right w:val="nil"/>
            </w:tcBorders>
          </w:tcPr>
          <w:p w14:paraId="7E55EBC7"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vAlign w:val="center"/>
          </w:tcPr>
          <w:p w14:paraId="41433A6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(0.2215)</w:t>
            </w:r>
          </w:p>
        </w:tc>
        <w:tc>
          <w:tcPr>
            <w:tcW w:w="1152" w:type="dxa"/>
            <w:tcBorders>
              <w:top w:val="nil"/>
              <w:left w:val="nil"/>
              <w:bottom w:val="nil"/>
              <w:right w:val="nil"/>
            </w:tcBorders>
            <w:vAlign w:val="center"/>
          </w:tcPr>
          <w:p w14:paraId="4B24B79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(0.0665)</w:t>
            </w:r>
          </w:p>
        </w:tc>
        <w:tc>
          <w:tcPr>
            <w:tcW w:w="1152" w:type="dxa"/>
            <w:tcBorders>
              <w:top w:val="nil"/>
              <w:left w:val="nil"/>
              <w:bottom w:val="nil"/>
              <w:right w:val="nil"/>
            </w:tcBorders>
            <w:vAlign w:val="center"/>
          </w:tcPr>
          <w:p w14:paraId="5AA3255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(0.0371)</w:t>
            </w:r>
          </w:p>
        </w:tc>
        <w:tc>
          <w:tcPr>
            <w:tcW w:w="1152" w:type="dxa"/>
            <w:tcBorders>
              <w:top w:val="nil"/>
              <w:left w:val="nil"/>
              <w:bottom w:val="nil"/>
              <w:right w:val="nil"/>
            </w:tcBorders>
            <w:vAlign w:val="center"/>
          </w:tcPr>
          <w:p w14:paraId="3FDB86F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(0.0446)</w:t>
            </w:r>
          </w:p>
        </w:tc>
      </w:tr>
      <w:tr w:rsidR="003E148C" w:rsidRPr="00BD2A98" w14:paraId="162C1D9C" w14:textId="77777777" w:rsidTr="0026218B">
        <w:trPr>
          <w:trHeight w:val="20"/>
        </w:trPr>
        <w:tc>
          <w:tcPr>
            <w:tcW w:w="0" w:type="auto"/>
            <w:tcBorders>
              <w:top w:val="nil"/>
              <w:left w:val="nil"/>
              <w:bottom w:val="nil"/>
              <w:right w:val="nil"/>
            </w:tcBorders>
          </w:tcPr>
          <w:p w14:paraId="3906D42F" w14:textId="77777777" w:rsidR="003E148C" w:rsidRPr="00BD2A98" w:rsidRDefault="003E148C" w:rsidP="0026218B">
            <w:pPr>
              <w:widowControl w:val="0"/>
              <w:autoSpaceDE w:val="0"/>
              <w:autoSpaceDN w:val="0"/>
              <w:adjustRightInd w:val="0"/>
              <w:rPr>
                <w:sz w:val="20"/>
                <w:szCs w:val="20"/>
              </w:rPr>
            </w:pPr>
            <w:r w:rsidRPr="00BD2A98">
              <w:rPr>
                <w:sz w:val="20"/>
                <w:szCs w:val="20"/>
              </w:rPr>
              <w:t xml:space="preserve">R2 </w:t>
            </w:r>
          </w:p>
        </w:tc>
        <w:tc>
          <w:tcPr>
            <w:tcW w:w="1152" w:type="dxa"/>
            <w:tcBorders>
              <w:top w:val="nil"/>
              <w:left w:val="nil"/>
              <w:bottom w:val="nil"/>
              <w:right w:val="nil"/>
            </w:tcBorders>
            <w:vAlign w:val="center"/>
          </w:tcPr>
          <w:p w14:paraId="5606E5D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0.67</w:t>
            </w:r>
          </w:p>
        </w:tc>
        <w:tc>
          <w:tcPr>
            <w:tcW w:w="1152" w:type="dxa"/>
            <w:tcBorders>
              <w:top w:val="nil"/>
              <w:left w:val="nil"/>
              <w:bottom w:val="nil"/>
              <w:right w:val="nil"/>
            </w:tcBorders>
            <w:vAlign w:val="center"/>
          </w:tcPr>
          <w:p w14:paraId="61AC4FF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0.93</w:t>
            </w:r>
          </w:p>
        </w:tc>
        <w:tc>
          <w:tcPr>
            <w:tcW w:w="1152" w:type="dxa"/>
            <w:tcBorders>
              <w:top w:val="nil"/>
              <w:left w:val="nil"/>
              <w:bottom w:val="nil"/>
              <w:right w:val="nil"/>
            </w:tcBorders>
            <w:vAlign w:val="center"/>
          </w:tcPr>
          <w:p w14:paraId="2A85391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c>
          <w:tcPr>
            <w:tcW w:w="1152" w:type="dxa"/>
            <w:tcBorders>
              <w:top w:val="nil"/>
              <w:left w:val="nil"/>
              <w:bottom w:val="nil"/>
              <w:right w:val="nil"/>
            </w:tcBorders>
            <w:vAlign w:val="center"/>
          </w:tcPr>
          <w:p w14:paraId="53EBBFD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r>
      <w:tr w:rsidR="003E148C" w:rsidRPr="00BD2A98" w14:paraId="6C8EF952" w14:textId="77777777" w:rsidTr="0026218B">
        <w:trPr>
          <w:trHeight w:val="20"/>
        </w:trPr>
        <w:tc>
          <w:tcPr>
            <w:tcW w:w="0" w:type="auto"/>
            <w:tcBorders>
              <w:top w:val="nil"/>
              <w:left w:val="nil"/>
              <w:bottom w:val="nil"/>
              <w:right w:val="nil"/>
            </w:tcBorders>
          </w:tcPr>
          <w:p w14:paraId="3578B679" w14:textId="77777777" w:rsidR="003E148C" w:rsidRPr="00BD2A98" w:rsidRDefault="003E148C" w:rsidP="0026218B">
            <w:pPr>
              <w:widowControl w:val="0"/>
              <w:autoSpaceDE w:val="0"/>
              <w:autoSpaceDN w:val="0"/>
              <w:adjustRightInd w:val="0"/>
              <w:rPr>
                <w:sz w:val="20"/>
                <w:szCs w:val="20"/>
              </w:rPr>
            </w:pPr>
            <w:r w:rsidRPr="00BD2A98">
              <w:rPr>
                <w:sz w:val="20"/>
                <w:szCs w:val="20"/>
              </w:rPr>
              <w:t>N</w:t>
            </w:r>
          </w:p>
        </w:tc>
        <w:tc>
          <w:tcPr>
            <w:tcW w:w="1152" w:type="dxa"/>
            <w:tcBorders>
              <w:top w:val="nil"/>
              <w:left w:val="nil"/>
              <w:bottom w:val="nil"/>
              <w:right w:val="nil"/>
            </w:tcBorders>
            <w:vAlign w:val="center"/>
          </w:tcPr>
          <w:p w14:paraId="72FD20C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19,330,720</w:t>
            </w:r>
          </w:p>
        </w:tc>
        <w:tc>
          <w:tcPr>
            <w:tcW w:w="1152" w:type="dxa"/>
            <w:tcBorders>
              <w:top w:val="nil"/>
              <w:left w:val="nil"/>
              <w:bottom w:val="nil"/>
              <w:right w:val="nil"/>
            </w:tcBorders>
            <w:vAlign w:val="center"/>
          </w:tcPr>
          <w:p w14:paraId="73DECCC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18,237,603</w:t>
            </w:r>
          </w:p>
        </w:tc>
        <w:tc>
          <w:tcPr>
            <w:tcW w:w="1152" w:type="dxa"/>
            <w:tcBorders>
              <w:top w:val="nil"/>
              <w:left w:val="nil"/>
              <w:bottom w:val="nil"/>
              <w:right w:val="nil"/>
            </w:tcBorders>
            <w:vAlign w:val="center"/>
          </w:tcPr>
          <w:p w14:paraId="4561E1F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18,158,177</w:t>
            </w:r>
          </w:p>
        </w:tc>
        <w:tc>
          <w:tcPr>
            <w:tcW w:w="1152" w:type="dxa"/>
            <w:tcBorders>
              <w:top w:val="nil"/>
              <w:left w:val="nil"/>
              <w:bottom w:val="nil"/>
              <w:right w:val="nil"/>
            </w:tcBorders>
            <w:vAlign w:val="center"/>
          </w:tcPr>
          <w:p w14:paraId="57261F6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16,367,142</w:t>
            </w:r>
          </w:p>
        </w:tc>
      </w:tr>
      <w:tr w:rsidR="003E148C" w:rsidRPr="00BD2A98" w14:paraId="12C4432C" w14:textId="77777777" w:rsidTr="0026218B">
        <w:trPr>
          <w:trHeight w:val="20"/>
        </w:trPr>
        <w:tc>
          <w:tcPr>
            <w:tcW w:w="0" w:type="auto"/>
            <w:tcBorders>
              <w:top w:val="nil"/>
              <w:left w:val="nil"/>
              <w:bottom w:val="nil"/>
              <w:right w:val="nil"/>
            </w:tcBorders>
          </w:tcPr>
          <w:p w14:paraId="43FFAF42" w14:textId="77777777" w:rsidR="003E148C" w:rsidRPr="00BD2A98" w:rsidRDefault="003E148C" w:rsidP="0026218B">
            <w:pPr>
              <w:widowControl w:val="0"/>
              <w:autoSpaceDE w:val="0"/>
              <w:autoSpaceDN w:val="0"/>
              <w:adjustRightInd w:val="0"/>
              <w:rPr>
                <w:sz w:val="20"/>
                <w:szCs w:val="20"/>
              </w:rPr>
            </w:pPr>
            <w:r w:rsidRPr="00BD2A98">
              <w:rPr>
                <w:sz w:val="20"/>
                <w:szCs w:val="20"/>
              </w:rPr>
              <w:t>Occupation FE</w:t>
            </w:r>
          </w:p>
        </w:tc>
        <w:tc>
          <w:tcPr>
            <w:tcW w:w="1152" w:type="dxa"/>
            <w:tcBorders>
              <w:top w:val="nil"/>
              <w:left w:val="nil"/>
              <w:bottom w:val="nil"/>
              <w:right w:val="nil"/>
            </w:tcBorders>
            <w:vAlign w:val="center"/>
          </w:tcPr>
          <w:p w14:paraId="42F3432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09650B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046905E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4C1312C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294C402C" w14:textId="77777777" w:rsidTr="0026218B">
        <w:trPr>
          <w:trHeight w:val="20"/>
        </w:trPr>
        <w:tc>
          <w:tcPr>
            <w:tcW w:w="0" w:type="auto"/>
            <w:tcBorders>
              <w:top w:val="nil"/>
              <w:left w:val="nil"/>
              <w:right w:val="nil"/>
            </w:tcBorders>
          </w:tcPr>
          <w:p w14:paraId="0E51B186" w14:textId="77777777" w:rsidR="003E148C" w:rsidRPr="00BD2A98" w:rsidRDefault="003E148C" w:rsidP="0026218B">
            <w:pPr>
              <w:widowControl w:val="0"/>
              <w:autoSpaceDE w:val="0"/>
              <w:autoSpaceDN w:val="0"/>
              <w:adjustRightInd w:val="0"/>
              <w:rPr>
                <w:sz w:val="20"/>
                <w:szCs w:val="20"/>
              </w:rPr>
            </w:pPr>
            <w:r w:rsidRPr="00BD2A98">
              <w:rPr>
                <w:sz w:val="20"/>
                <w:szCs w:val="20"/>
              </w:rPr>
              <w:t>Year FE</w:t>
            </w:r>
          </w:p>
        </w:tc>
        <w:tc>
          <w:tcPr>
            <w:tcW w:w="1152" w:type="dxa"/>
            <w:tcBorders>
              <w:top w:val="nil"/>
              <w:left w:val="nil"/>
              <w:right w:val="nil"/>
            </w:tcBorders>
            <w:vAlign w:val="center"/>
          </w:tcPr>
          <w:p w14:paraId="6F1420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right w:val="nil"/>
            </w:tcBorders>
            <w:vAlign w:val="center"/>
          </w:tcPr>
          <w:p w14:paraId="72315D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right w:val="nil"/>
            </w:tcBorders>
            <w:vAlign w:val="center"/>
          </w:tcPr>
          <w:p w14:paraId="6ADE90C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right w:val="nil"/>
            </w:tcBorders>
            <w:vAlign w:val="center"/>
          </w:tcPr>
          <w:p w14:paraId="7766440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300EE52A" w14:textId="77777777" w:rsidTr="0026218B">
        <w:trPr>
          <w:trHeight w:val="20"/>
        </w:trPr>
        <w:tc>
          <w:tcPr>
            <w:tcW w:w="0" w:type="auto"/>
            <w:tcBorders>
              <w:top w:val="nil"/>
              <w:left w:val="nil"/>
              <w:bottom w:val="nil"/>
              <w:right w:val="nil"/>
            </w:tcBorders>
          </w:tcPr>
          <w:p w14:paraId="6D468F0E" w14:textId="65D3084B" w:rsidR="003E148C" w:rsidRPr="00BD2A98" w:rsidRDefault="004358A2" w:rsidP="0026218B">
            <w:pPr>
              <w:widowControl w:val="0"/>
              <w:autoSpaceDE w:val="0"/>
              <w:autoSpaceDN w:val="0"/>
              <w:adjustRightInd w:val="0"/>
              <w:rPr>
                <w:sz w:val="20"/>
                <w:szCs w:val="20"/>
              </w:rPr>
            </w:pPr>
            <w:r>
              <w:rPr>
                <w:sz w:val="20"/>
                <w:szCs w:val="20"/>
              </w:rPr>
              <w:t>Municipality</w:t>
            </w:r>
            <w:r w:rsidR="003E148C" w:rsidRPr="00BD2A98">
              <w:rPr>
                <w:sz w:val="20"/>
                <w:szCs w:val="20"/>
              </w:rPr>
              <w:t xml:space="preserve"> FE</w:t>
            </w:r>
          </w:p>
        </w:tc>
        <w:tc>
          <w:tcPr>
            <w:tcW w:w="1152" w:type="dxa"/>
            <w:tcBorders>
              <w:top w:val="nil"/>
              <w:left w:val="nil"/>
              <w:bottom w:val="nil"/>
              <w:right w:val="nil"/>
            </w:tcBorders>
            <w:vAlign w:val="center"/>
          </w:tcPr>
          <w:p w14:paraId="46EAF95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3F6C056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2E18EE6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0D7DD98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4B9E3596" w14:textId="77777777" w:rsidTr="0026218B">
        <w:trPr>
          <w:trHeight w:val="20"/>
        </w:trPr>
        <w:tc>
          <w:tcPr>
            <w:tcW w:w="0" w:type="auto"/>
            <w:tcBorders>
              <w:top w:val="nil"/>
              <w:left w:val="nil"/>
              <w:bottom w:val="nil"/>
              <w:right w:val="nil"/>
            </w:tcBorders>
          </w:tcPr>
          <w:p w14:paraId="467A3CEC" w14:textId="77777777" w:rsidR="003E148C" w:rsidRPr="00BD2A98" w:rsidRDefault="003E148C" w:rsidP="0026218B">
            <w:pPr>
              <w:widowControl w:val="0"/>
              <w:autoSpaceDE w:val="0"/>
              <w:autoSpaceDN w:val="0"/>
              <w:adjustRightInd w:val="0"/>
              <w:rPr>
                <w:sz w:val="20"/>
                <w:szCs w:val="20"/>
              </w:rPr>
            </w:pPr>
            <w:r w:rsidRPr="00BD2A98">
              <w:rPr>
                <w:sz w:val="20"/>
                <w:szCs w:val="20"/>
              </w:rPr>
              <w:t>Worker FE</w:t>
            </w:r>
          </w:p>
        </w:tc>
        <w:tc>
          <w:tcPr>
            <w:tcW w:w="1152" w:type="dxa"/>
            <w:tcBorders>
              <w:top w:val="nil"/>
              <w:left w:val="nil"/>
              <w:bottom w:val="nil"/>
              <w:right w:val="nil"/>
            </w:tcBorders>
            <w:vAlign w:val="center"/>
          </w:tcPr>
          <w:p w14:paraId="5A7FFA35"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vAlign w:val="center"/>
          </w:tcPr>
          <w:p w14:paraId="7AAEA03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18462DF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vAlign w:val="center"/>
          </w:tcPr>
          <w:p w14:paraId="575DFC2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7D081F1F" w14:textId="77777777" w:rsidTr="0026218B">
        <w:trPr>
          <w:trHeight w:val="20"/>
        </w:trPr>
        <w:tc>
          <w:tcPr>
            <w:tcW w:w="0" w:type="auto"/>
            <w:tcBorders>
              <w:top w:val="nil"/>
              <w:left w:val="nil"/>
              <w:right w:val="nil"/>
            </w:tcBorders>
          </w:tcPr>
          <w:p w14:paraId="0F7A8CCB" w14:textId="77777777" w:rsidR="003E148C" w:rsidRPr="00BD2A98" w:rsidRDefault="003E148C" w:rsidP="0026218B">
            <w:pPr>
              <w:widowControl w:val="0"/>
              <w:autoSpaceDE w:val="0"/>
              <w:autoSpaceDN w:val="0"/>
              <w:adjustRightInd w:val="0"/>
              <w:rPr>
                <w:sz w:val="20"/>
                <w:szCs w:val="20"/>
              </w:rPr>
            </w:pPr>
            <w:r w:rsidRPr="00BD2A98">
              <w:rPr>
                <w:sz w:val="20"/>
                <w:szCs w:val="20"/>
              </w:rPr>
              <w:t>Firm FE</w:t>
            </w:r>
          </w:p>
        </w:tc>
        <w:tc>
          <w:tcPr>
            <w:tcW w:w="1152" w:type="dxa"/>
            <w:tcBorders>
              <w:top w:val="nil"/>
              <w:left w:val="nil"/>
              <w:right w:val="nil"/>
            </w:tcBorders>
            <w:vAlign w:val="center"/>
          </w:tcPr>
          <w:p w14:paraId="6B77FE4B"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right w:val="nil"/>
            </w:tcBorders>
            <w:vAlign w:val="center"/>
          </w:tcPr>
          <w:p w14:paraId="75636613"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right w:val="nil"/>
            </w:tcBorders>
            <w:vAlign w:val="center"/>
          </w:tcPr>
          <w:p w14:paraId="014FD73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right w:val="nil"/>
            </w:tcBorders>
            <w:vAlign w:val="center"/>
          </w:tcPr>
          <w:p w14:paraId="6F0063F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7BF35B25" w14:textId="77777777" w:rsidTr="0026218B">
        <w:trPr>
          <w:trHeight w:val="20"/>
        </w:trPr>
        <w:tc>
          <w:tcPr>
            <w:tcW w:w="0" w:type="auto"/>
            <w:tcBorders>
              <w:top w:val="nil"/>
              <w:left w:val="nil"/>
              <w:bottom w:val="single" w:sz="4" w:space="0" w:color="auto"/>
              <w:right w:val="nil"/>
            </w:tcBorders>
          </w:tcPr>
          <w:p w14:paraId="3B9EE192" w14:textId="77777777" w:rsidR="003E148C" w:rsidRPr="00BD2A98" w:rsidRDefault="003E148C" w:rsidP="0026218B">
            <w:pPr>
              <w:widowControl w:val="0"/>
              <w:autoSpaceDE w:val="0"/>
              <w:autoSpaceDN w:val="0"/>
              <w:adjustRightInd w:val="0"/>
              <w:rPr>
                <w:sz w:val="20"/>
                <w:szCs w:val="20"/>
              </w:rPr>
            </w:pPr>
            <w:r w:rsidRPr="00BD2A98">
              <w:rPr>
                <w:sz w:val="20"/>
                <w:szCs w:val="20"/>
              </w:rPr>
              <w:t>Worker &amp; Firm FE</w:t>
            </w:r>
          </w:p>
        </w:tc>
        <w:tc>
          <w:tcPr>
            <w:tcW w:w="1152" w:type="dxa"/>
            <w:tcBorders>
              <w:top w:val="nil"/>
              <w:left w:val="nil"/>
              <w:bottom w:val="single" w:sz="4" w:space="0" w:color="auto"/>
              <w:right w:val="nil"/>
            </w:tcBorders>
            <w:vAlign w:val="center"/>
          </w:tcPr>
          <w:p w14:paraId="59407AE0"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4" w:space="0" w:color="auto"/>
              <w:right w:val="nil"/>
            </w:tcBorders>
            <w:vAlign w:val="center"/>
          </w:tcPr>
          <w:p w14:paraId="19B6BF3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4" w:space="0" w:color="auto"/>
              <w:right w:val="nil"/>
            </w:tcBorders>
            <w:vAlign w:val="center"/>
          </w:tcPr>
          <w:p w14:paraId="12D3552A"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4" w:space="0" w:color="auto"/>
              <w:right w:val="nil"/>
            </w:tcBorders>
            <w:vAlign w:val="center"/>
          </w:tcPr>
          <w:p w14:paraId="5076E31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2C306D" w14:paraId="13A8938D" w14:textId="77777777" w:rsidTr="0026218B">
        <w:tblPrEx>
          <w:tblCellMar>
            <w:left w:w="70" w:type="dxa"/>
            <w:right w:w="70" w:type="dxa"/>
          </w:tblCellMar>
          <w:tblLook w:val="04A0" w:firstRow="1" w:lastRow="0" w:firstColumn="1" w:lastColumn="0" w:noHBand="0" w:noVBand="1"/>
        </w:tblPrEx>
        <w:trPr>
          <w:gridAfter w:val="1"/>
          <w:wAfter w:w="1152" w:type="dxa"/>
          <w:trHeight w:val="20"/>
        </w:trPr>
        <w:tc>
          <w:tcPr>
            <w:tcW w:w="1152" w:type="dxa"/>
            <w:gridSpan w:val="4"/>
            <w:tcBorders>
              <w:top w:val="single" w:sz="4" w:space="0" w:color="auto"/>
              <w:left w:val="nil"/>
              <w:bottom w:val="nil"/>
              <w:right w:val="nil"/>
            </w:tcBorders>
            <w:shd w:val="clear" w:color="auto" w:fill="auto"/>
            <w:noWrap/>
            <w:vAlign w:val="bottom"/>
            <w:hideMark/>
          </w:tcPr>
          <w:p w14:paraId="41FCA090" w14:textId="77777777" w:rsidR="003E148C" w:rsidRPr="002C306D" w:rsidRDefault="003E148C" w:rsidP="0026218B">
            <w:pPr>
              <w:rPr>
                <w:sz w:val="20"/>
                <w:szCs w:val="20"/>
                <w:lang w:eastAsia="pt-PT"/>
              </w:rPr>
            </w:pPr>
            <w:r w:rsidRPr="002C306D">
              <w:rPr>
                <w:sz w:val="20"/>
                <w:szCs w:val="20"/>
                <w:lang w:eastAsia="pt-PT"/>
              </w:rPr>
              <w:t>Robust standard errors clustered by municipality in brackets</w:t>
            </w:r>
          </w:p>
        </w:tc>
      </w:tr>
    </w:tbl>
    <w:p w14:paraId="45313687" w14:textId="77777777" w:rsidR="003E148C" w:rsidRPr="00BD2A98" w:rsidRDefault="003E148C" w:rsidP="003E148C">
      <w:pPr>
        <w:rPr>
          <w:sz w:val="20"/>
          <w:szCs w:val="20"/>
        </w:rPr>
      </w:pPr>
      <w:r w:rsidRPr="00BD2A98">
        <w:rPr>
          <w:sz w:val="20"/>
          <w:szCs w:val="20"/>
        </w:rPr>
        <w:br w:type="page"/>
      </w:r>
    </w:p>
    <w:p w14:paraId="0C05BCA0" w14:textId="77777777" w:rsidR="003E148C" w:rsidRDefault="003E148C" w:rsidP="003E148C">
      <w:pPr>
        <w:keepNext/>
        <w:keepLines/>
        <w:autoSpaceDE w:val="0"/>
        <w:autoSpaceDN w:val="0"/>
        <w:adjustRightInd w:val="0"/>
        <w:outlineLvl w:val="1"/>
        <w:rPr>
          <w:b/>
          <w:sz w:val="22"/>
          <w:szCs w:val="22"/>
        </w:rPr>
      </w:pPr>
      <w:r w:rsidRPr="00E94742">
        <w:rPr>
          <w:b/>
          <w:sz w:val="22"/>
          <w:szCs w:val="22"/>
        </w:rPr>
        <w:t>Table 6: Effect of the reform on the likelihood of being promoted to managerial positions</w:t>
      </w:r>
    </w:p>
    <w:p w14:paraId="532208F6" w14:textId="77777777" w:rsidR="003E148C" w:rsidRDefault="003E148C" w:rsidP="003E148C">
      <w:pPr>
        <w:keepNext/>
        <w:keepLines/>
        <w:autoSpaceDE w:val="0"/>
        <w:autoSpaceDN w:val="0"/>
        <w:adjustRightInd w:val="0"/>
        <w:outlineLvl w:val="1"/>
        <w:rPr>
          <w:b/>
          <w:sz w:val="22"/>
          <w:szCs w:val="22"/>
        </w:rPr>
      </w:pPr>
    </w:p>
    <w:tbl>
      <w:tblPr>
        <w:tblW w:w="0" w:type="auto"/>
        <w:jc w:val="center"/>
        <w:tblCellMar>
          <w:left w:w="144" w:type="dxa"/>
          <w:right w:w="144" w:type="dxa"/>
        </w:tblCellMar>
        <w:tblLook w:val="0000" w:firstRow="0" w:lastRow="0" w:firstColumn="0" w:lastColumn="0" w:noHBand="0" w:noVBand="0"/>
      </w:tblPr>
      <w:tblGrid>
        <w:gridCol w:w="2790"/>
        <w:gridCol w:w="1188"/>
        <w:gridCol w:w="1188"/>
        <w:gridCol w:w="1188"/>
        <w:gridCol w:w="1626"/>
      </w:tblGrid>
      <w:tr w:rsidR="003E148C" w:rsidRPr="00240EA2" w14:paraId="599167F2" w14:textId="77777777" w:rsidTr="0026218B">
        <w:trPr>
          <w:jc w:val="center"/>
        </w:trPr>
        <w:tc>
          <w:tcPr>
            <w:tcW w:w="2790" w:type="dxa"/>
            <w:tcBorders>
              <w:top w:val="single" w:sz="6" w:space="0" w:color="auto"/>
              <w:left w:val="nil"/>
              <w:bottom w:val="nil"/>
              <w:right w:val="nil"/>
            </w:tcBorders>
          </w:tcPr>
          <w:p w14:paraId="5BBEA01B" w14:textId="77777777" w:rsidR="003E148C" w:rsidRPr="00240EA2" w:rsidRDefault="003E148C" w:rsidP="0026218B">
            <w:pPr>
              <w:widowControl w:val="0"/>
              <w:autoSpaceDE w:val="0"/>
              <w:autoSpaceDN w:val="0"/>
              <w:adjustRightInd w:val="0"/>
              <w:spacing w:before="79" w:after="79"/>
              <w:rPr>
                <w:sz w:val="20"/>
                <w:szCs w:val="20"/>
              </w:rPr>
            </w:pPr>
          </w:p>
        </w:tc>
        <w:tc>
          <w:tcPr>
            <w:tcW w:w="1188" w:type="dxa"/>
            <w:tcBorders>
              <w:top w:val="single" w:sz="6" w:space="0" w:color="auto"/>
              <w:left w:val="nil"/>
              <w:bottom w:val="nil"/>
              <w:right w:val="nil"/>
            </w:tcBorders>
          </w:tcPr>
          <w:p w14:paraId="3B110460"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1</w:t>
            </w:r>
          </w:p>
        </w:tc>
        <w:tc>
          <w:tcPr>
            <w:tcW w:w="1188" w:type="dxa"/>
            <w:tcBorders>
              <w:top w:val="single" w:sz="6" w:space="0" w:color="auto"/>
              <w:left w:val="nil"/>
              <w:bottom w:val="nil"/>
              <w:right w:val="nil"/>
            </w:tcBorders>
          </w:tcPr>
          <w:p w14:paraId="16E1A52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2</w:t>
            </w:r>
          </w:p>
        </w:tc>
        <w:tc>
          <w:tcPr>
            <w:tcW w:w="1188" w:type="dxa"/>
            <w:tcBorders>
              <w:top w:val="single" w:sz="6" w:space="0" w:color="auto"/>
              <w:left w:val="nil"/>
              <w:bottom w:val="nil"/>
              <w:right w:val="nil"/>
            </w:tcBorders>
          </w:tcPr>
          <w:p w14:paraId="698A8211"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3</w:t>
            </w:r>
          </w:p>
        </w:tc>
        <w:tc>
          <w:tcPr>
            <w:tcW w:w="1626" w:type="dxa"/>
            <w:tcBorders>
              <w:top w:val="single" w:sz="6" w:space="0" w:color="auto"/>
              <w:left w:val="nil"/>
              <w:bottom w:val="nil"/>
              <w:right w:val="nil"/>
            </w:tcBorders>
          </w:tcPr>
          <w:p w14:paraId="01ACB466"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4</w:t>
            </w:r>
          </w:p>
        </w:tc>
      </w:tr>
      <w:tr w:rsidR="003E148C" w:rsidRPr="00240EA2" w14:paraId="1C048B1A" w14:textId="77777777" w:rsidTr="0026218B">
        <w:trPr>
          <w:jc w:val="center"/>
        </w:trPr>
        <w:tc>
          <w:tcPr>
            <w:tcW w:w="2790" w:type="dxa"/>
            <w:tcBorders>
              <w:top w:val="single" w:sz="6" w:space="0" w:color="auto"/>
              <w:left w:val="nil"/>
              <w:bottom w:val="nil"/>
              <w:right w:val="nil"/>
            </w:tcBorders>
          </w:tcPr>
          <w:p w14:paraId="3A4DA647" w14:textId="77777777" w:rsidR="003E148C" w:rsidRPr="00240EA2" w:rsidRDefault="003E148C" w:rsidP="0026218B">
            <w:pPr>
              <w:widowControl w:val="0"/>
              <w:autoSpaceDE w:val="0"/>
              <w:autoSpaceDN w:val="0"/>
              <w:adjustRightInd w:val="0"/>
              <w:rPr>
                <w:sz w:val="20"/>
                <w:szCs w:val="20"/>
              </w:rPr>
            </w:pPr>
            <w:r w:rsidRPr="00240EA2">
              <w:rPr>
                <w:sz w:val="20"/>
                <w:szCs w:val="20"/>
              </w:rPr>
              <w:t>Entry deregulation</w:t>
            </w:r>
          </w:p>
        </w:tc>
        <w:tc>
          <w:tcPr>
            <w:tcW w:w="1152" w:type="dxa"/>
            <w:tcBorders>
              <w:top w:val="single" w:sz="6" w:space="0" w:color="auto"/>
              <w:left w:val="nil"/>
              <w:bottom w:val="nil"/>
              <w:right w:val="nil"/>
            </w:tcBorders>
          </w:tcPr>
          <w:p w14:paraId="4FF0C9D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0.0030</w:t>
            </w:r>
          </w:p>
        </w:tc>
        <w:tc>
          <w:tcPr>
            <w:tcW w:w="1152" w:type="dxa"/>
            <w:tcBorders>
              <w:top w:val="single" w:sz="6" w:space="0" w:color="auto"/>
              <w:left w:val="nil"/>
              <w:bottom w:val="nil"/>
              <w:right w:val="nil"/>
            </w:tcBorders>
          </w:tcPr>
          <w:p w14:paraId="637BDAA0" w14:textId="77777777" w:rsidR="003E148C" w:rsidRPr="00240EA2" w:rsidRDefault="003E148C" w:rsidP="0026218B">
            <w:pPr>
              <w:widowControl w:val="0"/>
              <w:autoSpaceDE w:val="0"/>
              <w:autoSpaceDN w:val="0"/>
              <w:adjustRightInd w:val="0"/>
              <w:jc w:val="center"/>
              <w:rPr>
                <w:sz w:val="20"/>
                <w:szCs w:val="20"/>
                <w:lang w:val="fr-FR" w:eastAsia="fr-FR"/>
              </w:rPr>
            </w:pPr>
            <w:r>
              <w:rPr>
                <w:sz w:val="20"/>
                <w:szCs w:val="20"/>
                <w:lang w:val="fr-FR" w:eastAsia="fr-FR"/>
              </w:rPr>
              <w:t>0.0063</w:t>
            </w:r>
          </w:p>
        </w:tc>
        <w:tc>
          <w:tcPr>
            <w:tcW w:w="1152" w:type="dxa"/>
            <w:tcBorders>
              <w:top w:val="single" w:sz="6" w:space="0" w:color="auto"/>
              <w:left w:val="nil"/>
              <w:bottom w:val="nil"/>
              <w:right w:val="nil"/>
            </w:tcBorders>
          </w:tcPr>
          <w:p w14:paraId="217F1BB2" w14:textId="77777777" w:rsidR="003E148C" w:rsidRPr="00240EA2" w:rsidRDefault="003E148C" w:rsidP="0026218B">
            <w:pPr>
              <w:widowControl w:val="0"/>
              <w:autoSpaceDE w:val="0"/>
              <w:autoSpaceDN w:val="0"/>
              <w:adjustRightInd w:val="0"/>
              <w:jc w:val="center"/>
              <w:rPr>
                <w:sz w:val="20"/>
                <w:szCs w:val="20"/>
                <w:lang w:val="fr-FR" w:eastAsia="fr-FR"/>
              </w:rPr>
            </w:pPr>
            <w:r>
              <w:rPr>
                <w:sz w:val="20"/>
                <w:szCs w:val="20"/>
                <w:lang w:val="fr-FR" w:eastAsia="fr-FR"/>
              </w:rPr>
              <w:t>0.0061</w:t>
            </w:r>
          </w:p>
        </w:tc>
        <w:tc>
          <w:tcPr>
            <w:tcW w:w="1152" w:type="dxa"/>
            <w:tcBorders>
              <w:top w:val="single" w:sz="6" w:space="0" w:color="auto"/>
              <w:left w:val="nil"/>
              <w:bottom w:val="nil"/>
              <w:right w:val="nil"/>
            </w:tcBorders>
          </w:tcPr>
          <w:p w14:paraId="245640E6" w14:textId="77777777" w:rsidR="003E148C" w:rsidRPr="00240EA2" w:rsidRDefault="003E148C" w:rsidP="0026218B">
            <w:pPr>
              <w:widowControl w:val="0"/>
              <w:autoSpaceDE w:val="0"/>
              <w:autoSpaceDN w:val="0"/>
              <w:adjustRightInd w:val="0"/>
              <w:jc w:val="center"/>
              <w:rPr>
                <w:sz w:val="20"/>
                <w:szCs w:val="20"/>
                <w:lang w:val="fr-FR" w:eastAsia="fr-FR"/>
              </w:rPr>
            </w:pPr>
            <w:r>
              <w:rPr>
                <w:sz w:val="20"/>
                <w:szCs w:val="20"/>
                <w:lang w:val="fr-FR" w:eastAsia="fr-FR"/>
              </w:rPr>
              <w:t>0.0063</w:t>
            </w:r>
          </w:p>
        </w:tc>
      </w:tr>
      <w:tr w:rsidR="003E148C" w:rsidRPr="00240EA2" w14:paraId="32A6D81A" w14:textId="77777777" w:rsidTr="0026218B">
        <w:trPr>
          <w:jc w:val="center"/>
        </w:trPr>
        <w:tc>
          <w:tcPr>
            <w:tcW w:w="2790" w:type="dxa"/>
            <w:tcBorders>
              <w:top w:val="nil"/>
              <w:left w:val="nil"/>
              <w:bottom w:val="nil"/>
              <w:right w:val="nil"/>
            </w:tcBorders>
          </w:tcPr>
          <w:p w14:paraId="75592C39"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7902875B"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(0.0021)</w:t>
            </w:r>
          </w:p>
        </w:tc>
        <w:tc>
          <w:tcPr>
            <w:tcW w:w="1152" w:type="dxa"/>
            <w:tcBorders>
              <w:top w:val="nil"/>
              <w:left w:val="nil"/>
              <w:bottom w:val="nil"/>
              <w:right w:val="nil"/>
            </w:tcBorders>
          </w:tcPr>
          <w:p w14:paraId="710FA99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(0.0032)</w:t>
            </w:r>
          </w:p>
        </w:tc>
        <w:tc>
          <w:tcPr>
            <w:tcW w:w="1152" w:type="dxa"/>
            <w:tcBorders>
              <w:top w:val="nil"/>
              <w:left w:val="nil"/>
              <w:bottom w:val="nil"/>
              <w:right w:val="nil"/>
            </w:tcBorders>
          </w:tcPr>
          <w:p w14:paraId="00EADA1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(0.0025)</w:t>
            </w:r>
          </w:p>
        </w:tc>
        <w:tc>
          <w:tcPr>
            <w:tcW w:w="1152" w:type="dxa"/>
            <w:tcBorders>
              <w:top w:val="nil"/>
              <w:left w:val="nil"/>
              <w:bottom w:val="nil"/>
              <w:right w:val="nil"/>
            </w:tcBorders>
          </w:tcPr>
          <w:p w14:paraId="4CBE113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(0.0023)</w:t>
            </w:r>
          </w:p>
        </w:tc>
      </w:tr>
      <w:tr w:rsidR="003E148C" w:rsidRPr="00240EA2" w14:paraId="45AE3D52" w14:textId="77777777" w:rsidTr="0026218B">
        <w:trPr>
          <w:jc w:val="center"/>
        </w:trPr>
        <w:tc>
          <w:tcPr>
            <w:tcW w:w="2790" w:type="dxa"/>
            <w:tcBorders>
              <w:top w:val="nil"/>
              <w:left w:val="nil"/>
              <w:bottom w:val="nil"/>
              <w:right w:val="nil"/>
            </w:tcBorders>
          </w:tcPr>
          <w:p w14:paraId="45BD2514" w14:textId="77777777" w:rsidR="003E148C" w:rsidRPr="00240EA2" w:rsidRDefault="003E148C" w:rsidP="0026218B">
            <w:pPr>
              <w:widowControl w:val="0"/>
              <w:autoSpaceDE w:val="0"/>
              <w:autoSpaceDN w:val="0"/>
              <w:adjustRightInd w:val="0"/>
              <w:rPr>
                <w:sz w:val="20"/>
                <w:szCs w:val="20"/>
              </w:rPr>
            </w:pPr>
            <w:r w:rsidRPr="00240EA2">
              <w:rPr>
                <w:sz w:val="20"/>
                <w:szCs w:val="20"/>
              </w:rPr>
              <w:t>Female</w:t>
            </w:r>
          </w:p>
        </w:tc>
        <w:tc>
          <w:tcPr>
            <w:tcW w:w="1152" w:type="dxa"/>
            <w:tcBorders>
              <w:top w:val="nil"/>
              <w:left w:val="nil"/>
              <w:bottom w:val="nil"/>
              <w:right w:val="nil"/>
            </w:tcBorders>
          </w:tcPr>
          <w:p w14:paraId="04443C9F" w14:textId="77777777" w:rsidR="003E148C" w:rsidRPr="00240EA2" w:rsidRDefault="003E148C" w:rsidP="0026218B">
            <w:pPr>
              <w:widowControl w:val="0"/>
              <w:autoSpaceDE w:val="0"/>
              <w:autoSpaceDN w:val="0"/>
              <w:adjustRightInd w:val="0"/>
              <w:jc w:val="center"/>
              <w:rPr>
                <w:sz w:val="20"/>
                <w:szCs w:val="20"/>
                <w:lang w:val="fr-FR" w:eastAsia="fr-FR"/>
              </w:rPr>
            </w:pPr>
            <w:r>
              <w:rPr>
                <w:sz w:val="20"/>
                <w:szCs w:val="20"/>
                <w:lang w:val="fr-FR" w:eastAsia="fr-FR"/>
              </w:rPr>
              <w:t>-0.0063</w:t>
            </w:r>
          </w:p>
        </w:tc>
        <w:tc>
          <w:tcPr>
            <w:tcW w:w="1152" w:type="dxa"/>
            <w:tcBorders>
              <w:top w:val="nil"/>
              <w:left w:val="nil"/>
              <w:bottom w:val="nil"/>
              <w:right w:val="nil"/>
            </w:tcBorders>
          </w:tcPr>
          <w:p w14:paraId="48D656C2"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61CB36C0"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4C0061A1" w14:textId="77777777" w:rsidR="003E148C" w:rsidRPr="00240EA2" w:rsidRDefault="003E148C" w:rsidP="0026218B">
            <w:pPr>
              <w:widowControl w:val="0"/>
              <w:autoSpaceDE w:val="0"/>
              <w:autoSpaceDN w:val="0"/>
              <w:adjustRightInd w:val="0"/>
              <w:jc w:val="center"/>
              <w:rPr>
                <w:sz w:val="20"/>
                <w:szCs w:val="20"/>
                <w:lang w:val="fr-FR" w:eastAsia="fr-FR"/>
              </w:rPr>
            </w:pPr>
          </w:p>
        </w:tc>
      </w:tr>
      <w:tr w:rsidR="003E148C" w:rsidRPr="00240EA2" w14:paraId="2BEABBCF" w14:textId="77777777" w:rsidTr="0026218B">
        <w:trPr>
          <w:jc w:val="center"/>
        </w:trPr>
        <w:tc>
          <w:tcPr>
            <w:tcW w:w="2790" w:type="dxa"/>
            <w:tcBorders>
              <w:top w:val="nil"/>
              <w:left w:val="nil"/>
              <w:bottom w:val="nil"/>
              <w:right w:val="nil"/>
            </w:tcBorders>
          </w:tcPr>
          <w:p w14:paraId="487358D7"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0C24191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(0.0017)</w:t>
            </w:r>
          </w:p>
        </w:tc>
        <w:tc>
          <w:tcPr>
            <w:tcW w:w="1152" w:type="dxa"/>
            <w:tcBorders>
              <w:top w:val="nil"/>
              <w:left w:val="nil"/>
              <w:bottom w:val="nil"/>
              <w:right w:val="nil"/>
            </w:tcBorders>
          </w:tcPr>
          <w:p w14:paraId="5FE30076"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229593CC"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5F53C649" w14:textId="77777777" w:rsidR="003E148C" w:rsidRPr="00240EA2" w:rsidRDefault="003E148C" w:rsidP="0026218B">
            <w:pPr>
              <w:widowControl w:val="0"/>
              <w:autoSpaceDE w:val="0"/>
              <w:autoSpaceDN w:val="0"/>
              <w:adjustRightInd w:val="0"/>
              <w:jc w:val="center"/>
              <w:rPr>
                <w:sz w:val="20"/>
                <w:szCs w:val="20"/>
                <w:lang w:val="fr-FR" w:eastAsia="fr-FR"/>
              </w:rPr>
            </w:pPr>
          </w:p>
        </w:tc>
      </w:tr>
      <w:tr w:rsidR="003E148C" w:rsidRPr="00240EA2" w14:paraId="61133047" w14:textId="77777777" w:rsidTr="0026218B">
        <w:trPr>
          <w:jc w:val="center"/>
        </w:trPr>
        <w:tc>
          <w:tcPr>
            <w:tcW w:w="2790" w:type="dxa"/>
            <w:tcBorders>
              <w:top w:val="nil"/>
              <w:left w:val="nil"/>
              <w:bottom w:val="nil"/>
              <w:right w:val="nil"/>
            </w:tcBorders>
          </w:tcPr>
          <w:p w14:paraId="6733AD25" w14:textId="77777777" w:rsidR="003E148C" w:rsidRPr="00240EA2" w:rsidRDefault="003E148C" w:rsidP="0026218B">
            <w:pPr>
              <w:widowControl w:val="0"/>
              <w:autoSpaceDE w:val="0"/>
              <w:autoSpaceDN w:val="0"/>
              <w:adjustRightInd w:val="0"/>
              <w:rPr>
                <w:sz w:val="20"/>
                <w:szCs w:val="20"/>
              </w:rPr>
            </w:pPr>
            <w:r w:rsidRPr="00240EA2">
              <w:rPr>
                <w:sz w:val="20"/>
                <w:szCs w:val="20"/>
              </w:rPr>
              <w:t>Entry deregulation*Female</w:t>
            </w:r>
          </w:p>
        </w:tc>
        <w:tc>
          <w:tcPr>
            <w:tcW w:w="1152" w:type="dxa"/>
            <w:tcBorders>
              <w:top w:val="nil"/>
              <w:left w:val="nil"/>
              <w:bottom w:val="nil"/>
              <w:right w:val="nil"/>
            </w:tcBorders>
          </w:tcPr>
          <w:p w14:paraId="4486401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0.0018</w:t>
            </w:r>
          </w:p>
        </w:tc>
        <w:tc>
          <w:tcPr>
            <w:tcW w:w="1152" w:type="dxa"/>
            <w:tcBorders>
              <w:top w:val="nil"/>
              <w:left w:val="nil"/>
              <w:bottom w:val="nil"/>
              <w:right w:val="nil"/>
            </w:tcBorders>
          </w:tcPr>
          <w:p w14:paraId="6D551EB9"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-0.0090</w:t>
            </w:r>
          </w:p>
        </w:tc>
        <w:tc>
          <w:tcPr>
            <w:tcW w:w="1152" w:type="dxa"/>
            <w:tcBorders>
              <w:top w:val="nil"/>
              <w:left w:val="nil"/>
              <w:bottom w:val="nil"/>
              <w:right w:val="nil"/>
            </w:tcBorders>
          </w:tcPr>
          <w:p w14:paraId="758888C7"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-0.0087</w:t>
            </w:r>
          </w:p>
        </w:tc>
        <w:tc>
          <w:tcPr>
            <w:tcW w:w="1152" w:type="dxa"/>
            <w:tcBorders>
              <w:top w:val="nil"/>
              <w:left w:val="nil"/>
              <w:bottom w:val="nil"/>
              <w:right w:val="nil"/>
            </w:tcBorders>
          </w:tcPr>
          <w:p w14:paraId="11F437F3"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-0.0071</w:t>
            </w:r>
          </w:p>
        </w:tc>
      </w:tr>
      <w:tr w:rsidR="003E148C" w:rsidRPr="00240EA2" w14:paraId="4A85F398" w14:textId="77777777" w:rsidTr="0026218B">
        <w:trPr>
          <w:jc w:val="center"/>
        </w:trPr>
        <w:tc>
          <w:tcPr>
            <w:tcW w:w="2790" w:type="dxa"/>
            <w:tcBorders>
              <w:top w:val="nil"/>
              <w:left w:val="nil"/>
              <w:bottom w:val="nil"/>
              <w:right w:val="nil"/>
            </w:tcBorders>
          </w:tcPr>
          <w:p w14:paraId="38300D2D"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6765B1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(0.0018)</w:t>
            </w:r>
          </w:p>
        </w:tc>
        <w:tc>
          <w:tcPr>
            <w:tcW w:w="1152" w:type="dxa"/>
            <w:tcBorders>
              <w:top w:val="nil"/>
              <w:left w:val="nil"/>
              <w:bottom w:val="nil"/>
              <w:right w:val="nil"/>
            </w:tcBorders>
          </w:tcPr>
          <w:p w14:paraId="2590DF0A"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(0.0027)</w:t>
            </w:r>
          </w:p>
        </w:tc>
        <w:tc>
          <w:tcPr>
            <w:tcW w:w="1152" w:type="dxa"/>
            <w:tcBorders>
              <w:top w:val="nil"/>
              <w:left w:val="nil"/>
              <w:bottom w:val="nil"/>
              <w:right w:val="nil"/>
            </w:tcBorders>
          </w:tcPr>
          <w:p w14:paraId="41C95521"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(0.0021)</w:t>
            </w:r>
          </w:p>
        </w:tc>
        <w:tc>
          <w:tcPr>
            <w:tcW w:w="1152" w:type="dxa"/>
            <w:tcBorders>
              <w:top w:val="nil"/>
              <w:left w:val="nil"/>
              <w:bottom w:val="nil"/>
              <w:right w:val="nil"/>
            </w:tcBorders>
          </w:tcPr>
          <w:p w14:paraId="63D3AC4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(0.0021)</w:t>
            </w:r>
          </w:p>
        </w:tc>
      </w:tr>
      <w:tr w:rsidR="003E148C" w:rsidRPr="00240EA2" w14:paraId="2D3517D6" w14:textId="77777777" w:rsidTr="0026218B">
        <w:trPr>
          <w:jc w:val="center"/>
        </w:trPr>
        <w:tc>
          <w:tcPr>
            <w:tcW w:w="2790" w:type="dxa"/>
            <w:tcBorders>
              <w:top w:val="nil"/>
              <w:left w:val="nil"/>
              <w:bottom w:val="nil"/>
              <w:right w:val="nil"/>
            </w:tcBorders>
          </w:tcPr>
          <w:p w14:paraId="0FDEDE18" w14:textId="77777777" w:rsidR="003E148C" w:rsidRPr="00240EA2" w:rsidRDefault="003E148C" w:rsidP="0026218B">
            <w:pPr>
              <w:widowControl w:val="0"/>
              <w:autoSpaceDE w:val="0"/>
              <w:autoSpaceDN w:val="0"/>
              <w:adjustRightInd w:val="0"/>
              <w:rPr>
                <w:sz w:val="20"/>
                <w:szCs w:val="20"/>
              </w:rPr>
            </w:pPr>
            <w:r w:rsidRPr="00240EA2">
              <w:rPr>
                <w:sz w:val="20"/>
                <w:szCs w:val="20"/>
              </w:rPr>
              <w:t>Age</w:t>
            </w:r>
          </w:p>
        </w:tc>
        <w:tc>
          <w:tcPr>
            <w:tcW w:w="1152" w:type="dxa"/>
            <w:tcBorders>
              <w:top w:val="nil"/>
              <w:left w:val="nil"/>
              <w:bottom w:val="nil"/>
              <w:right w:val="nil"/>
            </w:tcBorders>
          </w:tcPr>
          <w:p w14:paraId="73FB0A5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-0.0353</w:t>
            </w:r>
          </w:p>
        </w:tc>
        <w:tc>
          <w:tcPr>
            <w:tcW w:w="1152" w:type="dxa"/>
            <w:tcBorders>
              <w:top w:val="nil"/>
              <w:left w:val="nil"/>
              <w:bottom w:val="nil"/>
              <w:right w:val="nil"/>
            </w:tcBorders>
          </w:tcPr>
          <w:p w14:paraId="00C7D03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-0.0676</w:t>
            </w:r>
          </w:p>
        </w:tc>
        <w:tc>
          <w:tcPr>
            <w:tcW w:w="1152" w:type="dxa"/>
            <w:tcBorders>
              <w:top w:val="nil"/>
              <w:left w:val="nil"/>
              <w:bottom w:val="nil"/>
              <w:right w:val="nil"/>
            </w:tcBorders>
          </w:tcPr>
          <w:p w14:paraId="0C8AD0E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-0.0641</w:t>
            </w:r>
          </w:p>
        </w:tc>
        <w:tc>
          <w:tcPr>
            <w:tcW w:w="1152" w:type="dxa"/>
            <w:tcBorders>
              <w:top w:val="nil"/>
              <w:left w:val="nil"/>
              <w:bottom w:val="nil"/>
              <w:right w:val="nil"/>
            </w:tcBorders>
          </w:tcPr>
          <w:p w14:paraId="447DE7D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-0.0579</w:t>
            </w:r>
          </w:p>
        </w:tc>
      </w:tr>
      <w:tr w:rsidR="003E148C" w:rsidRPr="00240EA2" w14:paraId="4A6D3844" w14:textId="77777777" w:rsidTr="0026218B">
        <w:trPr>
          <w:jc w:val="center"/>
        </w:trPr>
        <w:tc>
          <w:tcPr>
            <w:tcW w:w="2790" w:type="dxa"/>
            <w:tcBorders>
              <w:top w:val="nil"/>
              <w:left w:val="nil"/>
              <w:bottom w:val="nil"/>
              <w:right w:val="nil"/>
            </w:tcBorders>
          </w:tcPr>
          <w:p w14:paraId="68E0495A"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7F6AEF03"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(0.0004)</w:t>
            </w:r>
          </w:p>
        </w:tc>
        <w:tc>
          <w:tcPr>
            <w:tcW w:w="1152" w:type="dxa"/>
            <w:tcBorders>
              <w:top w:val="nil"/>
              <w:left w:val="nil"/>
              <w:bottom w:val="nil"/>
              <w:right w:val="nil"/>
            </w:tcBorders>
          </w:tcPr>
          <w:p w14:paraId="446046D1"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(0.0012)</w:t>
            </w:r>
          </w:p>
        </w:tc>
        <w:tc>
          <w:tcPr>
            <w:tcW w:w="1152" w:type="dxa"/>
            <w:tcBorders>
              <w:top w:val="nil"/>
              <w:left w:val="nil"/>
              <w:bottom w:val="nil"/>
              <w:right w:val="nil"/>
            </w:tcBorders>
          </w:tcPr>
          <w:p w14:paraId="3C899C2A"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(0.0009)</w:t>
            </w:r>
          </w:p>
        </w:tc>
        <w:tc>
          <w:tcPr>
            <w:tcW w:w="1152" w:type="dxa"/>
            <w:tcBorders>
              <w:top w:val="nil"/>
              <w:left w:val="nil"/>
              <w:bottom w:val="nil"/>
              <w:right w:val="nil"/>
            </w:tcBorders>
          </w:tcPr>
          <w:p w14:paraId="0638C1B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(0.0008)</w:t>
            </w:r>
          </w:p>
        </w:tc>
      </w:tr>
      <w:tr w:rsidR="003E148C" w:rsidRPr="00240EA2" w14:paraId="57129238" w14:textId="77777777" w:rsidTr="0026218B">
        <w:trPr>
          <w:jc w:val="center"/>
        </w:trPr>
        <w:tc>
          <w:tcPr>
            <w:tcW w:w="2790" w:type="dxa"/>
            <w:tcBorders>
              <w:top w:val="nil"/>
              <w:left w:val="nil"/>
              <w:bottom w:val="nil"/>
              <w:right w:val="nil"/>
            </w:tcBorders>
          </w:tcPr>
          <w:p w14:paraId="5B1462EA" w14:textId="77777777" w:rsidR="003E148C" w:rsidRPr="00240EA2" w:rsidRDefault="003E148C" w:rsidP="0026218B">
            <w:pPr>
              <w:widowControl w:val="0"/>
              <w:autoSpaceDE w:val="0"/>
              <w:autoSpaceDN w:val="0"/>
              <w:adjustRightInd w:val="0"/>
              <w:rPr>
                <w:sz w:val="20"/>
                <w:szCs w:val="20"/>
              </w:rPr>
            </w:pPr>
            <w:r w:rsidRPr="00240EA2">
              <w:rPr>
                <w:sz w:val="20"/>
                <w:szCs w:val="20"/>
              </w:rPr>
              <w:t>Age squared</w:t>
            </w:r>
          </w:p>
        </w:tc>
        <w:tc>
          <w:tcPr>
            <w:tcW w:w="1152" w:type="dxa"/>
            <w:tcBorders>
              <w:top w:val="nil"/>
              <w:left w:val="nil"/>
              <w:bottom w:val="nil"/>
              <w:right w:val="nil"/>
            </w:tcBorders>
          </w:tcPr>
          <w:p w14:paraId="38239F86"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0.0004</w:t>
            </w:r>
          </w:p>
        </w:tc>
        <w:tc>
          <w:tcPr>
            <w:tcW w:w="1152" w:type="dxa"/>
            <w:tcBorders>
              <w:top w:val="nil"/>
              <w:left w:val="nil"/>
              <w:bottom w:val="nil"/>
              <w:right w:val="nil"/>
            </w:tcBorders>
          </w:tcPr>
          <w:p w14:paraId="49AB9C77"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0.0008</w:t>
            </w:r>
          </w:p>
        </w:tc>
        <w:tc>
          <w:tcPr>
            <w:tcW w:w="1152" w:type="dxa"/>
            <w:tcBorders>
              <w:top w:val="nil"/>
              <w:left w:val="nil"/>
              <w:bottom w:val="nil"/>
              <w:right w:val="nil"/>
            </w:tcBorders>
          </w:tcPr>
          <w:p w14:paraId="579E515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0.0008</w:t>
            </w:r>
          </w:p>
        </w:tc>
        <w:tc>
          <w:tcPr>
            <w:tcW w:w="1152" w:type="dxa"/>
            <w:tcBorders>
              <w:top w:val="nil"/>
              <w:left w:val="nil"/>
              <w:bottom w:val="nil"/>
              <w:right w:val="nil"/>
            </w:tcBorders>
          </w:tcPr>
          <w:p w14:paraId="6FA2E40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0.0007</w:t>
            </w:r>
          </w:p>
        </w:tc>
      </w:tr>
      <w:tr w:rsidR="003E148C" w:rsidRPr="00240EA2" w14:paraId="6C8D6C56" w14:textId="77777777" w:rsidTr="0026218B">
        <w:trPr>
          <w:jc w:val="center"/>
        </w:trPr>
        <w:tc>
          <w:tcPr>
            <w:tcW w:w="2790" w:type="dxa"/>
            <w:tcBorders>
              <w:top w:val="nil"/>
              <w:left w:val="nil"/>
              <w:bottom w:val="nil"/>
              <w:right w:val="nil"/>
            </w:tcBorders>
          </w:tcPr>
          <w:p w14:paraId="7E8058AA"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1CD6684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(0.0000)</w:t>
            </w:r>
          </w:p>
        </w:tc>
        <w:tc>
          <w:tcPr>
            <w:tcW w:w="1152" w:type="dxa"/>
            <w:tcBorders>
              <w:top w:val="nil"/>
              <w:left w:val="nil"/>
              <w:bottom w:val="nil"/>
              <w:right w:val="nil"/>
            </w:tcBorders>
          </w:tcPr>
          <w:p w14:paraId="686BECDF"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(0.0000)</w:t>
            </w:r>
          </w:p>
        </w:tc>
        <w:tc>
          <w:tcPr>
            <w:tcW w:w="1152" w:type="dxa"/>
            <w:tcBorders>
              <w:top w:val="nil"/>
              <w:left w:val="nil"/>
              <w:bottom w:val="nil"/>
              <w:right w:val="nil"/>
            </w:tcBorders>
          </w:tcPr>
          <w:p w14:paraId="0F6B08DF"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(0.0000)</w:t>
            </w:r>
          </w:p>
        </w:tc>
        <w:tc>
          <w:tcPr>
            <w:tcW w:w="1152" w:type="dxa"/>
            <w:tcBorders>
              <w:top w:val="nil"/>
              <w:left w:val="nil"/>
              <w:bottom w:val="nil"/>
              <w:right w:val="nil"/>
            </w:tcBorders>
          </w:tcPr>
          <w:p w14:paraId="18400F08"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(0.0000)</w:t>
            </w:r>
          </w:p>
        </w:tc>
      </w:tr>
      <w:tr w:rsidR="003E148C" w:rsidRPr="00240EA2" w14:paraId="5204ED7A" w14:textId="77777777" w:rsidTr="0026218B">
        <w:trPr>
          <w:jc w:val="center"/>
        </w:trPr>
        <w:tc>
          <w:tcPr>
            <w:tcW w:w="2790" w:type="dxa"/>
            <w:tcBorders>
              <w:top w:val="nil"/>
              <w:left w:val="nil"/>
              <w:bottom w:val="nil"/>
              <w:right w:val="nil"/>
            </w:tcBorders>
          </w:tcPr>
          <w:p w14:paraId="0882158F" w14:textId="77777777" w:rsidR="003E148C" w:rsidRPr="00240EA2" w:rsidRDefault="003E148C" w:rsidP="0026218B">
            <w:pPr>
              <w:widowControl w:val="0"/>
              <w:autoSpaceDE w:val="0"/>
              <w:autoSpaceDN w:val="0"/>
              <w:adjustRightInd w:val="0"/>
              <w:rPr>
                <w:sz w:val="20"/>
                <w:szCs w:val="20"/>
              </w:rPr>
            </w:pPr>
            <w:r w:rsidRPr="00240EA2">
              <w:rPr>
                <w:sz w:val="20"/>
                <w:szCs w:val="20"/>
              </w:rPr>
              <w:t>Mid education</w:t>
            </w:r>
          </w:p>
        </w:tc>
        <w:tc>
          <w:tcPr>
            <w:tcW w:w="1152" w:type="dxa"/>
            <w:tcBorders>
              <w:top w:val="nil"/>
              <w:left w:val="nil"/>
              <w:bottom w:val="nil"/>
              <w:right w:val="nil"/>
            </w:tcBorders>
          </w:tcPr>
          <w:p w14:paraId="0181BB3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0.0069</w:t>
            </w:r>
          </w:p>
        </w:tc>
        <w:tc>
          <w:tcPr>
            <w:tcW w:w="1152" w:type="dxa"/>
            <w:tcBorders>
              <w:top w:val="nil"/>
              <w:left w:val="nil"/>
              <w:bottom w:val="nil"/>
              <w:right w:val="nil"/>
            </w:tcBorders>
          </w:tcPr>
          <w:p w14:paraId="68F8ADAF"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0.0008</w:t>
            </w:r>
          </w:p>
        </w:tc>
        <w:tc>
          <w:tcPr>
            <w:tcW w:w="1152" w:type="dxa"/>
            <w:tcBorders>
              <w:top w:val="nil"/>
              <w:left w:val="nil"/>
              <w:bottom w:val="nil"/>
              <w:right w:val="nil"/>
            </w:tcBorders>
          </w:tcPr>
          <w:p w14:paraId="272BF7F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0.0014</w:t>
            </w:r>
          </w:p>
        </w:tc>
        <w:tc>
          <w:tcPr>
            <w:tcW w:w="1152" w:type="dxa"/>
            <w:tcBorders>
              <w:top w:val="nil"/>
              <w:left w:val="nil"/>
              <w:bottom w:val="nil"/>
              <w:right w:val="nil"/>
            </w:tcBorders>
          </w:tcPr>
          <w:p w14:paraId="5CD427BA"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0.0049</w:t>
            </w:r>
          </w:p>
        </w:tc>
      </w:tr>
      <w:tr w:rsidR="003E148C" w:rsidRPr="00240EA2" w14:paraId="1984F178" w14:textId="77777777" w:rsidTr="0026218B">
        <w:trPr>
          <w:jc w:val="center"/>
        </w:trPr>
        <w:tc>
          <w:tcPr>
            <w:tcW w:w="2790" w:type="dxa"/>
            <w:tcBorders>
              <w:top w:val="nil"/>
              <w:left w:val="nil"/>
              <w:bottom w:val="nil"/>
              <w:right w:val="nil"/>
            </w:tcBorders>
          </w:tcPr>
          <w:p w14:paraId="2217322C"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6EEC751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(0.0019)</w:t>
            </w:r>
          </w:p>
        </w:tc>
        <w:tc>
          <w:tcPr>
            <w:tcW w:w="1152" w:type="dxa"/>
            <w:tcBorders>
              <w:top w:val="nil"/>
              <w:left w:val="nil"/>
              <w:bottom w:val="nil"/>
              <w:right w:val="nil"/>
            </w:tcBorders>
          </w:tcPr>
          <w:p w14:paraId="0054A231"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(0.0012)</w:t>
            </w:r>
          </w:p>
        </w:tc>
        <w:tc>
          <w:tcPr>
            <w:tcW w:w="1152" w:type="dxa"/>
            <w:tcBorders>
              <w:top w:val="nil"/>
              <w:left w:val="nil"/>
              <w:bottom w:val="nil"/>
              <w:right w:val="nil"/>
            </w:tcBorders>
          </w:tcPr>
          <w:p w14:paraId="49DED32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(0.0010)</w:t>
            </w:r>
          </w:p>
        </w:tc>
        <w:tc>
          <w:tcPr>
            <w:tcW w:w="1152" w:type="dxa"/>
            <w:tcBorders>
              <w:top w:val="nil"/>
              <w:left w:val="nil"/>
              <w:bottom w:val="nil"/>
              <w:right w:val="nil"/>
            </w:tcBorders>
          </w:tcPr>
          <w:p w14:paraId="045705C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(0.0011)</w:t>
            </w:r>
          </w:p>
        </w:tc>
      </w:tr>
      <w:tr w:rsidR="003E148C" w:rsidRPr="00240EA2" w14:paraId="0E8D38F5" w14:textId="77777777" w:rsidTr="0026218B">
        <w:trPr>
          <w:jc w:val="center"/>
        </w:trPr>
        <w:tc>
          <w:tcPr>
            <w:tcW w:w="2790" w:type="dxa"/>
            <w:tcBorders>
              <w:top w:val="nil"/>
              <w:left w:val="nil"/>
              <w:bottom w:val="nil"/>
              <w:right w:val="nil"/>
            </w:tcBorders>
          </w:tcPr>
          <w:p w14:paraId="1C304417" w14:textId="77777777" w:rsidR="003E148C" w:rsidRPr="00240EA2" w:rsidRDefault="003E148C" w:rsidP="0026218B">
            <w:pPr>
              <w:widowControl w:val="0"/>
              <w:autoSpaceDE w:val="0"/>
              <w:autoSpaceDN w:val="0"/>
              <w:adjustRightInd w:val="0"/>
              <w:rPr>
                <w:sz w:val="20"/>
                <w:szCs w:val="20"/>
              </w:rPr>
            </w:pPr>
            <w:r w:rsidRPr="00240EA2">
              <w:rPr>
                <w:sz w:val="20"/>
                <w:szCs w:val="20"/>
              </w:rPr>
              <w:t>High education</w:t>
            </w:r>
          </w:p>
        </w:tc>
        <w:tc>
          <w:tcPr>
            <w:tcW w:w="1152" w:type="dxa"/>
            <w:tcBorders>
              <w:top w:val="nil"/>
              <w:left w:val="nil"/>
              <w:bottom w:val="nil"/>
              <w:right w:val="nil"/>
            </w:tcBorders>
          </w:tcPr>
          <w:p w14:paraId="02B0E261"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0.0787</w:t>
            </w:r>
          </w:p>
        </w:tc>
        <w:tc>
          <w:tcPr>
            <w:tcW w:w="1152" w:type="dxa"/>
            <w:tcBorders>
              <w:top w:val="nil"/>
              <w:left w:val="nil"/>
              <w:bottom w:val="nil"/>
              <w:right w:val="nil"/>
            </w:tcBorders>
          </w:tcPr>
          <w:p w14:paraId="56E9434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-0.0334</w:t>
            </w:r>
          </w:p>
        </w:tc>
        <w:tc>
          <w:tcPr>
            <w:tcW w:w="1152" w:type="dxa"/>
            <w:tcBorders>
              <w:top w:val="nil"/>
              <w:left w:val="nil"/>
              <w:bottom w:val="nil"/>
              <w:right w:val="nil"/>
            </w:tcBorders>
          </w:tcPr>
          <w:p w14:paraId="4DC7FDA6"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-0.0250</w:t>
            </w:r>
          </w:p>
        </w:tc>
        <w:tc>
          <w:tcPr>
            <w:tcW w:w="1152" w:type="dxa"/>
            <w:tcBorders>
              <w:top w:val="nil"/>
              <w:left w:val="nil"/>
              <w:bottom w:val="nil"/>
              <w:right w:val="nil"/>
            </w:tcBorders>
          </w:tcPr>
          <w:p w14:paraId="0C5AB2E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-0.0159*</w:t>
            </w:r>
          </w:p>
        </w:tc>
      </w:tr>
      <w:tr w:rsidR="003E148C" w:rsidRPr="00240EA2" w14:paraId="6813D44A" w14:textId="77777777" w:rsidTr="0026218B">
        <w:trPr>
          <w:jc w:val="center"/>
        </w:trPr>
        <w:tc>
          <w:tcPr>
            <w:tcW w:w="2790" w:type="dxa"/>
            <w:tcBorders>
              <w:top w:val="nil"/>
              <w:left w:val="nil"/>
              <w:bottom w:val="nil"/>
              <w:right w:val="nil"/>
            </w:tcBorders>
          </w:tcPr>
          <w:p w14:paraId="5ACED2F6"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4B801DE7"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(0.0065)</w:t>
            </w:r>
          </w:p>
        </w:tc>
        <w:tc>
          <w:tcPr>
            <w:tcW w:w="1152" w:type="dxa"/>
            <w:tcBorders>
              <w:top w:val="nil"/>
              <w:left w:val="nil"/>
              <w:bottom w:val="nil"/>
              <w:right w:val="nil"/>
            </w:tcBorders>
          </w:tcPr>
          <w:p w14:paraId="0D080E66"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(0.0036)</w:t>
            </w:r>
          </w:p>
        </w:tc>
        <w:tc>
          <w:tcPr>
            <w:tcW w:w="1152" w:type="dxa"/>
            <w:tcBorders>
              <w:top w:val="nil"/>
              <w:left w:val="nil"/>
              <w:bottom w:val="nil"/>
              <w:right w:val="nil"/>
            </w:tcBorders>
          </w:tcPr>
          <w:p w14:paraId="091D0C9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(0.0038)</w:t>
            </w:r>
          </w:p>
        </w:tc>
        <w:tc>
          <w:tcPr>
            <w:tcW w:w="1152" w:type="dxa"/>
            <w:tcBorders>
              <w:top w:val="nil"/>
              <w:left w:val="nil"/>
              <w:bottom w:val="nil"/>
              <w:right w:val="nil"/>
            </w:tcBorders>
          </w:tcPr>
          <w:p w14:paraId="3A79A74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(0.0069)</w:t>
            </w:r>
          </w:p>
        </w:tc>
      </w:tr>
      <w:tr w:rsidR="003E148C" w:rsidRPr="00240EA2" w14:paraId="159901AC" w14:textId="77777777" w:rsidTr="0026218B">
        <w:trPr>
          <w:jc w:val="center"/>
        </w:trPr>
        <w:tc>
          <w:tcPr>
            <w:tcW w:w="2790" w:type="dxa"/>
            <w:tcBorders>
              <w:top w:val="nil"/>
              <w:left w:val="nil"/>
              <w:bottom w:val="nil"/>
              <w:right w:val="nil"/>
            </w:tcBorders>
          </w:tcPr>
          <w:p w14:paraId="5BC4183D" w14:textId="77777777" w:rsidR="003E148C" w:rsidRPr="00240EA2" w:rsidRDefault="003E148C" w:rsidP="0026218B">
            <w:pPr>
              <w:widowControl w:val="0"/>
              <w:autoSpaceDE w:val="0"/>
              <w:autoSpaceDN w:val="0"/>
              <w:adjustRightInd w:val="0"/>
              <w:rPr>
                <w:sz w:val="20"/>
                <w:szCs w:val="20"/>
              </w:rPr>
            </w:pPr>
            <w:r w:rsidRPr="00240EA2">
              <w:rPr>
                <w:sz w:val="20"/>
                <w:szCs w:val="20"/>
              </w:rPr>
              <w:t>Hours worked</w:t>
            </w:r>
          </w:p>
        </w:tc>
        <w:tc>
          <w:tcPr>
            <w:tcW w:w="1152" w:type="dxa"/>
            <w:tcBorders>
              <w:top w:val="nil"/>
              <w:left w:val="nil"/>
              <w:bottom w:val="nil"/>
              <w:right w:val="nil"/>
            </w:tcBorders>
          </w:tcPr>
          <w:p w14:paraId="0CE2B19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-0.0074</w:t>
            </w:r>
          </w:p>
        </w:tc>
        <w:tc>
          <w:tcPr>
            <w:tcW w:w="1152" w:type="dxa"/>
            <w:tcBorders>
              <w:top w:val="nil"/>
              <w:left w:val="nil"/>
              <w:bottom w:val="nil"/>
              <w:right w:val="nil"/>
            </w:tcBorders>
          </w:tcPr>
          <w:p w14:paraId="6FC3574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0.0005+</w:t>
            </w:r>
          </w:p>
        </w:tc>
        <w:tc>
          <w:tcPr>
            <w:tcW w:w="1152" w:type="dxa"/>
            <w:tcBorders>
              <w:top w:val="nil"/>
              <w:left w:val="nil"/>
              <w:bottom w:val="nil"/>
              <w:right w:val="nil"/>
            </w:tcBorders>
          </w:tcPr>
          <w:p w14:paraId="33F90B53"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0.0013</w:t>
            </w:r>
          </w:p>
        </w:tc>
        <w:tc>
          <w:tcPr>
            <w:tcW w:w="1152" w:type="dxa"/>
            <w:tcBorders>
              <w:top w:val="nil"/>
              <w:left w:val="nil"/>
              <w:bottom w:val="nil"/>
              <w:right w:val="nil"/>
            </w:tcBorders>
          </w:tcPr>
          <w:p w14:paraId="74344DC9"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0.0027</w:t>
            </w:r>
          </w:p>
        </w:tc>
      </w:tr>
      <w:tr w:rsidR="003E148C" w:rsidRPr="00240EA2" w14:paraId="06784D23" w14:textId="77777777" w:rsidTr="0026218B">
        <w:trPr>
          <w:jc w:val="center"/>
        </w:trPr>
        <w:tc>
          <w:tcPr>
            <w:tcW w:w="2790" w:type="dxa"/>
            <w:tcBorders>
              <w:top w:val="nil"/>
              <w:left w:val="nil"/>
              <w:bottom w:val="nil"/>
              <w:right w:val="nil"/>
            </w:tcBorders>
          </w:tcPr>
          <w:p w14:paraId="29E1DB75"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58ACE547"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(0.0005)</w:t>
            </w:r>
          </w:p>
        </w:tc>
        <w:tc>
          <w:tcPr>
            <w:tcW w:w="1152" w:type="dxa"/>
            <w:tcBorders>
              <w:top w:val="nil"/>
              <w:left w:val="nil"/>
              <w:bottom w:val="nil"/>
              <w:right w:val="nil"/>
            </w:tcBorders>
          </w:tcPr>
          <w:p w14:paraId="7BE4C37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(0.0003)</w:t>
            </w:r>
          </w:p>
        </w:tc>
        <w:tc>
          <w:tcPr>
            <w:tcW w:w="1152" w:type="dxa"/>
            <w:tcBorders>
              <w:top w:val="nil"/>
              <w:left w:val="nil"/>
              <w:bottom w:val="nil"/>
              <w:right w:val="nil"/>
            </w:tcBorders>
          </w:tcPr>
          <w:p w14:paraId="122B6A93"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(0.0003)</w:t>
            </w:r>
          </w:p>
        </w:tc>
        <w:tc>
          <w:tcPr>
            <w:tcW w:w="1152" w:type="dxa"/>
            <w:tcBorders>
              <w:top w:val="nil"/>
              <w:left w:val="nil"/>
              <w:bottom w:val="nil"/>
              <w:right w:val="nil"/>
            </w:tcBorders>
          </w:tcPr>
          <w:p w14:paraId="26A441A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(0.0002)</w:t>
            </w:r>
          </w:p>
        </w:tc>
      </w:tr>
      <w:tr w:rsidR="003E148C" w:rsidRPr="00240EA2" w14:paraId="5FE43FD5" w14:textId="77777777" w:rsidTr="0026218B">
        <w:trPr>
          <w:jc w:val="center"/>
        </w:trPr>
        <w:tc>
          <w:tcPr>
            <w:tcW w:w="2790" w:type="dxa"/>
            <w:tcBorders>
              <w:top w:val="nil"/>
              <w:left w:val="nil"/>
              <w:bottom w:val="nil"/>
              <w:right w:val="nil"/>
            </w:tcBorders>
          </w:tcPr>
          <w:p w14:paraId="5033EF89" w14:textId="77777777" w:rsidR="003E148C" w:rsidRPr="00240EA2" w:rsidRDefault="003E148C" w:rsidP="0026218B">
            <w:pPr>
              <w:widowControl w:val="0"/>
              <w:autoSpaceDE w:val="0"/>
              <w:autoSpaceDN w:val="0"/>
              <w:adjustRightInd w:val="0"/>
              <w:rPr>
                <w:sz w:val="20"/>
                <w:szCs w:val="20"/>
              </w:rPr>
            </w:pPr>
            <w:r w:rsidRPr="00240EA2">
              <w:rPr>
                <w:sz w:val="20"/>
                <w:szCs w:val="20"/>
              </w:rPr>
              <w:t>Mid qualification</w:t>
            </w:r>
          </w:p>
        </w:tc>
        <w:tc>
          <w:tcPr>
            <w:tcW w:w="1152" w:type="dxa"/>
            <w:tcBorders>
              <w:top w:val="nil"/>
              <w:left w:val="nil"/>
              <w:bottom w:val="nil"/>
              <w:right w:val="nil"/>
            </w:tcBorders>
          </w:tcPr>
          <w:p w14:paraId="737940F8"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-0.0273</w:t>
            </w:r>
          </w:p>
        </w:tc>
        <w:tc>
          <w:tcPr>
            <w:tcW w:w="1152" w:type="dxa"/>
            <w:tcBorders>
              <w:top w:val="nil"/>
              <w:left w:val="nil"/>
              <w:bottom w:val="nil"/>
              <w:right w:val="nil"/>
            </w:tcBorders>
          </w:tcPr>
          <w:p w14:paraId="0DBE610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-0.0308</w:t>
            </w:r>
          </w:p>
        </w:tc>
        <w:tc>
          <w:tcPr>
            <w:tcW w:w="1152" w:type="dxa"/>
            <w:tcBorders>
              <w:top w:val="nil"/>
              <w:left w:val="nil"/>
              <w:bottom w:val="nil"/>
              <w:right w:val="nil"/>
            </w:tcBorders>
          </w:tcPr>
          <w:p w14:paraId="5B9C476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-0.0323</w:t>
            </w:r>
          </w:p>
        </w:tc>
        <w:tc>
          <w:tcPr>
            <w:tcW w:w="1152" w:type="dxa"/>
            <w:tcBorders>
              <w:top w:val="nil"/>
              <w:left w:val="nil"/>
              <w:bottom w:val="nil"/>
              <w:right w:val="nil"/>
            </w:tcBorders>
          </w:tcPr>
          <w:p w14:paraId="156BB3FA"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-0.0295</w:t>
            </w:r>
          </w:p>
        </w:tc>
      </w:tr>
      <w:tr w:rsidR="003E148C" w:rsidRPr="00240EA2" w14:paraId="3FEC0A6A" w14:textId="77777777" w:rsidTr="0026218B">
        <w:trPr>
          <w:jc w:val="center"/>
        </w:trPr>
        <w:tc>
          <w:tcPr>
            <w:tcW w:w="2790" w:type="dxa"/>
            <w:tcBorders>
              <w:top w:val="nil"/>
              <w:left w:val="nil"/>
              <w:bottom w:val="nil"/>
              <w:right w:val="nil"/>
            </w:tcBorders>
          </w:tcPr>
          <w:p w14:paraId="5271A931"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6D749C5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(0.0010)</w:t>
            </w:r>
          </w:p>
        </w:tc>
        <w:tc>
          <w:tcPr>
            <w:tcW w:w="1152" w:type="dxa"/>
            <w:tcBorders>
              <w:top w:val="nil"/>
              <w:left w:val="nil"/>
              <w:bottom w:val="nil"/>
              <w:right w:val="nil"/>
            </w:tcBorders>
          </w:tcPr>
          <w:p w14:paraId="2D9E596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(0.0011)</w:t>
            </w:r>
          </w:p>
        </w:tc>
        <w:tc>
          <w:tcPr>
            <w:tcW w:w="1152" w:type="dxa"/>
            <w:tcBorders>
              <w:top w:val="nil"/>
              <w:left w:val="nil"/>
              <w:bottom w:val="nil"/>
              <w:right w:val="nil"/>
            </w:tcBorders>
          </w:tcPr>
          <w:p w14:paraId="2ED9577B"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(0.0013)</w:t>
            </w:r>
          </w:p>
        </w:tc>
        <w:tc>
          <w:tcPr>
            <w:tcW w:w="1152" w:type="dxa"/>
            <w:tcBorders>
              <w:top w:val="nil"/>
              <w:left w:val="nil"/>
              <w:bottom w:val="nil"/>
              <w:right w:val="nil"/>
            </w:tcBorders>
          </w:tcPr>
          <w:p w14:paraId="62FDDBF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(0.0013)</w:t>
            </w:r>
          </w:p>
        </w:tc>
      </w:tr>
      <w:tr w:rsidR="003E148C" w:rsidRPr="00240EA2" w14:paraId="6DCAF82A" w14:textId="77777777" w:rsidTr="0026218B">
        <w:trPr>
          <w:jc w:val="center"/>
        </w:trPr>
        <w:tc>
          <w:tcPr>
            <w:tcW w:w="2790" w:type="dxa"/>
            <w:tcBorders>
              <w:top w:val="nil"/>
              <w:left w:val="nil"/>
              <w:bottom w:val="nil"/>
              <w:right w:val="nil"/>
            </w:tcBorders>
          </w:tcPr>
          <w:p w14:paraId="5D585820" w14:textId="77777777" w:rsidR="003E148C" w:rsidRPr="00240EA2" w:rsidRDefault="003E148C" w:rsidP="0026218B">
            <w:pPr>
              <w:widowControl w:val="0"/>
              <w:autoSpaceDE w:val="0"/>
              <w:autoSpaceDN w:val="0"/>
              <w:adjustRightInd w:val="0"/>
              <w:rPr>
                <w:sz w:val="20"/>
                <w:szCs w:val="20"/>
              </w:rPr>
            </w:pPr>
            <w:r w:rsidRPr="00240EA2">
              <w:rPr>
                <w:sz w:val="20"/>
                <w:szCs w:val="20"/>
              </w:rPr>
              <w:t>High qualification</w:t>
            </w:r>
          </w:p>
        </w:tc>
        <w:tc>
          <w:tcPr>
            <w:tcW w:w="1152" w:type="dxa"/>
            <w:tcBorders>
              <w:top w:val="nil"/>
              <w:left w:val="nil"/>
              <w:bottom w:val="nil"/>
              <w:right w:val="nil"/>
            </w:tcBorders>
          </w:tcPr>
          <w:p w14:paraId="2139B8B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-0.0201</w:t>
            </w:r>
          </w:p>
        </w:tc>
        <w:tc>
          <w:tcPr>
            <w:tcW w:w="1152" w:type="dxa"/>
            <w:tcBorders>
              <w:top w:val="nil"/>
              <w:left w:val="nil"/>
              <w:bottom w:val="nil"/>
              <w:right w:val="nil"/>
            </w:tcBorders>
          </w:tcPr>
          <w:p w14:paraId="3E7100D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-0.0532</w:t>
            </w:r>
          </w:p>
        </w:tc>
        <w:tc>
          <w:tcPr>
            <w:tcW w:w="1152" w:type="dxa"/>
            <w:tcBorders>
              <w:top w:val="nil"/>
              <w:left w:val="nil"/>
              <w:bottom w:val="nil"/>
              <w:right w:val="nil"/>
            </w:tcBorders>
          </w:tcPr>
          <w:p w14:paraId="10399A83"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-0.0537</w:t>
            </w:r>
          </w:p>
        </w:tc>
        <w:tc>
          <w:tcPr>
            <w:tcW w:w="1152" w:type="dxa"/>
            <w:tcBorders>
              <w:top w:val="nil"/>
              <w:left w:val="nil"/>
              <w:bottom w:val="nil"/>
              <w:right w:val="nil"/>
            </w:tcBorders>
          </w:tcPr>
          <w:p w14:paraId="0CE950B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-0.0506</w:t>
            </w:r>
          </w:p>
        </w:tc>
      </w:tr>
      <w:tr w:rsidR="003E148C" w:rsidRPr="00240EA2" w14:paraId="07A9129F" w14:textId="77777777" w:rsidTr="0026218B">
        <w:trPr>
          <w:jc w:val="center"/>
        </w:trPr>
        <w:tc>
          <w:tcPr>
            <w:tcW w:w="2790" w:type="dxa"/>
            <w:tcBorders>
              <w:top w:val="nil"/>
              <w:left w:val="nil"/>
              <w:bottom w:val="nil"/>
              <w:right w:val="nil"/>
            </w:tcBorders>
          </w:tcPr>
          <w:p w14:paraId="1E9F421F"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5EB8513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(0.0010)</w:t>
            </w:r>
          </w:p>
        </w:tc>
        <w:tc>
          <w:tcPr>
            <w:tcW w:w="1152" w:type="dxa"/>
            <w:tcBorders>
              <w:top w:val="nil"/>
              <w:left w:val="nil"/>
              <w:bottom w:val="nil"/>
              <w:right w:val="nil"/>
            </w:tcBorders>
          </w:tcPr>
          <w:p w14:paraId="601170EB"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(0.0024)</w:t>
            </w:r>
          </w:p>
        </w:tc>
        <w:tc>
          <w:tcPr>
            <w:tcW w:w="1152" w:type="dxa"/>
            <w:tcBorders>
              <w:top w:val="nil"/>
              <w:left w:val="nil"/>
              <w:bottom w:val="nil"/>
              <w:right w:val="nil"/>
            </w:tcBorders>
          </w:tcPr>
          <w:p w14:paraId="1825C67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(0.0019)</w:t>
            </w:r>
          </w:p>
        </w:tc>
        <w:tc>
          <w:tcPr>
            <w:tcW w:w="1152" w:type="dxa"/>
            <w:tcBorders>
              <w:top w:val="nil"/>
              <w:left w:val="nil"/>
              <w:bottom w:val="nil"/>
              <w:right w:val="nil"/>
            </w:tcBorders>
          </w:tcPr>
          <w:p w14:paraId="7C3B3D3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(0.0024)</w:t>
            </w:r>
          </w:p>
        </w:tc>
      </w:tr>
      <w:tr w:rsidR="003E148C" w:rsidRPr="00240EA2" w14:paraId="26FA908C" w14:textId="77777777" w:rsidTr="0026218B">
        <w:trPr>
          <w:jc w:val="center"/>
        </w:trPr>
        <w:tc>
          <w:tcPr>
            <w:tcW w:w="2790" w:type="dxa"/>
            <w:tcBorders>
              <w:top w:val="nil"/>
              <w:left w:val="nil"/>
              <w:bottom w:val="nil"/>
              <w:right w:val="nil"/>
            </w:tcBorders>
          </w:tcPr>
          <w:p w14:paraId="7C3C1FEC" w14:textId="77777777" w:rsidR="003E148C" w:rsidRPr="00240EA2" w:rsidRDefault="003E148C" w:rsidP="0026218B">
            <w:pPr>
              <w:widowControl w:val="0"/>
              <w:autoSpaceDE w:val="0"/>
              <w:autoSpaceDN w:val="0"/>
              <w:adjustRightInd w:val="0"/>
              <w:rPr>
                <w:sz w:val="20"/>
                <w:szCs w:val="20"/>
              </w:rPr>
            </w:pPr>
            <w:r w:rsidRPr="00240EA2">
              <w:rPr>
                <w:sz w:val="20"/>
                <w:szCs w:val="20"/>
              </w:rPr>
              <w:t>Workers (ln)</w:t>
            </w:r>
          </w:p>
        </w:tc>
        <w:tc>
          <w:tcPr>
            <w:tcW w:w="1152" w:type="dxa"/>
            <w:tcBorders>
              <w:top w:val="nil"/>
              <w:left w:val="nil"/>
              <w:bottom w:val="nil"/>
              <w:right w:val="nil"/>
            </w:tcBorders>
          </w:tcPr>
          <w:p w14:paraId="29A1897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-0.0078</w:t>
            </w:r>
          </w:p>
        </w:tc>
        <w:tc>
          <w:tcPr>
            <w:tcW w:w="1152" w:type="dxa"/>
            <w:tcBorders>
              <w:top w:val="nil"/>
              <w:left w:val="nil"/>
              <w:bottom w:val="nil"/>
              <w:right w:val="nil"/>
            </w:tcBorders>
          </w:tcPr>
          <w:p w14:paraId="3524317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-0.0075</w:t>
            </w:r>
          </w:p>
        </w:tc>
        <w:tc>
          <w:tcPr>
            <w:tcW w:w="1152" w:type="dxa"/>
            <w:tcBorders>
              <w:top w:val="nil"/>
              <w:left w:val="nil"/>
              <w:bottom w:val="nil"/>
              <w:right w:val="nil"/>
            </w:tcBorders>
          </w:tcPr>
          <w:p w14:paraId="488B6146"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-0.0332</w:t>
            </w:r>
          </w:p>
        </w:tc>
        <w:tc>
          <w:tcPr>
            <w:tcW w:w="1152" w:type="dxa"/>
            <w:tcBorders>
              <w:top w:val="nil"/>
              <w:left w:val="nil"/>
              <w:bottom w:val="nil"/>
              <w:right w:val="nil"/>
            </w:tcBorders>
          </w:tcPr>
          <w:p w14:paraId="261FA49B"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-0.0362</w:t>
            </w:r>
          </w:p>
        </w:tc>
      </w:tr>
      <w:tr w:rsidR="003E148C" w:rsidRPr="00240EA2" w14:paraId="5C724FEB" w14:textId="77777777" w:rsidTr="0026218B">
        <w:trPr>
          <w:jc w:val="center"/>
        </w:trPr>
        <w:tc>
          <w:tcPr>
            <w:tcW w:w="2790" w:type="dxa"/>
            <w:tcBorders>
              <w:top w:val="nil"/>
              <w:left w:val="nil"/>
              <w:bottom w:val="nil"/>
              <w:right w:val="nil"/>
            </w:tcBorders>
          </w:tcPr>
          <w:p w14:paraId="75881436"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007C5528"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(0.0004)</w:t>
            </w:r>
          </w:p>
        </w:tc>
        <w:tc>
          <w:tcPr>
            <w:tcW w:w="1152" w:type="dxa"/>
            <w:tcBorders>
              <w:top w:val="nil"/>
              <w:left w:val="nil"/>
              <w:bottom w:val="nil"/>
              <w:right w:val="nil"/>
            </w:tcBorders>
          </w:tcPr>
          <w:p w14:paraId="3CDB849F"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(0.0007)</w:t>
            </w:r>
          </w:p>
        </w:tc>
        <w:tc>
          <w:tcPr>
            <w:tcW w:w="1152" w:type="dxa"/>
            <w:tcBorders>
              <w:top w:val="nil"/>
              <w:left w:val="nil"/>
              <w:bottom w:val="nil"/>
              <w:right w:val="nil"/>
            </w:tcBorders>
          </w:tcPr>
          <w:p w14:paraId="4C7B9E3B"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(0.0011)</w:t>
            </w:r>
          </w:p>
        </w:tc>
        <w:tc>
          <w:tcPr>
            <w:tcW w:w="1152" w:type="dxa"/>
            <w:tcBorders>
              <w:top w:val="nil"/>
              <w:left w:val="nil"/>
              <w:bottom w:val="nil"/>
              <w:right w:val="nil"/>
            </w:tcBorders>
          </w:tcPr>
          <w:p w14:paraId="3D7213E7"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(0.0012)</w:t>
            </w:r>
          </w:p>
        </w:tc>
      </w:tr>
      <w:tr w:rsidR="003E148C" w:rsidRPr="00240EA2" w14:paraId="40B94A9C" w14:textId="77777777" w:rsidTr="0026218B">
        <w:trPr>
          <w:jc w:val="center"/>
        </w:trPr>
        <w:tc>
          <w:tcPr>
            <w:tcW w:w="2790" w:type="dxa"/>
            <w:tcBorders>
              <w:top w:val="nil"/>
              <w:left w:val="nil"/>
              <w:bottom w:val="nil"/>
              <w:right w:val="nil"/>
            </w:tcBorders>
          </w:tcPr>
          <w:p w14:paraId="2870E3C2" w14:textId="77777777" w:rsidR="003E148C" w:rsidRPr="00240EA2" w:rsidRDefault="003E148C" w:rsidP="0026218B">
            <w:pPr>
              <w:widowControl w:val="0"/>
              <w:autoSpaceDE w:val="0"/>
              <w:autoSpaceDN w:val="0"/>
              <w:adjustRightInd w:val="0"/>
              <w:rPr>
                <w:sz w:val="20"/>
                <w:szCs w:val="20"/>
              </w:rPr>
            </w:pPr>
            <w:r w:rsidRPr="00240EA2">
              <w:rPr>
                <w:sz w:val="20"/>
                <w:szCs w:val="20"/>
              </w:rPr>
              <w:t>Long term contract</w:t>
            </w:r>
          </w:p>
        </w:tc>
        <w:tc>
          <w:tcPr>
            <w:tcW w:w="1152" w:type="dxa"/>
            <w:tcBorders>
              <w:top w:val="nil"/>
              <w:left w:val="nil"/>
              <w:bottom w:val="nil"/>
              <w:right w:val="nil"/>
            </w:tcBorders>
          </w:tcPr>
          <w:p w14:paraId="0DDE46D9"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-0.1057</w:t>
            </w:r>
          </w:p>
        </w:tc>
        <w:tc>
          <w:tcPr>
            <w:tcW w:w="1152" w:type="dxa"/>
            <w:tcBorders>
              <w:top w:val="nil"/>
              <w:left w:val="nil"/>
              <w:bottom w:val="nil"/>
              <w:right w:val="nil"/>
            </w:tcBorders>
          </w:tcPr>
          <w:p w14:paraId="23509D3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-0.0563</w:t>
            </w:r>
          </w:p>
        </w:tc>
        <w:tc>
          <w:tcPr>
            <w:tcW w:w="1152" w:type="dxa"/>
            <w:tcBorders>
              <w:top w:val="nil"/>
              <w:left w:val="nil"/>
              <w:bottom w:val="nil"/>
              <w:right w:val="nil"/>
            </w:tcBorders>
          </w:tcPr>
          <w:p w14:paraId="66AD260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-0.0647</w:t>
            </w:r>
          </w:p>
        </w:tc>
        <w:tc>
          <w:tcPr>
            <w:tcW w:w="1152" w:type="dxa"/>
            <w:tcBorders>
              <w:top w:val="nil"/>
              <w:left w:val="nil"/>
              <w:bottom w:val="nil"/>
              <w:right w:val="nil"/>
            </w:tcBorders>
          </w:tcPr>
          <w:p w14:paraId="1B98672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-0.0693</w:t>
            </w:r>
          </w:p>
        </w:tc>
      </w:tr>
      <w:tr w:rsidR="003E148C" w:rsidRPr="00240EA2" w14:paraId="53FFCBE0" w14:textId="77777777" w:rsidTr="0026218B">
        <w:trPr>
          <w:jc w:val="center"/>
        </w:trPr>
        <w:tc>
          <w:tcPr>
            <w:tcW w:w="2790" w:type="dxa"/>
            <w:tcBorders>
              <w:top w:val="nil"/>
              <w:left w:val="nil"/>
              <w:bottom w:val="nil"/>
              <w:right w:val="nil"/>
            </w:tcBorders>
          </w:tcPr>
          <w:p w14:paraId="1F70128C"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9845077"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(0.0032)</w:t>
            </w:r>
          </w:p>
        </w:tc>
        <w:tc>
          <w:tcPr>
            <w:tcW w:w="1152" w:type="dxa"/>
            <w:tcBorders>
              <w:top w:val="nil"/>
              <w:left w:val="nil"/>
              <w:bottom w:val="nil"/>
              <w:right w:val="nil"/>
            </w:tcBorders>
          </w:tcPr>
          <w:p w14:paraId="540FA345"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(0.0031)</w:t>
            </w:r>
          </w:p>
        </w:tc>
        <w:tc>
          <w:tcPr>
            <w:tcW w:w="1152" w:type="dxa"/>
            <w:tcBorders>
              <w:top w:val="nil"/>
              <w:left w:val="nil"/>
              <w:bottom w:val="nil"/>
              <w:right w:val="nil"/>
            </w:tcBorders>
          </w:tcPr>
          <w:p w14:paraId="76F77730"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(0.0033)</w:t>
            </w:r>
          </w:p>
        </w:tc>
        <w:tc>
          <w:tcPr>
            <w:tcW w:w="1152" w:type="dxa"/>
            <w:tcBorders>
              <w:top w:val="nil"/>
              <w:left w:val="nil"/>
              <w:bottom w:val="nil"/>
              <w:right w:val="nil"/>
            </w:tcBorders>
          </w:tcPr>
          <w:p w14:paraId="0EA46693"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(0.0043)</w:t>
            </w:r>
          </w:p>
        </w:tc>
      </w:tr>
      <w:tr w:rsidR="003E148C" w:rsidRPr="00240EA2" w14:paraId="172A5C45" w14:textId="77777777" w:rsidTr="0026218B">
        <w:trPr>
          <w:jc w:val="center"/>
        </w:trPr>
        <w:tc>
          <w:tcPr>
            <w:tcW w:w="2790" w:type="dxa"/>
            <w:tcBorders>
              <w:top w:val="nil"/>
              <w:left w:val="nil"/>
              <w:bottom w:val="nil"/>
              <w:right w:val="nil"/>
            </w:tcBorders>
          </w:tcPr>
          <w:p w14:paraId="173D2C3D" w14:textId="77777777" w:rsidR="003E148C" w:rsidRPr="00240EA2" w:rsidRDefault="003E148C" w:rsidP="0026218B">
            <w:pPr>
              <w:widowControl w:val="0"/>
              <w:autoSpaceDE w:val="0"/>
              <w:autoSpaceDN w:val="0"/>
              <w:adjustRightInd w:val="0"/>
              <w:rPr>
                <w:sz w:val="20"/>
                <w:szCs w:val="20"/>
              </w:rPr>
            </w:pPr>
            <w:r w:rsidRPr="00240EA2">
              <w:rPr>
                <w:sz w:val="20"/>
                <w:szCs w:val="20"/>
              </w:rPr>
              <w:t>Constant</w:t>
            </w:r>
          </w:p>
        </w:tc>
        <w:tc>
          <w:tcPr>
            <w:tcW w:w="1152" w:type="dxa"/>
            <w:tcBorders>
              <w:top w:val="nil"/>
              <w:left w:val="nil"/>
              <w:bottom w:val="nil"/>
              <w:right w:val="nil"/>
            </w:tcBorders>
          </w:tcPr>
          <w:p w14:paraId="20D6EE2A"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0.9648</w:t>
            </w:r>
          </w:p>
        </w:tc>
        <w:tc>
          <w:tcPr>
            <w:tcW w:w="1152" w:type="dxa"/>
            <w:tcBorders>
              <w:top w:val="nil"/>
              <w:left w:val="nil"/>
              <w:bottom w:val="nil"/>
              <w:right w:val="nil"/>
            </w:tcBorders>
          </w:tcPr>
          <w:p w14:paraId="707B781A"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1.2933</w:t>
            </w:r>
          </w:p>
        </w:tc>
        <w:tc>
          <w:tcPr>
            <w:tcW w:w="1152" w:type="dxa"/>
            <w:tcBorders>
              <w:top w:val="nil"/>
              <w:left w:val="nil"/>
              <w:bottom w:val="nil"/>
              <w:right w:val="nil"/>
            </w:tcBorders>
          </w:tcPr>
          <w:p w14:paraId="4BBB7C26"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1.3303</w:t>
            </w:r>
          </w:p>
        </w:tc>
        <w:tc>
          <w:tcPr>
            <w:tcW w:w="1152" w:type="dxa"/>
            <w:tcBorders>
              <w:top w:val="nil"/>
              <w:left w:val="nil"/>
              <w:bottom w:val="nil"/>
              <w:right w:val="nil"/>
            </w:tcBorders>
          </w:tcPr>
          <w:p w14:paraId="72969DA3"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1.2398</w:t>
            </w:r>
          </w:p>
        </w:tc>
      </w:tr>
      <w:tr w:rsidR="003E148C" w:rsidRPr="00240EA2" w14:paraId="6C92625C" w14:textId="77777777" w:rsidTr="0026218B">
        <w:trPr>
          <w:jc w:val="center"/>
        </w:trPr>
        <w:tc>
          <w:tcPr>
            <w:tcW w:w="2790" w:type="dxa"/>
            <w:tcBorders>
              <w:top w:val="nil"/>
              <w:left w:val="nil"/>
              <w:bottom w:val="nil"/>
              <w:right w:val="nil"/>
            </w:tcBorders>
          </w:tcPr>
          <w:p w14:paraId="4F2285D4" w14:textId="77777777" w:rsidR="003E148C" w:rsidRPr="00240EA2"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7A74E9C8"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(0.0137)</w:t>
            </w:r>
          </w:p>
        </w:tc>
        <w:tc>
          <w:tcPr>
            <w:tcW w:w="1152" w:type="dxa"/>
            <w:tcBorders>
              <w:top w:val="nil"/>
              <w:left w:val="nil"/>
              <w:bottom w:val="nil"/>
              <w:right w:val="nil"/>
            </w:tcBorders>
          </w:tcPr>
          <w:p w14:paraId="7239A0B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(0.0345)</w:t>
            </w:r>
          </w:p>
        </w:tc>
        <w:tc>
          <w:tcPr>
            <w:tcW w:w="1152" w:type="dxa"/>
            <w:tcBorders>
              <w:top w:val="nil"/>
              <w:left w:val="nil"/>
              <w:bottom w:val="nil"/>
              <w:right w:val="nil"/>
            </w:tcBorders>
          </w:tcPr>
          <w:p w14:paraId="27D70DC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(0.0306)</w:t>
            </w:r>
          </w:p>
        </w:tc>
        <w:tc>
          <w:tcPr>
            <w:tcW w:w="1152" w:type="dxa"/>
            <w:tcBorders>
              <w:top w:val="nil"/>
              <w:left w:val="nil"/>
              <w:bottom w:val="nil"/>
              <w:right w:val="nil"/>
            </w:tcBorders>
          </w:tcPr>
          <w:p w14:paraId="00378267"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(0.0287)</w:t>
            </w:r>
          </w:p>
        </w:tc>
      </w:tr>
      <w:tr w:rsidR="003E148C" w:rsidRPr="00240EA2" w14:paraId="08BE541B" w14:textId="77777777" w:rsidTr="0026218B">
        <w:trPr>
          <w:jc w:val="center"/>
        </w:trPr>
        <w:tc>
          <w:tcPr>
            <w:tcW w:w="2790" w:type="dxa"/>
            <w:tcBorders>
              <w:top w:val="nil"/>
              <w:left w:val="nil"/>
              <w:bottom w:val="nil"/>
              <w:right w:val="nil"/>
            </w:tcBorders>
          </w:tcPr>
          <w:p w14:paraId="46D4656D" w14:textId="77777777" w:rsidR="003E148C" w:rsidRPr="00240EA2" w:rsidRDefault="003E148C" w:rsidP="0026218B">
            <w:pPr>
              <w:widowControl w:val="0"/>
              <w:autoSpaceDE w:val="0"/>
              <w:autoSpaceDN w:val="0"/>
              <w:adjustRightInd w:val="0"/>
              <w:rPr>
                <w:sz w:val="20"/>
                <w:szCs w:val="20"/>
              </w:rPr>
            </w:pPr>
            <w:r w:rsidRPr="00240EA2">
              <w:rPr>
                <w:sz w:val="20"/>
                <w:szCs w:val="20"/>
              </w:rPr>
              <w:t xml:space="preserve">R2 </w:t>
            </w:r>
          </w:p>
        </w:tc>
        <w:tc>
          <w:tcPr>
            <w:tcW w:w="1152" w:type="dxa"/>
            <w:tcBorders>
              <w:top w:val="nil"/>
              <w:left w:val="nil"/>
              <w:bottom w:val="nil"/>
              <w:right w:val="nil"/>
            </w:tcBorders>
          </w:tcPr>
          <w:p w14:paraId="5D43CE27"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0.13</w:t>
            </w:r>
          </w:p>
        </w:tc>
        <w:tc>
          <w:tcPr>
            <w:tcW w:w="1152" w:type="dxa"/>
            <w:tcBorders>
              <w:top w:val="nil"/>
              <w:left w:val="nil"/>
              <w:bottom w:val="nil"/>
              <w:right w:val="nil"/>
            </w:tcBorders>
          </w:tcPr>
          <w:p w14:paraId="0D4899EB"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0.33</w:t>
            </w:r>
          </w:p>
        </w:tc>
        <w:tc>
          <w:tcPr>
            <w:tcW w:w="1152" w:type="dxa"/>
            <w:tcBorders>
              <w:top w:val="nil"/>
              <w:left w:val="nil"/>
              <w:bottom w:val="nil"/>
              <w:right w:val="nil"/>
            </w:tcBorders>
          </w:tcPr>
          <w:p w14:paraId="3545877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0.37</w:t>
            </w:r>
          </w:p>
        </w:tc>
        <w:tc>
          <w:tcPr>
            <w:tcW w:w="1152" w:type="dxa"/>
            <w:tcBorders>
              <w:top w:val="nil"/>
              <w:left w:val="nil"/>
              <w:bottom w:val="nil"/>
              <w:right w:val="nil"/>
            </w:tcBorders>
          </w:tcPr>
          <w:p w14:paraId="476BAC50"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0.35</w:t>
            </w:r>
          </w:p>
        </w:tc>
      </w:tr>
      <w:tr w:rsidR="003E148C" w:rsidRPr="00240EA2" w14:paraId="0113D348" w14:textId="77777777" w:rsidTr="0026218B">
        <w:trPr>
          <w:jc w:val="center"/>
        </w:trPr>
        <w:tc>
          <w:tcPr>
            <w:tcW w:w="2790" w:type="dxa"/>
            <w:tcBorders>
              <w:top w:val="nil"/>
              <w:left w:val="nil"/>
              <w:bottom w:val="nil"/>
              <w:right w:val="nil"/>
            </w:tcBorders>
          </w:tcPr>
          <w:p w14:paraId="08AD3786" w14:textId="77777777" w:rsidR="003E148C" w:rsidRPr="00240EA2" w:rsidRDefault="003E148C" w:rsidP="0026218B">
            <w:pPr>
              <w:widowControl w:val="0"/>
              <w:autoSpaceDE w:val="0"/>
              <w:autoSpaceDN w:val="0"/>
              <w:adjustRightInd w:val="0"/>
              <w:rPr>
                <w:sz w:val="20"/>
                <w:szCs w:val="20"/>
              </w:rPr>
            </w:pPr>
            <w:r w:rsidRPr="00240EA2">
              <w:rPr>
                <w:i/>
                <w:iCs/>
                <w:sz w:val="20"/>
                <w:szCs w:val="20"/>
              </w:rPr>
              <w:t>N</w:t>
            </w:r>
          </w:p>
        </w:tc>
        <w:tc>
          <w:tcPr>
            <w:tcW w:w="1152" w:type="dxa"/>
            <w:tcBorders>
              <w:top w:val="nil"/>
              <w:left w:val="nil"/>
              <w:bottom w:val="nil"/>
              <w:right w:val="nil"/>
            </w:tcBorders>
          </w:tcPr>
          <w:p w14:paraId="7837CD7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19,977,543</w:t>
            </w:r>
          </w:p>
        </w:tc>
        <w:tc>
          <w:tcPr>
            <w:tcW w:w="1152" w:type="dxa"/>
            <w:tcBorders>
              <w:top w:val="nil"/>
              <w:left w:val="nil"/>
              <w:bottom w:val="nil"/>
              <w:right w:val="nil"/>
            </w:tcBorders>
          </w:tcPr>
          <w:p w14:paraId="0FD3555C"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18,878,984</w:t>
            </w:r>
          </w:p>
        </w:tc>
        <w:tc>
          <w:tcPr>
            <w:tcW w:w="1152" w:type="dxa"/>
            <w:tcBorders>
              <w:top w:val="nil"/>
              <w:left w:val="nil"/>
              <w:bottom w:val="nil"/>
              <w:right w:val="nil"/>
            </w:tcBorders>
          </w:tcPr>
          <w:p w14:paraId="397E6431"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18,800,218</w:t>
            </w:r>
          </w:p>
        </w:tc>
        <w:tc>
          <w:tcPr>
            <w:tcW w:w="1152" w:type="dxa"/>
            <w:tcBorders>
              <w:top w:val="nil"/>
              <w:left w:val="nil"/>
              <w:bottom w:val="nil"/>
              <w:right w:val="nil"/>
            </w:tcBorders>
          </w:tcPr>
          <w:p w14:paraId="40D6875D"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16,951,500</w:t>
            </w:r>
          </w:p>
        </w:tc>
      </w:tr>
      <w:tr w:rsidR="003E148C" w:rsidRPr="00240EA2" w14:paraId="3263D885" w14:textId="77777777" w:rsidTr="0026218B">
        <w:trPr>
          <w:jc w:val="center"/>
        </w:trPr>
        <w:tc>
          <w:tcPr>
            <w:tcW w:w="2790" w:type="dxa"/>
            <w:tcBorders>
              <w:top w:val="nil"/>
              <w:left w:val="nil"/>
              <w:bottom w:val="nil"/>
              <w:right w:val="nil"/>
            </w:tcBorders>
          </w:tcPr>
          <w:p w14:paraId="709D121F" w14:textId="77777777" w:rsidR="003E148C" w:rsidRPr="00240EA2" w:rsidRDefault="003E148C" w:rsidP="0026218B">
            <w:pPr>
              <w:widowControl w:val="0"/>
              <w:autoSpaceDE w:val="0"/>
              <w:autoSpaceDN w:val="0"/>
              <w:adjustRightInd w:val="0"/>
              <w:rPr>
                <w:iCs/>
                <w:sz w:val="20"/>
                <w:szCs w:val="20"/>
              </w:rPr>
            </w:pPr>
            <w:r w:rsidRPr="00240EA2">
              <w:rPr>
                <w:iCs/>
                <w:sz w:val="20"/>
                <w:szCs w:val="20"/>
              </w:rPr>
              <w:t>Occupation FE</w:t>
            </w:r>
          </w:p>
        </w:tc>
        <w:tc>
          <w:tcPr>
            <w:tcW w:w="1152" w:type="dxa"/>
            <w:tcBorders>
              <w:top w:val="nil"/>
              <w:left w:val="nil"/>
              <w:bottom w:val="nil"/>
              <w:right w:val="nil"/>
            </w:tcBorders>
          </w:tcPr>
          <w:p w14:paraId="54CD2C78"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5E2FCAB0"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6A7FACA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3F0EB5D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r>
      <w:tr w:rsidR="003E148C" w:rsidRPr="00240EA2" w14:paraId="3E909D2A" w14:textId="77777777" w:rsidTr="0026218B">
        <w:trPr>
          <w:jc w:val="center"/>
        </w:trPr>
        <w:tc>
          <w:tcPr>
            <w:tcW w:w="2790" w:type="dxa"/>
            <w:tcBorders>
              <w:top w:val="nil"/>
              <w:left w:val="nil"/>
              <w:bottom w:val="nil"/>
              <w:right w:val="nil"/>
            </w:tcBorders>
          </w:tcPr>
          <w:p w14:paraId="3B763C1C" w14:textId="77777777" w:rsidR="003E148C" w:rsidRPr="00240EA2" w:rsidRDefault="003E148C" w:rsidP="0026218B">
            <w:pPr>
              <w:widowControl w:val="0"/>
              <w:autoSpaceDE w:val="0"/>
              <w:autoSpaceDN w:val="0"/>
              <w:adjustRightInd w:val="0"/>
              <w:rPr>
                <w:sz w:val="20"/>
                <w:szCs w:val="20"/>
              </w:rPr>
            </w:pPr>
            <w:r w:rsidRPr="00240EA2">
              <w:rPr>
                <w:sz w:val="20"/>
                <w:szCs w:val="20"/>
              </w:rPr>
              <w:t>Year FE</w:t>
            </w:r>
          </w:p>
        </w:tc>
        <w:tc>
          <w:tcPr>
            <w:tcW w:w="1152" w:type="dxa"/>
            <w:tcBorders>
              <w:top w:val="nil"/>
              <w:left w:val="nil"/>
              <w:bottom w:val="nil"/>
              <w:right w:val="nil"/>
            </w:tcBorders>
          </w:tcPr>
          <w:p w14:paraId="41ECD730"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36081E2F"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707AD16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32C1596E"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r>
      <w:tr w:rsidR="003E148C" w:rsidRPr="00240EA2" w14:paraId="6A7AAA27" w14:textId="77777777" w:rsidTr="0026218B">
        <w:trPr>
          <w:jc w:val="center"/>
        </w:trPr>
        <w:tc>
          <w:tcPr>
            <w:tcW w:w="2790" w:type="dxa"/>
            <w:tcBorders>
              <w:top w:val="nil"/>
              <w:left w:val="nil"/>
              <w:bottom w:val="nil"/>
              <w:right w:val="nil"/>
            </w:tcBorders>
          </w:tcPr>
          <w:p w14:paraId="4CEA23AE" w14:textId="6BF22213" w:rsidR="003E148C" w:rsidRPr="00240EA2" w:rsidRDefault="004358A2" w:rsidP="0026218B">
            <w:pPr>
              <w:widowControl w:val="0"/>
              <w:autoSpaceDE w:val="0"/>
              <w:autoSpaceDN w:val="0"/>
              <w:adjustRightInd w:val="0"/>
              <w:rPr>
                <w:sz w:val="20"/>
                <w:szCs w:val="20"/>
              </w:rPr>
            </w:pPr>
            <w:r>
              <w:rPr>
                <w:sz w:val="20"/>
                <w:szCs w:val="20"/>
              </w:rPr>
              <w:t>Municipality</w:t>
            </w:r>
            <w:r w:rsidR="003E148C" w:rsidRPr="00240EA2">
              <w:rPr>
                <w:sz w:val="20"/>
                <w:szCs w:val="20"/>
              </w:rPr>
              <w:t xml:space="preserve"> FE</w:t>
            </w:r>
          </w:p>
        </w:tc>
        <w:tc>
          <w:tcPr>
            <w:tcW w:w="1152" w:type="dxa"/>
            <w:tcBorders>
              <w:top w:val="nil"/>
              <w:left w:val="nil"/>
              <w:bottom w:val="nil"/>
              <w:right w:val="nil"/>
            </w:tcBorders>
          </w:tcPr>
          <w:p w14:paraId="4D67B8BB"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1F26B4B4"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2AEF1DE8"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325B0FD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r>
      <w:tr w:rsidR="003E148C" w:rsidRPr="00240EA2" w14:paraId="763E3123" w14:textId="77777777" w:rsidTr="0026218B">
        <w:trPr>
          <w:jc w:val="center"/>
        </w:trPr>
        <w:tc>
          <w:tcPr>
            <w:tcW w:w="2790" w:type="dxa"/>
            <w:tcBorders>
              <w:top w:val="nil"/>
              <w:left w:val="nil"/>
              <w:bottom w:val="nil"/>
              <w:right w:val="nil"/>
            </w:tcBorders>
          </w:tcPr>
          <w:p w14:paraId="7EDE8337" w14:textId="77777777" w:rsidR="003E148C" w:rsidRPr="00240EA2" w:rsidRDefault="003E148C" w:rsidP="0026218B">
            <w:pPr>
              <w:widowControl w:val="0"/>
              <w:autoSpaceDE w:val="0"/>
              <w:autoSpaceDN w:val="0"/>
              <w:adjustRightInd w:val="0"/>
              <w:rPr>
                <w:sz w:val="20"/>
                <w:szCs w:val="20"/>
              </w:rPr>
            </w:pPr>
            <w:r w:rsidRPr="00240EA2">
              <w:rPr>
                <w:sz w:val="20"/>
                <w:szCs w:val="20"/>
              </w:rPr>
              <w:t>Worker FE</w:t>
            </w:r>
          </w:p>
        </w:tc>
        <w:tc>
          <w:tcPr>
            <w:tcW w:w="1152" w:type="dxa"/>
            <w:tcBorders>
              <w:top w:val="nil"/>
              <w:left w:val="nil"/>
              <w:bottom w:val="nil"/>
              <w:right w:val="nil"/>
            </w:tcBorders>
          </w:tcPr>
          <w:p w14:paraId="395CC825"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37771453"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6E5388AB"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15AF0421"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r>
      <w:tr w:rsidR="003E148C" w:rsidRPr="00240EA2" w14:paraId="12D2E833" w14:textId="77777777" w:rsidTr="0026218B">
        <w:trPr>
          <w:jc w:val="center"/>
        </w:trPr>
        <w:tc>
          <w:tcPr>
            <w:tcW w:w="2790" w:type="dxa"/>
            <w:tcBorders>
              <w:top w:val="nil"/>
              <w:left w:val="nil"/>
              <w:bottom w:val="nil"/>
              <w:right w:val="nil"/>
            </w:tcBorders>
          </w:tcPr>
          <w:p w14:paraId="4AF01309" w14:textId="77777777" w:rsidR="003E148C" w:rsidRPr="00240EA2" w:rsidRDefault="003E148C" w:rsidP="0026218B">
            <w:pPr>
              <w:widowControl w:val="0"/>
              <w:autoSpaceDE w:val="0"/>
              <w:autoSpaceDN w:val="0"/>
              <w:adjustRightInd w:val="0"/>
              <w:rPr>
                <w:sz w:val="20"/>
                <w:szCs w:val="20"/>
              </w:rPr>
            </w:pPr>
            <w:r w:rsidRPr="00240EA2">
              <w:rPr>
                <w:sz w:val="20"/>
                <w:szCs w:val="20"/>
              </w:rPr>
              <w:t>Firm FE</w:t>
            </w:r>
          </w:p>
        </w:tc>
        <w:tc>
          <w:tcPr>
            <w:tcW w:w="1152" w:type="dxa"/>
            <w:tcBorders>
              <w:top w:val="nil"/>
              <w:left w:val="nil"/>
              <w:bottom w:val="nil"/>
              <w:right w:val="nil"/>
            </w:tcBorders>
          </w:tcPr>
          <w:p w14:paraId="77171BE7"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4C9672BD"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42BCA662"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c>
          <w:tcPr>
            <w:tcW w:w="1152" w:type="dxa"/>
            <w:tcBorders>
              <w:top w:val="nil"/>
              <w:left w:val="nil"/>
              <w:bottom w:val="nil"/>
              <w:right w:val="nil"/>
            </w:tcBorders>
          </w:tcPr>
          <w:p w14:paraId="5A47E2C1"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r>
      <w:tr w:rsidR="003E148C" w:rsidRPr="00240EA2" w14:paraId="050FB811" w14:textId="77777777" w:rsidTr="0026218B">
        <w:trPr>
          <w:jc w:val="center"/>
        </w:trPr>
        <w:tc>
          <w:tcPr>
            <w:tcW w:w="2790" w:type="dxa"/>
            <w:tcBorders>
              <w:top w:val="nil"/>
              <w:left w:val="nil"/>
              <w:bottom w:val="single" w:sz="6" w:space="0" w:color="auto"/>
              <w:right w:val="nil"/>
            </w:tcBorders>
          </w:tcPr>
          <w:p w14:paraId="40229716" w14:textId="77777777" w:rsidR="003E148C" w:rsidRPr="00240EA2" w:rsidRDefault="003E148C" w:rsidP="0026218B">
            <w:pPr>
              <w:widowControl w:val="0"/>
              <w:autoSpaceDE w:val="0"/>
              <w:autoSpaceDN w:val="0"/>
              <w:adjustRightInd w:val="0"/>
              <w:rPr>
                <w:sz w:val="20"/>
                <w:szCs w:val="20"/>
              </w:rPr>
            </w:pPr>
            <w:r w:rsidRPr="00240EA2">
              <w:rPr>
                <w:sz w:val="20"/>
                <w:szCs w:val="20"/>
              </w:rPr>
              <w:t>Worker&amp;Firm FE</w:t>
            </w:r>
          </w:p>
        </w:tc>
        <w:tc>
          <w:tcPr>
            <w:tcW w:w="1152" w:type="dxa"/>
            <w:tcBorders>
              <w:top w:val="nil"/>
              <w:left w:val="nil"/>
              <w:bottom w:val="single" w:sz="6" w:space="0" w:color="auto"/>
              <w:right w:val="nil"/>
            </w:tcBorders>
          </w:tcPr>
          <w:p w14:paraId="0A0B076E"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6428B1AB"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0834DB7F" w14:textId="77777777" w:rsidR="003E148C" w:rsidRPr="00240EA2"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6ED5399A" w14:textId="77777777" w:rsidR="003E148C" w:rsidRPr="00240EA2" w:rsidRDefault="003E148C" w:rsidP="0026218B">
            <w:pPr>
              <w:widowControl w:val="0"/>
              <w:autoSpaceDE w:val="0"/>
              <w:autoSpaceDN w:val="0"/>
              <w:adjustRightInd w:val="0"/>
              <w:jc w:val="center"/>
              <w:rPr>
                <w:sz w:val="20"/>
                <w:szCs w:val="20"/>
                <w:lang w:val="fr-FR" w:eastAsia="fr-FR"/>
              </w:rPr>
            </w:pPr>
            <w:r w:rsidRPr="00240EA2">
              <w:rPr>
                <w:sz w:val="20"/>
                <w:szCs w:val="20"/>
                <w:lang w:val="fr-FR" w:eastAsia="fr-FR"/>
              </w:rPr>
              <w:t>YES</w:t>
            </w:r>
          </w:p>
        </w:tc>
      </w:tr>
      <w:tr w:rsidR="003E148C" w:rsidRPr="002C306D" w14:paraId="11611A83" w14:textId="77777777" w:rsidTr="0026218B">
        <w:tblPrEx>
          <w:jc w:val="left"/>
          <w:tblCellMar>
            <w:left w:w="70" w:type="dxa"/>
            <w:right w:w="70" w:type="dxa"/>
          </w:tblCellMar>
          <w:tblLook w:val="04A0" w:firstRow="1" w:lastRow="0" w:firstColumn="1" w:lastColumn="0" w:noHBand="0" w:noVBand="1"/>
        </w:tblPrEx>
        <w:trPr>
          <w:gridAfter w:val="1"/>
          <w:wAfter w:w="1626" w:type="dxa"/>
          <w:trHeight w:val="20"/>
        </w:trPr>
        <w:tc>
          <w:tcPr>
            <w:tcW w:w="1152" w:type="dxa"/>
            <w:gridSpan w:val="4"/>
            <w:tcBorders>
              <w:top w:val="single" w:sz="4" w:space="0" w:color="auto"/>
              <w:left w:val="nil"/>
              <w:bottom w:val="nil"/>
              <w:right w:val="nil"/>
            </w:tcBorders>
            <w:shd w:val="clear" w:color="auto" w:fill="auto"/>
            <w:noWrap/>
            <w:vAlign w:val="bottom"/>
            <w:hideMark/>
          </w:tcPr>
          <w:p w14:paraId="4715260A" w14:textId="77777777" w:rsidR="003E148C" w:rsidRPr="002C306D" w:rsidRDefault="003E148C" w:rsidP="0026218B">
            <w:pPr>
              <w:rPr>
                <w:sz w:val="20"/>
                <w:szCs w:val="20"/>
                <w:lang w:eastAsia="pt-PT"/>
              </w:rPr>
            </w:pPr>
            <w:r w:rsidRPr="002C306D">
              <w:rPr>
                <w:sz w:val="20"/>
                <w:szCs w:val="20"/>
                <w:lang w:eastAsia="pt-PT"/>
              </w:rPr>
              <w:t>Robust standard errors clustered by municipality in brackets</w:t>
            </w:r>
          </w:p>
        </w:tc>
      </w:tr>
    </w:tbl>
    <w:p w14:paraId="5542D500" w14:textId="77777777" w:rsidR="003E148C" w:rsidRPr="0058683A" w:rsidRDefault="003E148C" w:rsidP="003E148C">
      <w:pPr>
        <w:pStyle w:val="Heading1"/>
      </w:pPr>
      <w:r w:rsidRPr="0058683A">
        <w:t>FIGURES</w:t>
      </w:r>
    </w:p>
    <w:p w14:paraId="7FF250CA" w14:textId="77777777" w:rsidR="003E148C" w:rsidRPr="0058683A" w:rsidRDefault="003E148C" w:rsidP="003E148C">
      <w:pPr>
        <w:pStyle w:val="TableCaption"/>
      </w:pPr>
      <w:r w:rsidRPr="0058683A">
        <w:t>F</w:t>
      </w:r>
      <w:r w:rsidRPr="00B200A7">
        <w:rPr>
          <w:b/>
        </w:rPr>
        <w:t>igure 1. Effect of the reform on the time needed to found a new business</w:t>
      </w:r>
    </w:p>
    <w:p w14:paraId="0E1255E3" w14:textId="77777777" w:rsidR="003E148C" w:rsidRPr="0058683A" w:rsidRDefault="003E148C" w:rsidP="003E148C">
      <w:pPr>
        <w:pStyle w:val="BodyTextIndent"/>
      </w:pPr>
      <w:r w:rsidRPr="0058683A">
        <w:rPr>
          <w:noProof/>
        </w:rPr>
        <w:drawing>
          <wp:inline distT="0" distB="0" distL="0" distR="0" wp14:anchorId="686A78A9" wp14:editId="57A3E23B">
            <wp:extent cx="4276725" cy="2998459"/>
            <wp:effectExtent l="0" t="0" r="0" b="0"/>
            <wp:docPr id="1" name="Picture 4" descr="Macintosh HD:Users:User:Dropbox:QDP_paper:G:Results:graph_nrday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ser:Dropbox:QDP_paper:G:Results:graph_nrdays.pdf"/>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285"/>
                    <a:stretch/>
                  </pic:blipFill>
                  <pic:spPr bwMode="auto">
                    <a:xfrm>
                      <a:off x="0" y="0"/>
                      <a:ext cx="4277765" cy="2999188"/>
                    </a:xfrm>
                    <a:prstGeom prst="rect">
                      <a:avLst/>
                    </a:prstGeom>
                    <a:noFill/>
                    <a:ln>
                      <a:noFill/>
                    </a:ln>
                    <a:extLst>
                      <a:ext uri="{53640926-AAD7-44D8-BBD7-CCE9431645EC}">
                        <a14:shadowObscured xmlns:a14="http://schemas.microsoft.com/office/drawing/2010/main"/>
                      </a:ext>
                    </a:extLst>
                  </pic:spPr>
                </pic:pic>
              </a:graphicData>
            </a:graphic>
          </wp:inline>
        </w:drawing>
      </w:r>
    </w:p>
    <w:p w14:paraId="7075ACB8" w14:textId="77777777" w:rsidR="003E148C" w:rsidRPr="00B200A7" w:rsidRDefault="003E148C" w:rsidP="003E148C">
      <w:pPr>
        <w:pStyle w:val="TableCaption"/>
        <w:rPr>
          <w:b/>
        </w:rPr>
      </w:pPr>
      <w:r w:rsidRPr="00B200A7">
        <w:rPr>
          <w:b/>
        </w:rPr>
        <w:t>Figure 2. Effect of the reform on the number of new firms</w:t>
      </w:r>
    </w:p>
    <w:p w14:paraId="6D700514" w14:textId="77777777" w:rsidR="003E148C" w:rsidRPr="0058683A" w:rsidRDefault="003E148C" w:rsidP="003E148C">
      <w:pPr>
        <w:pStyle w:val="BodyTextIndent"/>
        <w:rPr>
          <w:b/>
        </w:rPr>
      </w:pPr>
      <w:r w:rsidRPr="0058683A">
        <w:t xml:space="preserve"> </w:t>
      </w:r>
      <w:r w:rsidRPr="0058683A">
        <w:rPr>
          <w:noProof/>
        </w:rPr>
        <w:drawing>
          <wp:inline distT="0" distB="0" distL="0" distR="0" wp14:anchorId="452ACE6B" wp14:editId="163DC8AC">
            <wp:extent cx="4229100" cy="2538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45081" cy="2547956"/>
                    </a:xfrm>
                    <a:prstGeom prst="rect">
                      <a:avLst/>
                    </a:prstGeom>
                  </pic:spPr>
                </pic:pic>
              </a:graphicData>
            </a:graphic>
          </wp:inline>
        </w:drawing>
      </w:r>
    </w:p>
    <w:p w14:paraId="7D7FC261" w14:textId="77777777" w:rsidR="003E148C" w:rsidRPr="0058683A" w:rsidRDefault="003E148C" w:rsidP="003E148C">
      <w:pPr>
        <w:rPr>
          <w:b/>
        </w:rPr>
      </w:pPr>
    </w:p>
    <w:p w14:paraId="2950F5A8" w14:textId="77777777" w:rsidR="003E148C" w:rsidRDefault="003E148C" w:rsidP="003E148C">
      <w:pPr>
        <w:rPr>
          <w:b/>
        </w:rPr>
      </w:pPr>
      <w:r>
        <w:rPr>
          <w:b/>
        </w:rPr>
        <w:br w:type="page"/>
      </w:r>
    </w:p>
    <w:p w14:paraId="21ECEF98" w14:textId="77777777" w:rsidR="003E148C" w:rsidRPr="00B200A7" w:rsidRDefault="003E148C" w:rsidP="003E148C">
      <w:pPr>
        <w:pStyle w:val="TableCaption"/>
        <w:rPr>
          <w:b/>
        </w:rPr>
      </w:pPr>
      <w:r w:rsidRPr="00B200A7">
        <w:rPr>
          <w:b/>
        </w:rPr>
        <w:t xml:space="preserve">Figure 3. Effect on aggregate female–male entrepreneurship gap </w:t>
      </w:r>
    </w:p>
    <w:p w14:paraId="19B07196" w14:textId="77777777" w:rsidR="003E148C" w:rsidRPr="0058683A" w:rsidRDefault="003E148C" w:rsidP="003E148C">
      <w:pPr>
        <w:pStyle w:val="BodyTextIndent"/>
      </w:pPr>
      <w:r w:rsidRPr="0058683A">
        <w:rPr>
          <w:noProof/>
        </w:rPr>
        <w:drawing>
          <wp:inline distT="0" distB="0" distL="0" distR="0" wp14:anchorId="5B48343E" wp14:editId="7C090C7B">
            <wp:extent cx="4027995" cy="24241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30127" cy="2425396"/>
                    </a:xfrm>
                    <a:prstGeom prst="rect">
                      <a:avLst/>
                    </a:prstGeom>
                  </pic:spPr>
                </pic:pic>
              </a:graphicData>
            </a:graphic>
          </wp:inline>
        </w:drawing>
      </w:r>
    </w:p>
    <w:p w14:paraId="21025964" w14:textId="77777777" w:rsidR="003E148C" w:rsidRPr="00B200A7" w:rsidRDefault="003E148C" w:rsidP="003E148C">
      <w:pPr>
        <w:pStyle w:val="BodyTextIndent"/>
        <w:rPr>
          <w:b/>
        </w:rPr>
      </w:pPr>
    </w:p>
    <w:p w14:paraId="722C1942" w14:textId="77777777" w:rsidR="003E148C" w:rsidRPr="00B200A7" w:rsidRDefault="003E148C" w:rsidP="003E148C">
      <w:pPr>
        <w:pStyle w:val="TableCaption"/>
        <w:rPr>
          <w:b/>
        </w:rPr>
      </w:pPr>
      <w:r w:rsidRPr="00B200A7">
        <w:rPr>
          <w:b/>
        </w:rPr>
        <w:t xml:space="preserve">Figure 4. Effect on aggregate female–male wage gap </w:t>
      </w:r>
    </w:p>
    <w:p w14:paraId="20D1E134" w14:textId="77777777" w:rsidR="003E148C" w:rsidRPr="0058683A" w:rsidRDefault="003E148C" w:rsidP="003E148C">
      <w:pPr>
        <w:pStyle w:val="BodyTextIndent"/>
      </w:pPr>
      <w:r w:rsidRPr="0058683A">
        <w:rPr>
          <w:noProof/>
        </w:rPr>
        <w:drawing>
          <wp:inline distT="0" distB="0" distL="0" distR="0" wp14:anchorId="0230C259" wp14:editId="239C86F5">
            <wp:extent cx="4011375" cy="240982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0661" cy="2415404"/>
                    </a:xfrm>
                    <a:prstGeom prst="rect">
                      <a:avLst/>
                    </a:prstGeom>
                  </pic:spPr>
                </pic:pic>
              </a:graphicData>
            </a:graphic>
          </wp:inline>
        </w:drawing>
      </w:r>
    </w:p>
    <w:p w14:paraId="2EB954D8" w14:textId="77777777" w:rsidR="003E148C" w:rsidRDefault="003E148C" w:rsidP="003E148C">
      <w:pPr>
        <w:rPr>
          <w:i/>
        </w:rPr>
        <w:sectPr w:rsidR="003E148C" w:rsidSect="0026218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16F8AADA" w14:textId="77777777" w:rsidR="003E148C" w:rsidRPr="0058683A" w:rsidRDefault="003E148C" w:rsidP="003E148C">
      <w:pPr>
        <w:rPr>
          <w:i/>
        </w:rPr>
      </w:pPr>
    </w:p>
    <w:p w14:paraId="5CBF3281" w14:textId="77777777" w:rsidR="003E148C" w:rsidRDefault="003E148C" w:rsidP="003E148C">
      <w:pPr>
        <w:spacing w:after="160" w:line="259" w:lineRule="auto"/>
        <w:rPr>
          <w:b/>
          <w:sz w:val="20"/>
          <w:szCs w:val="20"/>
        </w:rPr>
      </w:pPr>
      <w:r>
        <w:rPr>
          <w:b/>
          <w:sz w:val="20"/>
          <w:szCs w:val="20"/>
        </w:rPr>
        <w:br w:type="page"/>
      </w:r>
    </w:p>
    <w:p w14:paraId="2E015961" w14:textId="77777777" w:rsidR="003E148C" w:rsidRDefault="003E148C" w:rsidP="003E148C">
      <w:pPr>
        <w:keepNext/>
        <w:keepLines/>
        <w:outlineLvl w:val="0"/>
        <w:rPr>
          <w:b/>
        </w:rPr>
      </w:pPr>
      <w:r w:rsidRPr="002B5BE5">
        <w:rPr>
          <w:b/>
        </w:rPr>
        <w:t>APPENDIX</w:t>
      </w:r>
    </w:p>
    <w:p w14:paraId="04CEA1E7" w14:textId="77777777" w:rsidR="003E148C" w:rsidRDefault="003E148C" w:rsidP="003E148C">
      <w:pPr>
        <w:keepNext/>
        <w:keepLines/>
        <w:outlineLvl w:val="0"/>
        <w:rPr>
          <w:b/>
        </w:rPr>
      </w:pPr>
    </w:p>
    <w:p w14:paraId="0625CF39" w14:textId="77777777" w:rsidR="003E148C" w:rsidRPr="00B200A7" w:rsidRDefault="003E148C" w:rsidP="003E148C">
      <w:pPr>
        <w:keepNext/>
        <w:keepLines/>
        <w:autoSpaceDE w:val="0"/>
        <w:autoSpaceDN w:val="0"/>
        <w:adjustRightInd w:val="0"/>
        <w:outlineLvl w:val="1"/>
        <w:rPr>
          <w:b/>
        </w:rPr>
      </w:pPr>
      <w:r w:rsidRPr="00B200A7">
        <w:rPr>
          <w:b/>
        </w:rPr>
        <w:t xml:space="preserve">Table A1. Reform enactment dates </w:t>
      </w:r>
    </w:p>
    <w:tbl>
      <w:tblPr>
        <w:tblW w:w="40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89"/>
        <w:gridCol w:w="1390"/>
      </w:tblGrid>
      <w:tr w:rsidR="003E148C" w:rsidRPr="00BB71F9" w14:paraId="7BAF9DCD" w14:textId="77777777" w:rsidTr="0026218B">
        <w:trPr>
          <w:trHeight w:val="288"/>
        </w:trPr>
        <w:tc>
          <w:tcPr>
            <w:tcW w:w="2689" w:type="dxa"/>
            <w:tcBorders>
              <w:top w:val="single" w:sz="4" w:space="0" w:color="auto"/>
              <w:left w:val="single" w:sz="4" w:space="0" w:color="auto"/>
              <w:bottom w:val="single" w:sz="6" w:space="0" w:color="auto"/>
              <w:right w:val="single" w:sz="6" w:space="0" w:color="auto"/>
            </w:tcBorders>
            <w:noWrap/>
            <w:vAlign w:val="bottom"/>
            <w:hideMark/>
          </w:tcPr>
          <w:p w14:paraId="738B68F0" w14:textId="77777777" w:rsidR="003E148C" w:rsidRPr="00153E66" w:rsidRDefault="003E148C" w:rsidP="0026218B">
            <w:pPr>
              <w:rPr>
                <w:b/>
                <w:sz w:val="20"/>
                <w:szCs w:val="20"/>
                <w:lang w:eastAsia="pt-PT"/>
              </w:rPr>
            </w:pPr>
            <w:r w:rsidRPr="00153E66">
              <w:rPr>
                <w:b/>
                <w:sz w:val="20"/>
                <w:szCs w:val="20"/>
                <w:lang w:eastAsia="pt-PT"/>
              </w:rPr>
              <w:t>Municipality</w:t>
            </w:r>
          </w:p>
        </w:tc>
        <w:tc>
          <w:tcPr>
            <w:tcW w:w="1390" w:type="dxa"/>
            <w:tcBorders>
              <w:top w:val="single" w:sz="4" w:space="0" w:color="auto"/>
              <w:left w:val="single" w:sz="6" w:space="0" w:color="auto"/>
              <w:bottom w:val="single" w:sz="6" w:space="0" w:color="auto"/>
              <w:right w:val="single" w:sz="4" w:space="0" w:color="auto"/>
            </w:tcBorders>
            <w:noWrap/>
            <w:vAlign w:val="bottom"/>
            <w:hideMark/>
          </w:tcPr>
          <w:p w14:paraId="4645B7F9" w14:textId="77777777" w:rsidR="003E148C" w:rsidRPr="00153E66" w:rsidRDefault="003E148C" w:rsidP="0026218B">
            <w:pPr>
              <w:rPr>
                <w:b/>
                <w:sz w:val="20"/>
                <w:szCs w:val="20"/>
                <w:lang w:eastAsia="pt-PT"/>
              </w:rPr>
            </w:pPr>
            <w:r w:rsidRPr="00153E66">
              <w:rPr>
                <w:b/>
                <w:sz w:val="20"/>
                <w:szCs w:val="20"/>
                <w:lang w:eastAsia="pt-PT"/>
              </w:rPr>
              <w:t>Year</w:t>
            </w:r>
          </w:p>
        </w:tc>
      </w:tr>
      <w:tr w:rsidR="003E148C" w:rsidRPr="00BB71F9" w14:paraId="7D99418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B45B337" w14:textId="77777777" w:rsidR="003E148C" w:rsidRPr="00153E66" w:rsidRDefault="003E148C" w:rsidP="0026218B">
            <w:pPr>
              <w:rPr>
                <w:sz w:val="20"/>
                <w:szCs w:val="20"/>
                <w:lang w:eastAsia="pt-PT"/>
              </w:rPr>
            </w:pPr>
            <w:r w:rsidRPr="00153E66">
              <w:rPr>
                <w:sz w:val="20"/>
                <w:szCs w:val="20"/>
                <w:lang w:eastAsia="pt-PT"/>
              </w:rPr>
              <w:t>Aveiro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BF914A1"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5FED6BE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B7488A0" w14:textId="77777777" w:rsidR="003E148C" w:rsidRPr="00153E66" w:rsidRDefault="003E148C" w:rsidP="0026218B">
            <w:pPr>
              <w:rPr>
                <w:sz w:val="20"/>
                <w:szCs w:val="20"/>
                <w:lang w:eastAsia="pt-PT"/>
              </w:rPr>
            </w:pPr>
            <w:r w:rsidRPr="00153E66">
              <w:rPr>
                <w:sz w:val="20"/>
                <w:szCs w:val="20"/>
                <w:lang w:eastAsia="pt-PT"/>
              </w:rPr>
              <w:t>Barreiro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0AA4A33"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7A7BCCA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25173E8" w14:textId="77777777" w:rsidR="003E148C" w:rsidRPr="00153E66" w:rsidRDefault="003E148C" w:rsidP="0026218B">
            <w:pPr>
              <w:rPr>
                <w:sz w:val="20"/>
                <w:szCs w:val="20"/>
                <w:lang w:eastAsia="pt-PT"/>
              </w:rPr>
            </w:pPr>
            <w:r w:rsidRPr="00153E66">
              <w:rPr>
                <w:sz w:val="20"/>
                <w:szCs w:val="20"/>
                <w:lang w:eastAsia="pt-PT"/>
              </w:rPr>
              <w:t>Beja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9D84FD6"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482F1CF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A675C69" w14:textId="77777777" w:rsidR="003E148C" w:rsidRPr="00153E66" w:rsidRDefault="003E148C" w:rsidP="0026218B">
            <w:pPr>
              <w:rPr>
                <w:sz w:val="20"/>
                <w:szCs w:val="20"/>
                <w:lang w:eastAsia="pt-PT"/>
              </w:rPr>
            </w:pPr>
            <w:r w:rsidRPr="00153E66">
              <w:rPr>
                <w:sz w:val="20"/>
                <w:szCs w:val="20"/>
                <w:lang w:eastAsia="pt-PT"/>
              </w:rPr>
              <w:t>Braga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A51336F"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7BBAE12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2760771" w14:textId="77777777" w:rsidR="003E148C" w:rsidRPr="00153E66" w:rsidRDefault="00E31B97" w:rsidP="0026218B">
            <w:pPr>
              <w:rPr>
                <w:sz w:val="20"/>
                <w:szCs w:val="20"/>
                <w:lang w:eastAsia="pt-PT"/>
              </w:rPr>
            </w:pPr>
            <w:hyperlink r:id="rId25" w:history="1">
              <w:r w:rsidR="003E148C" w:rsidRPr="00153E66">
                <w:rPr>
                  <w:sz w:val="20"/>
                  <w:szCs w:val="20"/>
                  <w:lang w:eastAsia="pt-PT"/>
                </w:rPr>
                <w:t>Bragança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508553E"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6BB38C5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B5D30EC" w14:textId="77777777" w:rsidR="003E148C" w:rsidRPr="00153E66" w:rsidRDefault="003E148C" w:rsidP="0026218B">
            <w:pPr>
              <w:rPr>
                <w:sz w:val="20"/>
                <w:szCs w:val="20"/>
                <w:lang w:eastAsia="pt-PT"/>
              </w:rPr>
            </w:pPr>
            <w:r w:rsidRPr="00153E66">
              <w:rPr>
                <w:sz w:val="20"/>
                <w:szCs w:val="20"/>
                <w:lang w:eastAsia="pt-PT"/>
              </w:rPr>
              <w:t>Coimbra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12AA2C7"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69404AF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21C2D4A" w14:textId="77777777" w:rsidR="003E148C" w:rsidRPr="00153E66" w:rsidRDefault="003E148C" w:rsidP="0026218B">
            <w:pPr>
              <w:rPr>
                <w:sz w:val="20"/>
                <w:szCs w:val="20"/>
                <w:lang w:eastAsia="pt-PT"/>
              </w:rPr>
            </w:pPr>
            <w:r w:rsidRPr="00153E66">
              <w:rPr>
                <w:sz w:val="20"/>
                <w:szCs w:val="20"/>
                <w:lang w:eastAsia="pt-PT"/>
              </w:rPr>
              <w:t>Guarda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E024C91"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435BE5C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288BBF9" w14:textId="77777777" w:rsidR="003E148C" w:rsidRPr="00153E66" w:rsidRDefault="003E148C" w:rsidP="0026218B">
            <w:pPr>
              <w:rPr>
                <w:sz w:val="20"/>
                <w:szCs w:val="20"/>
                <w:lang w:eastAsia="pt-PT"/>
              </w:rPr>
            </w:pPr>
            <w:r w:rsidRPr="00153E66">
              <w:rPr>
                <w:sz w:val="20"/>
                <w:szCs w:val="20"/>
                <w:lang w:eastAsia="pt-PT"/>
              </w:rPr>
              <w:t>Lisboa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2A01BEB"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36B3FBA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789FFB8" w14:textId="77777777" w:rsidR="003E148C" w:rsidRPr="00153E66" w:rsidRDefault="00E31B97" w:rsidP="0026218B">
            <w:pPr>
              <w:rPr>
                <w:sz w:val="20"/>
                <w:szCs w:val="20"/>
                <w:lang w:eastAsia="pt-PT"/>
              </w:rPr>
            </w:pPr>
            <w:hyperlink r:id="rId26" w:history="1">
              <w:r w:rsidR="003E148C" w:rsidRPr="00153E66">
                <w:rPr>
                  <w:sz w:val="20"/>
                  <w:szCs w:val="20"/>
                  <w:lang w:eastAsia="pt-PT"/>
                </w:rPr>
                <w:t>Loulé</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424112E"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7E0558F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1CA5617" w14:textId="77777777" w:rsidR="003E148C" w:rsidRPr="00153E66" w:rsidRDefault="003E148C" w:rsidP="0026218B">
            <w:pPr>
              <w:rPr>
                <w:sz w:val="20"/>
                <w:szCs w:val="20"/>
                <w:lang w:eastAsia="pt-PT"/>
              </w:rPr>
            </w:pPr>
            <w:r w:rsidRPr="00153E66">
              <w:rPr>
                <w:sz w:val="20"/>
                <w:szCs w:val="20"/>
                <w:lang w:eastAsia="pt-PT"/>
              </w:rPr>
              <w:t>Moita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A558613"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4D7BB9F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E323826" w14:textId="77777777" w:rsidR="003E148C" w:rsidRPr="00153E66" w:rsidRDefault="003E148C" w:rsidP="0026218B">
            <w:pPr>
              <w:rPr>
                <w:sz w:val="20"/>
                <w:szCs w:val="20"/>
                <w:lang w:eastAsia="pt-PT"/>
              </w:rPr>
            </w:pPr>
            <w:r w:rsidRPr="00153E66">
              <w:rPr>
                <w:sz w:val="20"/>
                <w:szCs w:val="20"/>
                <w:lang w:eastAsia="pt-PT"/>
              </w:rPr>
              <w:t>Sintra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7A0C393"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107D797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E9A1139" w14:textId="77777777" w:rsidR="003E148C" w:rsidRPr="00153E66" w:rsidRDefault="003E148C" w:rsidP="0026218B">
            <w:pPr>
              <w:rPr>
                <w:sz w:val="20"/>
                <w:szCs w:val="20"/>
                <w:lang w:eastAsia="pt-PT"/>
              </w:rPr>
            </w:pPr>
            <w:r w:rsidRPr="00153E66">
              <w:rPr>
                <w:sz w:val="20"/>
                <w:szCs w:val="20"/>
                <w:lang w:eastAsia="pt-PT"/>
              </w:rPr>
              <w:t>Vila Nova de Gaia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7937F0B"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71ADA9D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8AA04CD" w14:textId="77777777" w:rsidR="003E148C" w:rsidRPr="00153E66" w:rsidRDefault="003E148C" w:rsidP="0026218B">
            <w:pPr>
              <w:rPr>
                <w:sz w:val="20"/>
                <w:szCs w:val="20"/>
                <w:lang w:eastAsia="pt-PT"/>
              </w:rPr>
            </w:pPr>
            <w:r w:rsidRPr="00153E66">
              <w:rPr>
                <w:sz w:val="20"/>
                <w:szCs w:val="20"/>
                <w:lang w:eastAsia="pt-PT"/>
              </w:rPr>
              <w:t>Viseu</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D871140" w14:textId="77777777" w:rsidR="003E148C" w:rsidRPr="00153E66" w:rsidRDefault="003E148C" w:rsidP="0026218B">
            <w:pPr>
              <w:rPr>
                <w:sz w:val="20"/>
                <w:szCs w:val="20"/>
                <w:lang w:eastAsia="pt-PT"/>
              </w:rPr>
            </w:pPr>
            <w:r w:rsidRPr="00153E66">
              <w:rPr>
                <w:sz w:val="20"/>
                <w:szCs w:val="20"/>
                <w:lang w:eastAsia="pt-PT"/>
              </w:rPr>
              <w:t>2005</w:t>
            </w:r>
          </w:p>
        </w:tc>
      </w:tr>
      <w:tr w:rsidR="003E148C" w:rsidRPr="00BB71F9" w14:paraId="18D859C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E59F5B9" w14:textId="77777777" w:rsidR="003E148C" w:rsidRPr="00153E66" w:rsidRDefault="003E148C" w:rsidP="0026218B">
            <w:pPr>
              <w:rPr>
                <w:sz w:val="20"/>
                <w:szCs w:val="20"/>
                <w:lang w:eastAsia="pt-PT"/>
              </w:rPr>
            </w:pPr>
            <w:r w:rsidRPr="00153E66">
              <w:rPr>
                <w:sz w:val="20"/>
                <w:szCs w:val="20"/>
                <w:lang w:eastAsia="pt-PT"/>
              </w:rPr>
              <w:t>Angra Do Heroísmo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C3498D7"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4E87D81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EF81F4C" w14:textId="77777777" w:rsidR="003E148C" w:rsidRPr="00153E66" w:rsidRDefault="003E148C" w:rsidP="0026218B">
            <w:pPr>
              <w:rPr>
                <w:sz w:val="20"/>
                <w:szCs w:val="20"/>
                <w:lang w:eastAsia="pt-PT"/>
              </w:rPr>
            </w:pPr>
            <w:r w:rsidRPr="00153E66">
              <w:rPr>
                <w:sz w:val="20"/>
                <w:szCs w:val="20"/>
                <w:lang w:eastAsia="pt-PT"/>
              </w:rPr>
              <w:t>Bombarral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FD58CD0"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09DB417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C7A8E20" w14:textId="77777777" w:rsidR="003E148C" w:rsidRPr="00153E66" w:rsidRDefault="003E148C" w:rsidP="0026218B">
            <w:pPr>
              <w:rPr>
                <w:sz w:val="20"/>
                <w:szCs w:val="20"/>
                <w:lang w:eastAsia="pt-PT"/>
              </w:rPr>
            </w:pPr>
            <w:r w:rsidRPr="00153E66">
              <w:rPr>
                <w:sz w:val="20"/>
                <w:szCs w:val="20"/>
                <w:lang w:eastAsia="pt-PT"/>
              </w:rPr>
              <w:t>Cascais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4AB474E"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4EB1A82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B6B7308" w14:textId="77777777" w:rsidR="003E148C" w:rsidRPr="00153E66" w:rsidRDefault="003E148C" w:rsidP="0026218B">
            <w:pPr>
              <w:rPr>
                <w:sz w:val="20"/>
                <w:szCs w:val="20"/>
                <w:lang w:eastAsia="pt-PT"/>
              </w:rPr>
            </w:pPr>
            <w:r w:rsidRPr="00153E66">
              <w:rPr>
                <w:sz w:val="20"/>
                <w:szCs w:val="20"/>
                <w:lang w:eastAsia="pt-PT"/>
              </w:rPr>
              <w:t>Castelo Branco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428DCF7"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0182810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08CB165" w14:textId="77777777" w:rsidR="003E148C" w:rsidRPr="00153E66" w:rsidRDefault="003E148C" w:rsidP="0026218B">
            <w:pPr>
              <w:rPr>
                <w:sz w:val="20"/>
                <w:szCs w:val="20"/>
                <w:lang w:eastAsia="pt-PT"/>
              </w:rPr>
            </w:pPr>
            <w:r w:rsidRPr="00153E66">
              <w:rPr>
                <w:sz w:val="20"/>
                <w:szCs w:val="20"/>
                <w:lang w:eastAsia="pt-PT"/>
              </w:rPr>
              <w:t>Chaves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07E1F46"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7362B7C4"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69C6653" w14:textId="77777777" w:rsidR="003E148C" w:rsidRPr="00153E66" w:rsidRDefault="00E31B97" w:rsidP="0026218B">
            <w:pPr>
              <w:rPr>
                <w:sz w:val="20"/>
                <w:szCs w:val="20"/>
                <w:lang w:eastAsia="pt-PT"/>
              </w:rPr>
            </w:pPr>
            <w:hyperlink r:id="rId27" w:history="1">
              <w:r w:rsidR="003E148C" w:rsidRPr="00153E66">
                <w:rPr>
                  <w:sz w:val="20"/>
                  <w:szCs w:val="20"/>
                  <w:lang w:eastAsia="pt-PT"/>
                </w:rPr>
                <w:t>Évora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90E4465"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5201E69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D30E293" w14:textId="77777777" w:rsidR="003E148C" w:rsidRPr="00153E66" w:rsidRDefault="003E148C" w:rsidP="0026218B">
            <w:pPr>
              <w:rPr>
                <w:sz w:val="20"/>
                <w:szCs w:val="20"/>
                <w:lang w:eastAsia="pt-PT"/>
              </w:rPr>
            </w:pPr>
            <w:r w:rsidRPr="00153E66">
              <w:rPr>
                <w:sz w:val="20"/>
                <w:szCs w:val="20"/>
                <w:lang w:eastAsia="pt-PT"/>
              </w:rPr>
              <w:t>Faro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770EB5B"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4235041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DF8E5BC" w14:textId="77777777" w:rsidR="003E148C" w:rsidRPr="00153E66" w:rsidRDefault="003E148C" w:rsidP="0026218B">
            <w:pPr>
              <w:rPr>
                <w:sz w:val="20"/>
                <w:szCs w:val="20"/>
                <w:lang w:eastAsia="pt-PT"/>
              </w:rPr>
            </w:pPr>
            <w:r w:rsidRPr="00153E66">
              <w:rPr>
                <w:sz w:val="20"/>
                <w:szCs w:val="20"/>
                <w:lang w:eastAsia="pt-PT"/>
              </w:rPr>
              <w:t>Funchal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09228D3"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77C1B7C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6EAAD3E" w14:textId="77777777" w:rsidR="003E148C" w:rsidRPr="00153E66" w:rsidRDefault="003E148C" w:rsidP="0026218B">
            <w:pPr>
              <w:rPr>
                <w:sz w:val="20"/>
                <w:szCs w:val="20"/>
                <w:lang w:eastAsia="pt-PT"/>
              </w:rPr>
            </w:pPr>
            <w:r w:rsidRPr="00153E66">
              <w:rPr>
                <w:sz w:val="20"/>
                <w:szCs w:val="20"/>
                <w:lang w:eastAsia="pt-PT"/>
              </w:rPr>
              <w:t>Gondomar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404D08D"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70C35BD5"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DB4C946" w14:textId="77777777" w:rsidR="003E148C" w:rsidRPr="00153E66" w:rsidRDefault="003E148C" w:rsidP="0026218B">
            <w:pPr>
              <w:rPr>
                <w:sz w:val="20"/>
                <w:szCs w:val="20"/>
                <w:lang w:eastAsia="pt-PT"/>
              </w:rPr>
            </w:pPr>
            <w:r w:rsidRPr="00153E66">
              <w:rPr>
                <w:sz w:val="20"/>
                <w:szCs w:val="20"/>
                <w:lang w:eastAsia="pt-PT"/>
              </w:rPr>
              <w:t>Guimarães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B9A7D3C"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089B440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1A6F018" w14:textId="77777777" w:rsidR="003E148C" w:rsidRPr="00153E66" w:rsidRDefault="003E148C" w:rsidP="0026218B">
            <w:pPr>
              <w:rPr>
                <w:sz w:val="20"/>
                <w:szCs w:val="20"/>
                <w:lang w:eastAsia="pt-PT"/>
              </w:rPr>
            </w:pPr>
            <w:r w:rsidRPr="00153E66">
              <w:rPr>
                <w:sz w:val="20"/>
                <w:szCs w:val="20"/>
                <w:lang w:eastAsia="pt-PT"/>
              </w:rPr>
              <w:t>Leiria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C5589FB"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69F19D6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78E1603" w14:textId="77777777" w:rsidR="003E148C" w:rsidRPr="00153E66" w:rsidRDefault="003E148C" w:rsidP="0026218B">
            <w:pPr>
              <w:rPr>
                <w:sz w:val="20"/>
                <w:szCs w:val="20"/>
                <w:lang w:eastAsia="pt-PT"/>
              </w:rPr>
            </w:pPr>
            <w:r w:rsidRPr="00153E66">
              <w:rPr>
                <w:sz w:val="20"/>
                <w:szCs w:val="20"/>
                <w:lang w:eastAsia="pt-PT"/>
              </w:rPr>
              <w:t>Maia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0EF5DE3"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0C8B157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530BE13" w14:textId="77777777" w:rsidR="003E148C" w:rsidRPr="00153E66" w:rsidRDefault="003E148C" w:rsidP="0026218B">
            <w:pPr>
              <w:rPr>
                <w:sz w:val="20"/>
                <w:szCs w:val="20"/>
                <w:lang w:eastAsia="pt-PT"/>
              </w:rPr>
            </w:pPr>
            <w:r w:rsidRPr="00153E66">
              <w:rPr>
                <w:sz w:val="20"/>
                <w:szCs w:val="20"/>
                <w:lang w:eastAsia="pt-PT"/>
              </w:rPr>
              <w:t>Odivelas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9F8E58C"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7C7AFAA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EC21A8A" w14:textId="77777777" w:rsidR="003E148C" w:rsidRPr="00153E66" w:rsidRDefault="003E148C" w:rsidP="0026218B">
            <w:pPr>
              <w:rPr>
                <w:sz w:val="20"/>
                <w:szCs w:val="20"/>
                <w:lang w:eastAsia="pt-PT"/>
              </w:rPr>
            </w:pPr>
            <w:r w:rsidRPr="00153E66">
              <w:rPr>
                <w:sz w:val="20"/>
                <w:szCs w:val="20"/>
                <w:lang w:eastAsia="pt-PT"/>
              </w:rPr>
              <w:t>Ponta Delgada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7810A76"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6B0F8708"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4EFA654" w14:textId="77777777" w:rsidR="003E148C" w:rsidRPr="00153E66" w:rsidRDefault="003E148C" w:rsidP="0026218B">
            <w:pPr>
              <w:rPr>
                <w:sz w:val="20"/>
                <w:szCs w:val="20"/>
                <w:lang w:eastAsia="pt-PT"/>
              </w:rPr>
            </w:pPr>
            <w:r w:rsidRPr="00153E66">
              <w:rPr>
                <w:sz w:val="20"/>
                <w:szCs w:val="20"/>
                <w:lang w:eastAsia="pt-PT"/>
              </w:rPr>
              <w:t>Portalegre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8CC9226"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2A44D828"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DBC25D5" w14:textId="77777777" w:rsidR="003E148C" w:rsidRPr="00153E66" w:rsidRDefault="00E31B97" w:rsidP="0026218B">
            <w:pPr>
              <w:rPr>
                <w:sz w:val="20"/>
                <w:szCs w:val="20"/>
                <w:lang w:eastAsia="pt-PT"/>
              </w:rPr>
            </w:pPr>
            <w:hyperlink r:id="rId28" w:history="1">
              <w:r w:rsidR="003E148C" w:rsidRPr="00153E66">
                <w:rPr>
                  <w:sz w:val="20"/>
                  <w:szCs w:val="20"/>
                  <w:lang w:eastAsia="pt-PT"/>
                </w:rPr>
                <w:t>Portimão</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60433D2"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4A7A2E9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E253A58" w14:textId="77777777" w:rsidR="003E148C" w:rsidRPr="00153E66" w:rsidRDefault="003E148C" w:rsidP="0026218B">
            <w:pPr>
              <w:rPr>
                <w:sz w:val="20"/>
                <w:szCs w:val="20"/>
                <w:lang w:eastAsia="pt-PT"/>
              </w:rPr>
            </w:pPr>
            <w:r w:rsidRPr="00153E66">
              <w:rPr>
                <w:sz w:val="20"/>
                <w:szCs w:val="20"/>
                <w:lang w:eastAsia="pt-PT"/>
              </w:rPr>
              <w:t>Porto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53C0434"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170E4A7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C5AE9D8" w14:textId="77777777" w:rsidR="003E148C" w:rsidRPr="00153E66" w:rsidRDefault="00E31B97" w:rsidP="0026218B">
            <w:pPr>
              <w:rPr>
                <w:sz w:val="20"/>
                <w:szCs w:val="20"/>
                <w:lang w:eastAsia="pt-PT"/>
              </w:rPr>
            </w:pPr>
            <w:hyperlink r:id="rId29" w:history="1">
              <w:r w:rsidR="003E148C" w:rsidRPr="00153E66">
                <w:rPr>
                  <w:sz w:val="20"/>
                  <w:szCs w:val="20"/>
                  <w:lang w:eastAsia="pt-PT"/>
                </w:rPr>
                <w:t>Santarém</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6C9CEC5"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66A98F9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A4B641D" w14:textId="77777777" w:rsidR="003E148C" w:rsidRPr="00153E66" w:rsidRDefault="003E148C" w:rsidP="0026218B">
            <w:pPr>
              <w:rPr>
                <w:sz w:val="20"/>
                <w:szCs w:val="20"/>
                <w:lang w:eastAsia="pt-PT"/>
              </w:rPr>
            </w:pPr>
            <w:r w:rsidRPr="00153E66">
              <w:rPr>
                <w:sz w:val="20"/>
                <w:szCs w:val="20"/>
                <w:lang w:eastAsia="pt-PT"/>
              </w:rPr>
              <w:t>São João Da Madeira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94C7ECE" w14:textId="77777777" w:rsidR="003E148C" w:rsidRPr="00153E66" w:rsidRDefault="003E148C" w:rsidP="0026218B">
            <w:pPr>
              <w:rPr>
                <w:sz w:val="20"/>
                <w:szCs w:val="20"/>
                <w:lang w:eastAsia="pt-PT"/>
              </w:rPr>
            </w:pPr>
            <w:r w:rsidRPr="00153E66">
              <w:rPr>
                <w:sz w:val="20"/>
                <w:szCs w:val="20"/>
                <w:lang w:eastAsia="pt-PT"/>
              </w:rPr>
              <w:t>2006</w:t>
            </w:r>
          </w:p>
        </w:tc>
      </w:tr>
      <w:tr w:rsidR="00D42F9A" w:rsidRPr="00BB71F9" w14:paraId="229975B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tcPr>
          <w:p w14:paraId="08B069DB" w14:textId="0292D5D8" w:rsidR="00D42F9A" w:rsidRPr="00153E66" w:rsidRDefault="00D42F9A" w:rsidP="0026218B">
            <w:pPr>
              <w:rPr>
                <w:sz w:val="20"/>
                <w:szCs w:val="20"/>
                <w:lang w:eastAsia="pt-PT"/>
              </w:rPr>
            </w:pPr>
            <w:r w:rsidRPr="00D42F9A">
              <w:rPr>
                <w:sz w:val="20"/>
                <w:szCs w:val="20"/>
                <w:lang w:eastAsia="pt-PT"/>
              </w:rPr>
              <w:t>Setúbal</w:t>
            </w:r>
          </w:p>
        </w:tc>
        <w:tc>
          <w:tcPr>
            <w:tcW w:w="1390" w:type="dxa"/>
            <w:tcBorders>
              <w:top w:val="single" w:sz="6" w:space="0" w:color="auto"/>
              <w:left w:val="single" w:sz="6" w:space="0" w:color="auto"/>
              <w:bottom w:val="single" w:sz="6" w:space="0" w:color="auto"/>
              <w:right w:val="single" w:sz="4" w:space="0" w:color="auto"/>
            </w:tcBorders>
            <w:noWrap/>
            <w:vAlign w:val="bottom"/>
          </w:tcPr>
          <w:p w14:paraId="72D9A4F0" w14:textId="1E300285" w:rsidR="00D42F9A" w:rsidRPr="00153E66" w:rsidRDefault="00D42F9A" w:rsidP="0026218B">
            <w:pPr>
              <w:rPr>
                <w:sz w:val="20"/>
                <w:szCs w:val="20"/>
                <w:lang w:eastAsia="pt-PT"/>
              </w:rPr>
            </w:pPr>
            <w:r>
              <w:rPr>
                <w:sz w:val="20"/>
                <w:szCs w:val="20"/>
                <w:lang w:eastAsia="pt-PT"/>
              </w:rPr>
              <w:t>2006</w:t>
            </w:r>
          </w:p>
        </w:tc>
      </w:tr>
      <w:tr w:rsidR="003E148C" w:rsidRPr="00BB71F9" w14:paraId="3069AACE"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1F7274C" w14:textId="77777777" w:rsidR="003E148C" w:rsidRPr="00153E66" w:rsidRDefault="003E148C" w:rsidP="0026218B">
            <w:pPr>
              <w:rPr>
                <w:sz w:val="20"/>
                <w:szCs w:val="20"/>
                <w:lang w:eastAsia="pt-PT"/>
              </w:rPr>
            </w:pPr>
            <w:r w:rsidRPr="00153E66">
              <w:rPr>
                <w:sz w:val="20"/>
                <w:szCs w:val="20"/>
                <w:lang w:eastAsia="pt-PT"/>
              </w:rPr>
              <w:t>Viana Do Castelo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1AB36FF"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3D7F9A0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0CA7654" w14:textId="77777777" w:rsidR="003E148C" w:rsidRPr="00153E66" w:rsidRDefault="003E148C" w:rsidP="0026218B">
            <w:pPr>
              <w:rPr>
                <w:sz w:val="20"/>
                <w:szCs w:val="20"/>
                <w:lang w:eastAsia="pt-PT"/>
              </w:rPr>
            </w:pPr>
            <w:r w:rsidRPr="00153E66">
              <w:rPr>
                <w:sz w:val="20"/>
                <w:szCs w:val="20"/>
                <w:lang w:eastAsia="pt-PT"/>
              </w:rPr>
              <w:t>Vila Franca De Xira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22A5805"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12516A98"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3459D37" w14:textId="77777777" w:rsidR="003E148C" w:rsidRPr="00153E66" w:rsidRDefault="003E148C" w:rsidP="0026218B">
            <w:pPr>
              <w:rPr>
                <w:sz w:val="20"/>
                <w:szCs w:val="20"/>
                <w:lang w:eastAsia="pt-PT"/>
              </w:rPr>
            </w:pPr>
            <w:r w:rsidRPr="00153E66">
              <w:rPr>
                <w:sz w:val="20"/>
                <w:szCs w:val="20"/>
                <w:lang w:eastAsia="pt-PT"/>
              </w:rPr>
              <w:t>Vila Nova De Cerveira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0AD458A"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3AB60F1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8730A2E" w14:textId="77777777" w:rsidR="003E148C" w:rsidRPr="00153E66" w:rsidRDefault="003E148C" w:rsidP="0026218B">
            <w:pPr>
              <w:rPr>
                <w:sz w:val="20"/>
                <w:szCs w:val="20"/>
                <w:lang w:eastAsia="pt-PT"/>
              </w:rPr>
            </w:pPr>
            <w:r w:rsidRPr="00153E66">
              <w:rPr>
                <w:sz w:val="20"/>
                <w:szCs w:val="20"/>
                <w:lang w:eastAsia="pt-PT"/>
              </w:rPr>
              <w:t>Vila Real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05A7E8F" w14:textId="77777777" w:rsidR="003E148C" w:rsidRPr="00153E66" w:rsidRDefault="003E148C" w:rsidP="0026218B">
            <w:pPr>
              <w:rPr>
                <w:sz w:val="20"/>
                <w:szCs w:val="20"/>
                <w:lang w:eastAsia="pt-PT"/>
              </w:rPr>
            </w:pPr>
            <w:r w:rsidRPr="00153E66">
              <w:rPr>
                <w:sz w:val="20"/>
                <w:szCs w:val="20"/>
                <w:lang w:eastAsia="pt-PT"/>
              </w:rPr>
              <w:t>2006</w:t>
            </w:r>
          </w:p>
        </w:tc>
      </w:tr>
      <w:tr w:rsidR="003E148C" w:rsidRPr="00BB71F9" w14:paraId="4410A424"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56CADDA" w14:textId="77777777" w:rsidR="003E148C" w:rsidRPr="00153E66" w:rsidRDefault="003E148C" w:rsidP="0026218B">
            <w:pPr>
              <w:rPr>
                <w:sz w:val="20"/>
                <w:szCs w:val="20"/>
                <w:lang w:eastAsia="pt-PT"/>
              </w:rPr>
            </w:pPr>
            <w:r w:rsidRPr="00153E66">
              <w:rPr>
                <w:sz w:val="20"/>
                <w:szCs w:val="20"/>
                <w:lang w:eastAsia="pt-PT"/>
              </w:rPr>
              <w:t>Abrantes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5568A9D"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27B9E40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D75E3A0" w14:textId="77777777" w:rsidR="003E148C" w:rsidRPr="00153E66" w:rsidRDefault="00E31B97" w:rsidP="0026218B">
            <w:pPr>
              <w:rPr>
                <w:sz w:val="20"/>
                <w:szCs w:val="20"/>
                <w:lang w:eastAsia="pt-PT"/>
              </w:rPr>
            </w:pPr>
            <w:hyperlink r:id="rId30" w:history="1">
              <w:r w:rsidR="003E148C" w:rsidRPr="00153E66">
                <w:rPr>
                  <w:sz w:val="20"/>
                  <w:szCs w:val="20"/>
                  <w:lang w:eastAsia="pt-PT"/>
                </w:rPr>
                <w:t>Águeda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EAA5634"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322314B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16CCF69" w14:textId="77777777" w:rsidR="003E148C" w:rsidRPr="00153E66" w:rsidRDefault="00E31B97" w:rsidP="0026218B">
            <w:pPr>
              <w:rPr>
                <w:sz w:val="20"/>
                <w:szCs w:val="20"/>
                <w:lang w:eastAsia="pt-PT"/>
              </w:rPr>
            </w:pPr>
            <w:hyperlink r:id="rId31" w:history="1">
              <w:r w:rsidR="003E148C" w:rsidRPr="00153E66">
                <w:rPr>
                  <w:sz w:val="20"/>
                  <w:szCs w:val="20"/>
                  <w:lang w:eastAsia="pt-PT"/>
                </w:rPr>
                <w:t>Alcácer Do Sal</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65DA8D6"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10B9DF2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6DDF3A4" w14:textId="77777777" w:rsidR="003E148C" w:rsidRPr="00153E66" w:rsidRDefault="00E31B97" w:rsidP="0026218B">
            <w:pPr>
              <w:rPr>
                <w:sz w:val="20"/>
                <w:szCs w:val="20"/>
                <w:lang w:eastAsia="pt-PT"/>
              </w:rPr>
            </w:pPr>
            <w:hyperlink r:id="rId32" w:tooltip="Caldas da Rainha" w:history="1">
              <w:r w:rsidR="003E148C" w:rsidRPr="00153E66">
                <w:rPr>
                  <w:sz w:val="20"/>
                  <w:szCs w:val="20"/>
                  <w:lang w:eastAsia="pt-PT"/>
                </w:rPr>
                <w:t>Caldas Da Rainha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BD8A18A"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4162A61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5B1F770" w14:textId="77777777" w:rsidR="003E148C" w:rsidRPr="00153E66" w:rsidRDefault="003E148C" w:rsidP="0026218B">
            <w:pPr>
              <w:rPr>
                <w:sz w:val="20"/>
                <w:szCs w:val="20"/>
                <w:lang w:eastAsia="pt-PT"/>
              </w:rPr>
            </w:pPr>
            <w:r w:rsidRPr="00153E66">
              <w:rPr>
                <w:sz w:val="20"/>
                <w:szCs w:val="20"/>
                <w:lang w:eastAsia="pt-PT"/>
              </w:rPr>
              <w:t>Celorico De Basto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76E6697"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2775C69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089B3A5" w14:textId="77777777" w:rsidR="003E148C" w:rsidRPr="00153E66" w:rsidRDefault="003E148C" w:rsidP="0026218B">
            <w:pPr>
              <w:rPr>
                <w:sz w:val="20"/>
                <w:szCs w:val="20"/>
                <w:lang w:eastAsia="pt-PT"/>
              </w:rPr>
            </w:pPr>
            <w:r w:rsidRPr="00153E66">
              <w:rPr>
                <w:sz w:val="20"/>
                <w:szCs w:val="20"/>
                <w:lang w:eastAsia="pt-PT"/>
              </w:rPr>
              <w:t>Covilhã</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DBD6FC6"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59D88785"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C4F5A20" w14:textId="77777777" w:rsidR="003E148C" w:rsidRPr="00153E66" w:rsidRDefault="003E148C" w:rsidP="0026218B">
            <w:pPr>
              <w:rPr>
                <w:sz w:val="20"/>
                <w:szCs w:val="20"/>
                <w:lang w:eastAsia="pt-PT"/>
              </w:rPr>
            </w:pPr>
            <w:r w:rsidRPr="00153E66">
              <w:rPr>
                <w:sz w:val="20"/>
                <w:szCs w:val="20"/>
                <w:lang w:eastAsia="pt-PT"/>
              </w:rPr>
              <w:t>Elvas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B417955"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54862AD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2D3EAC2" w14:textId="77777777" w:rsidR="003E148C" w:rsidRPr="00153E66" w:rsidRDefault="003E148C" w:rsidP="0026218B">
            <w:pPr>
              <w:rPr>
                <w:sz w:val="20"/>
                <w:szCs w:val="20"/>
                <w:lang w:eastAsia="pt-PT"/>
              </w:rPr>
            </w:pPr>
            <w:r w:rsidRPr="00153E66">
              <w:rPr>
                <w:sz w:val="20"/>
                <w:szCs w:val="20"/>
                <w:lang w:eastAsia="pt-PT"/>
              </w:rPr>
              <w:t>Estremoz</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6E1EE76"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2D8C249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A264B41" w14:textId="77777777" w:rsidR="003E148C" w:rsidRPr="00153E66" w:rsidRDefault="003E148C" w:rsidP="0026218B">
            <w:pPr>
              <w:rPr>
                <w:sz w:val="20"/>
                <w:szCs w:val="20"/>
                <w:lang w:eastAsia="pt-PT"/>
              </w:rPr>
            </w:pPr>
            <w:r w:rsidRPr="00153E66">
              <w:rPr>
                <w:sz w:val="20"/>
                <w:szCs w:val="20"/>
                <w:lang w:eastAsia="pt-PT"/>
              </w:rPr>
              <w:t>Figueira da Foz</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A21CB96"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0AA312F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46397CE" w14:textId="77777777" w:rsidR="003E148C" w:rsidRPr="00153E66" w:rsidRDefault="00E31B97" w:rsidP="0026218B">
            <w:pPr>
              <w:rPr>
                <w:sz w:val="20"/>
                <w:szCs w:val="20"/>
                <w:lang w:eastAsia="pt-PT"/>
              </w:rPr>
            </w:pPr>
            <w:hyperlink r:id="rId33" w:history="1">
              <w:r w:rsidR="003E148C" w:rsidRPr="00153E66">
                <w:rPr>
                  <w:sz w:val="20"/>
                  <w:szCs w:val="20"/>
                  <w:lang w:eastAsia="pt-PT"/>
                </w:rPr>
                <w:t>Fornos De Algodres</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BC39E77" w14:textId="77777777" w:rsidR="003E148C" w:rsidRPr="00153E66" w:rsidRDefault="003E148C" w:rsidP="0026218B">
            <w:pPr>
              <w:rPr>
                <w:sz w:val="20"/>
                <w:szCs w:val="20"/>
                <w:lang w:eastAsia="pt-PT"/>
              </w:rPr>
            </w:pPr>
            <w:r w:rsidRPr="00153E66">
              <w:rPr>
                <w:sz w:val="20"/>
                <w:szCs w:val="20"/>
                <w:lang w:eastAsia="pt-PT"/>
              </w:rPr>
              <w:t>2007</w:t>
            </w:r>
          </w:p>
        </w:tc>
      </w:tr>
      <w:tr w:rsidR="00F64F03" w:rsidRPr="00BB71F9" w14:paraId="22FC4DE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tcPr>
          <w:p w14:paraId="3443F7C0" w14:textId="300D01B5" w:rsidR="00F64F03" w:rsidRPr="001D2D8B" w:rsidRDefault="00F64F03" w:rsidP="0026218B">
            <w:pPr>
              <w:rPr>
                <w:sz w:val="20"/>
                <w:szCs w:val="20"/>
                <w:lang w:eastAsia="pt-PT"/>
              </w:rPr>
            </w:pPr>
            <w:r w:rsidRPr="001D2D8B">
              <w:rPr>
                <w:sz w:val="20"/>
                <w:szCs w:val="20"/>
                <w:lang w:eastAsia="pt-PT"/>
              </w:rPr>
              <w:t>Grândola</w:t>
            </w:r>
          </w:p>
        </w:tc>
        <w:tc>
          <w:tcPr>
            <w:tcW w:w="1390" w:type="dxa"/>
            <w:tcBorders>
              <w:top w:val="single" w:sz="6" w:space="0" w:color="auto"/>
              <w:left w:val="single" w:sz="6" w:space="0" w:color="auto"/>
              <w:bottom w:val="single" w:sz="6" w:space="0" w:color="auto"/>
              <w:right w:val="single" w:sz="4" w:space="0" w:color="auto"/>
            </w:tcBorders>
            <w:noWrap/>
            <w:vAlign w:val="bottom"/>
          </w:tcPr>
          <w:p w14:paraId="2E84429D" w14:textId="796CF9E0" w:rsidR="00F64F03" w:rsidRPr="00153E66" w:rsidRDefault="00F64F03" w:rsidP="0026218B">
            <w:pPr>
              <w:rPr>
                <w:sz w:val="20"/>
                <w:szCs w:val="20"/>
                <w:lang w:eastAsia="pt-PT"/>
              </w:rPr>
            </w:pPr>
            <w:r>
              <w:rPr>
                <w:sz w:val="20"/>
                <w:szCs w:val="20"/>
                <w:lang w:eastAsia="pt-PT"/>
              </w:rPr>
              <w:t>2007</w:t>
            </w:r>
          </w:p>
        </w:tc>
      </w:tr>
      <w:tr w:rsidR="003E148C" w:rsidRPr="00BB71F9" w14:paraId="4D4FEF4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D1BA8D5" w14:textId="77777777" w:rsidR="003E148C" w:rsidRPr="00153E66" w:rsidRDefault="003E148C" w:rsidP="0026218B">
            <w:pPr>
              <w:rPr>
                <w:sz w:val="20"/>
                <w:szCs w:val="20"/>
                <w:lang w:eastAsia="pt-PT"/>
              </w:rPr>
            </w:pPr>
            <w:r w:rsidRPr="00153E66">
              <w:rPr>
                <w:sz w:val="20"/>
                <w:szCs w:val="20"/>
                <w:lang w:eastAsia="pt-PT"/>
              </w:rPr>
              <w:t>Horta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928CD12"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0AF3B2AF"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E9B3211" w14:textId="77777777" w:rsidR="003E148C" w:rsidRPr="00153E66" w:rsidRDefault="003E148C" w:rsidP="0026218B">
            <w:pPr>
              <w:rPr>
                <w:sz w:val="20"/>
                <w:szCs w:val="20"/>
                <w:lang w:eastAsia="pt-PT"/>
              </w:rPr>
            </w:pPr>
            <w:r w:rsidRPr="00153E66">
              <w:rPr>
                <w:sz w:val="20"/>
                <w:szCs w:val="20"/>
                <w:lang w:eastAsia="pt-PT"/>
              </w:rPr>
              <w:t>Lagos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2DC5D49"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6DC45B0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21A8C1C" w14:textId="77777777" w:rsidR="003E148C" w:rsidRPr="00153E66" w:rsidRDefault="003E148C" w:rsidP="0026218B">
            <w:pPr>
              <w:rPr>
                <w:sz w:val="20"/>
                <w:szCs w:val="20"/>
                <w:lang w:eastAsia="pt-PT"/>
              </w:rPr>
            </w:pPr>
            <w:r w:rsidRPr="00153E66">
              <w:rPr>
                <w:sz w:val="20"/>
                <w:szCs w:val="20"/>
                <w:lang w:eastAsia="pt-PT"/>
              </w:rPr>
              <w:t>Lamego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F7DF248"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4470EF7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0E59941" w14:textId="6FDB73ED" w:rsidR="003E148C" w:rsidRPr="00153E66" w:rsidRDefault="003E148C" w:rsidP="0026218B">
            <w:pPr>
              <w:rPr>
                <w:sz w:val="20"/>
                <w:szCs w:val="20"/>
                <w:lang w:eastAsia="pt-PT"/>
              </w:rPr>
            </w:pPr>
            <w:r w:rsidRPr="00153E66">
              <w:rPr>
                <w:sz w:val="20"/>
                <w:szCs w:val="20"/>
                <w:lang w:eastAsia="pt-PT"/>
              </w:rPr>
              <w:t>Mirandel</w:t>
            </w:r>
            <w:r w:rsidR="002F680C">
              <w:rPr>
                <w:sz w:val="20"/>
                <w:szCs w:val="20"/>
                <w:lang w:eastAsia="pt-PT"/>
              </w:rPr>
              <w:t>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3350797" w14:textId="77777777" w:rsidR="003E148C" w:rsidRPr="00153E66" w:rsidRDefault="003E148C" w:rsidP="0026218B">
            <w:pPr>
              <w:rPr>
                <w:sz w:val="20"/>
                <w:szCs w:val="20"/>
                <w:lang w:eastAsia="pt-PT"/>
              </w:rPr>
            </w:pPr>
            <w:r w:rsidRPr="00153E66">
              <w:rPr>
                <w:sz w:val="20"/>
                <w:szCs w:val="20"/>
                <w:lang w:eastAsia="pt-PT"/>
              </w:rPr>
              <w:t>2007</w:t>
            </w:r>
          </w:p>
        </w:tc>
      </w:tr>
      <w:tr w:rsidR="000E70B3" w:rsidRPr="00BB71F9" w14:paraId="650E9E28"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tcPr>
          <w:p w14:paraId="7885519E" w14:textId="73925565" w:rsidR="000E70B3" w:rsidRPr="00153E66" w:rsidRDefault="000E70B3" w:rsidP="0026218B">
            <w:pPr>
              <w:rPr>
                <w:sz w:val="20"/>
                <w:szCs w:val="20"/>
                <w:lang w:eastAsia="pt-PT"/>
              </w:rPr>
            </w:pPr>
            <w:r w:rsidRPr="000E70B3">
              <w:rPr>
                <w:sz w:val="20"/>
                <w:szCs w:val="20"/>
                <w:lang w:eastAsia="pt-PT"/>
              </w:rPr>
              <w:t>Monção</w:t>
            </w:r>
          </w:p>
        </w:tc>
        <w:tc>
          <w:tcPr>
            <w:tcW w:w="1390" w:type="dxa"/>
            <w:tcBorders>
              <w:top w:val="single" w:sz="6" w:space="0" w:color="auto"/>
              <w:left w:val="single" w:sz="6" w:space="0" w:color="auto"/>
              <w:bottom w:val="single" w:sz="6" w:space="0" w:color="auto"/>
              <w:right w:val="single" w:sz="4" w:space="0" w:color="auto"/>
            </w:tcBorders>
            <w:noWrap/>
            <w:vAlign w:val="bottom"/>
          </w:tcPr>
          <w:p w14:paraId="2D9916DB" w14:textId="03F5D334" w:rsidR="000E70B3" w:rsidRPr="00153E66" w:rsidRDefault="000E70B3" w:rsidP="0026218B">
            <w:pPr>
              <w:rPr>
                <w:sz w:val="20"/>
                <w:szCs w:val="20"/>
                <w:lang w:eastAsia="pt-PT"/>
              </w:rPr>
            </w:pPr>
            <w:r>
              <w:rPr>
                <w:sz w:val="20"/>
                <w:szCs w:val="20"/>
                <w:lang w:eastAsia="pt-PT"/>
              </w:rPr>
              <w:t>2007</w:t>
            </w:r>
          </w:p>
        </w:tc>
      </w:tr>
      <w:tr w:rsidR="003E148C" w:rsidRPr="00BB71F9" w14:paraId="31E448C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88AB66E" w14:textId="77777777" w:rsidR="003E148C" w:rsidRPr="00153E66" w:rsidRDefault="00E31B97" w:rsidP="0026218B">
            <w:pPr>
              <w:rPr>
                <w:sz w:val="20"/>
                <w:szCs w:val="20"/>
                <w:lang w:eastAsia="pt-PT"/>
              </w:rPr>
            </w:pPr>
            <w:hyperlink r:id="rId34" w:tooltip="Montemor-o-Novo" w:history="1">
              <w:r w:rsidR="003E148C" w:rsidRPr="00153E66">
                <w:rPr>
                  <w:sz w:val="20"/>
                  <w:szCs w:val="20"/>
                  <w:lang w:eastAsia="pt-PT"/>
                </w:rPr>
                <w:t>Montemor-O-Novo</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C855395"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76CA7B4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C845405" w14:textId="77777777" w:rsidR="003E148C" w:rsidRPr="00153E66" w:rsidRDefault="003E148C" w:rsidP="0026218B">
            <w:pPr>
              <w:rPr>
                <w:sz w:val="20"/>
                <w:szCs w:val="20"/>
                <w:lang w:eastAsia="pt-PT"/>
              </w:rPr>
            </w:pPr>
            <w:r w:rsidRPr="00153E66">
              <w:rPr>
                <w:sz w:val="20"/>
                <w:szCs w:val="20"/>
                <w:lang w:eastAsia="pt-PT"/>
              </w:rPr>
              <w:t>Oliveira do Bairro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B9824D9"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60C6C02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0E89348" w14:textId="77777777" w:rsidR="003E148C" w:rsidRPr="00153E66" w:rsidRDefault="003E148C" w:rsidP="0026218B">
            <w:pPr>
              <w:rPr>
                <w:sz w:val="20"/>
                <w:szCs w:val="20"/>
                <w:lang w:eastAsia="pt-PT"/>
              </w:rPr>
            </w:pPr>
            <w:r w:rsidRPr="00153E66">
              <w:rPr>
                <w:sz w:val="20"/>
                <w:szCs w:val="20"/>
                <w:lang w:eastAsia="pt-PT"/>
              </w:rPr>
              <w:t>Pombal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567236D"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3713242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3C64A72" w14:textId="67CF9BAC" w:rsidR="003E148C" w:rsidRPr="00153E66" w:rsidRDefault="003E148C" w:rsidP="0026218B">
            <w:pPr>
              <w:rPr>
                <w:sz w:val="20"/>
                <w:szCs w:val="20"/>
                <w:lang w:eastAsia="pt-PT"/>
              </w:rPr>
            </w:pPr>
            <w:r w:rsidRPr="00153E66">
              <w:rPr>
                <w:sz w:val="20"/>
                <w:szCs w:val="20"/>
                <w:lang w:eastAsia="pt-PT"/>
              </w:rPr>
              <w:t>Santiago</w:t>
            </w:r>
            <w:r w:rsidR="005B2B73">
              <w:rPr>
                <w:sz w:val="20"/>
                <w:szCs w:val="20"/>
                <w:lang w:eastAsia="pt-PT"/>
              </w:rPr>
              <w:t xml:space="preserve"> </w:t>
            </w:r>
            <w:r w:rsidR="005B2B73" w:rsidRPr="005B2B73">
              <w:rPr>
                <w:sz w:val="20"/>
                <w:szCs w:val="20"/>
                <w:lang w:eastAsia="pt-PT"/>
              </w:rPr>
              <w:t>do Cacém</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922CCAF"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043EFA5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45F9A93" w14:textId="77777777" w:rsidR="003E148C" w:rsidRPr="00153E66" w:rsidRDefault="003E148C" w:rsidP="0026218B">
            <w:pPr>
              <w:rPr>
                <w:sz w:val="20"/>
                <w:szCs w:val="20"/>
                <w:lang w:eastAsia="pt-PT"/>
              </w:rPr>
            </w:pPr>
            <w:r w:rsidRPr="00153E66">
              <w:rPr>
                <w:sz w:val="20"/>
                <w:szCs w:val="20"/>
                <w:lang w:eastAsia="pt-PT"/>
              </w:rPr>
              <w:t>Seia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2B9FD81" w14:textId="77777777" w:rsidR="003E148C" w:rsidRPr="00153E66" w:rsidRDefault="003E148C" w:rsidP="0026218B">
            <w:pPr>
              <w:rPr>
                <w:sz w:val="20"/>
                <w:szCs w:val="20"/>
                <w:lang w:eastAsia="pt-PT"/>
              </w:rPr>
            </w:pPr>
            <w:r w:rsidRPr="00153E66">
              <w:rPr>
                <w:sz w:val="20"/>
                <w:szCs w:val="20"/>
                <w:lang w:eastAsia="pt-PT"/>
              </w:rPr>
              <w:t>2007</w:t>
            </w:r>
          </w:p>
        </w:tc>
      </w:tr>
      <w:tr w:rsidR="00213949" w:rsidRPr="00BB71F9" w14:paraId="2C1D072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tcPr>
          <w:p w14:paraId="0FDC3A44" w14:textId="7D7C4639" w:rsidR="00213949" w:rsidRPr="00153E66" w:rsidRDefault="00213949" w:rsidP="0026218B">
            <w:pPr>
              <w:rPr>
                <w:sz w:val="20"/>
                <w:szCs w:val="20"/>
                <w:lang w:eastAsia="pt-PT"/>
              </w:rPr>
            </w:pPr>
            <w:r>
              <w:rPr>
                <w:sz w:val="20"/>
                <w:szCs w:val="20"/>
                <w:lang w:eastAsia="pt-PT"/>
              </w:rPr>
              <w:t>Serta</w:t>
            </w:r>
          </w:p>
        </w:tc>
        <w:tc>
          <w:tcPr>
            <w:tcW w:w="1390" w:type="dxa"/>
            <w:tcBorders>
              <w:top w:val="single" w:sz="6" w:space="0" w:color="auto"/>
              <w:left w:val="single" w:sz="6" w:space="0" w:color="auto"/>
              <w:bottom w:val="single" w:sz="6" w:space="0" w:color="auto"/>
              <w:right w:val="single" w:sz="4" w:space="0" w:color="auto"/>
            </w:tcBorders>
            <w:noWrap/>
            <w:vAlign w:val="bottom"/>
          </w:tcPr>
          <w:p w14:paraId="0EB40B2A" w14:textId="106554FD" w:rsidR="00213949" w:rsidRPr="00153E66" w:rsidRDefault="00213949" w:rsidP="0026218B">
            <w:pPr>
              <w:rPr>
                <w:sz w:val="20"/>
                <w:szCs w:val="20"/>
                <w:lang w:eastAsia="pt-PT"/>
              </w:rPr>
            </w:pPr>
            <w:r>
              <w:rPr>
                <w:sz w:val="20"/>
                <w:szCs w:val="20"/>
                <w:lang w:eastAsia="pt-PT"/>
              </w:rPr>
              <w:t>2007</w:t>
            </w:r>
          </w:p>
        </w:tc>
      </w:tr>
      <w:tr w:rsidR="003E148C" w:rsidRPr="00BB71F9" w14:paraId="226E82B5"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F1658C1" w14:textId="77777777" w:rsidR="003E148C" w:rsidRPr="00153E66" w:rsidRDefault="003E148C" w:rsidP="0026218B">
            <w:pPr>
              <w:rPr>
                <w:sz w:val="20"/>
                <w:szCs w:val="20"/>
                <w:lang w:eastAsia="pt-PT"/>
              </w:rPr>
            </w:pPr>
            <w:r w:rsidRPr="00153E66">
              <w:rPr>
                <w:sz w:val="20"/>
                <w:szCs w:val="20"/>
                <w:lang w:eastAsia="pt-PT"/>
              </w:rPr>
              <w:t>Tomar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757E811"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2548AC7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4992BE1" w14:textId="4780890A" w:rsidR="003E148C" w:rsidRPr="00153E66" w:rsidRDefault="003E148C" w:rsidP="0026218B">
            <w:pPr>
              <w:rPr>
                <w:sz w:val="20"/>
                <w:szCs w:val="20"/>
                <w:lang w:eastAsia="pt-PT"/>
              </w:rPr>
            </w:pPr>
            <w:r w:rsidRPr="00153E66">
              <w:rPr>
                <w:sz w:val="20"/>
                <w:szCs w:val="20"/>
                <w:lang w:eastAsia="pt-PT"/>
              </w:rPr>
              <w:t>Torres V</w:t>
            </w:r>
            <w:r w:rsidR="00213949">
              <w:rPr>
                <w:sz w:val="20"/>
                <w:szCs w:val="20"/>
                <w:lang w:eastAsia="pt-PT"/>
              </w:rPr>
              <w:t>edras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3350D37"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2CB1E5B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00DB8AF" w14:textId="77777777" w:rsidR="003E148C" w:rsidRPr="00153E66" w:rsidRDefault="003E148C" w:rsidP="0026218B">
            <w:pPr>
              <w:rPr>
                <w:sz w:val="20"/>
                <w:szCs w:val="20"/>
                <w:lang w:eastAsia="pt-PT"/>
              </w:rPr>
            </w:pPr>
            <w:r w:rsidRPr="00153E66">
              <w:rPr>
                <w:sz w:val="20"/>
                <w:szCs w:val="20"/>
                <w:lang w:eastAsia="pt-PT"/>
              </w:rPr>
              <w:t>Vila Do Conde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97305C9" w14:textId="77777777" w:rsidR="003E148C" w:rsidRPr="00153E66" w:rsidRDefault="003E148C" w:rsidP="0026218B">
            <w:pPr>
              <w:rPr>
                <w:sz w:val="20"/>
                <w:szCs w:val="20"/>
                <w:lang w:eastAsia="pt-PT"/>
              </w:rPr>
            </w:pPr>
            <w:r w:rsidRPr="00153E66">
              <w:rPr>
                <w:sz w:val="20"/>
                <w:szCs w:val="20"/>
                <w:lang w:eastAsia="pt-PT"/>
              </w:rPr>
              <w:t>2007</w:t>
            </w:r>
          </w:p>
        </w:tc>
      </w:tr>
      <w:tr w:rsidR="00402F7D" w:rsidRPr="00BB71F9" w14:paraId="6C2F4A1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tcPr>
          <w:p w14:paraId="18FD2DF4" w14:textId="2EDB1456" w:rsidR="00402F7D" w:rsidRPr="00153E66" w:rsidRDefault="00402F7D" w:rsidP="0026218B">
            <w:pPr>
              <w:rPr>
                <w:sz w:val="20"/>
                <w:szCs w:val="20"/>
                <w:lang w:eastAsia="pt-PT"/>
              </w:rPr>
            </w:pPr>
            <w:r w:rsidRPr="00402F7D">
              <w:rPr>
                <w:sz w:val="20"/>
                <w:szCs w:val="20"/>
                <w:lang w:eastAsia="pt-PT"/>
              </w:rPr>
              <w:t>Vila Nova de Famalicão</w:t>
            </w:r>
          </w:p>
        </w:tc>
        <w:tc>
          <w:tcPr>
            <w:tcW w:w="1390" w:type="dxa"/>
            <w:tcBorders>
              <w:top w:val="single" w:sz="6" w:space="0" w:color="auto"/>
              <w:left w:val="single" w:sz="6" w:space="0" w:color="auto"/>
              <w:bottom w:val="single" w:sz="6" w:space="0" w:color="auto"/>
              <w:right w:val="single" w:sz="4" w:space="0" w:color="auto"/>
            </w:tcBorders>
            <w:noWrap/>
            <w:vAlign w:val="bottom"/>
          </w:tcPr>
          <w:p w14:paraId="43D8B89D" w14:textId="4AE2FF53" w:rsidR="00402F7D" w:rsidRPr="00153E66" w:rsidRDefault="00402F7D" w:rsidP="0026218B">
            <w:pPr>
              <w:rPr>
                <w:sz w:val="20"/>
                <w:szCs w:val="20"/>
                <w:lang w:eastAsia="pt-PT"/>
              </w:rPr>
            </w:pPr>
            <w:r>
              <w:rPr>
                <w:sz w:val="20"/>
                <w:szCs w:val="20"/>
                <w:lang w:eastAsia="pt-PT"/>
              </w:rPr>
              <w:t>2007</w:t>
            </w:r>
          </w:p>
        </w:tc>
      </w:tr>
      <w:tr w:rsidR="003E148C" w:rsidRPr="00BB71F9" w14:paraId="16929854"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FC71E7C" w14:textId="77777777" w:rsidR="003E148C" w:rsidRPr="0067536C" w:rsidRDefault="003E148C" w:rsidP="0026218B">
            <w:pPr>
              <w:rPr>
                <w:sz w:val="20"/>
                <w:szCs w:val="20"/>
                <w:lang w:val="pt-PT" w:eastAsia="pt-PT"/>
              </w:rPr>
            </w:pPr>
            <w:r w:rsidRPr="0067536C">
              <w:rPr>
                <w:sz w:val="20"/>
                <w:szCs w:val="20"/>
                <w:lang w:val="pt-PT" w:eastAsia="pt-PT"/>
              </w:rPr>
              <w:t xml:space="preserve">Vila Nova de Foz </w:t>
            </w:r>
            <w:hyperlink r:id="rId35" w:history="1">
              <w:r w:rsidRPr="0067536C">
                <w:rPr>
                  <w:sz w:val="20"/>
                  <w:szCs w:val="20"/>
                  <w:lang w:val="pt-PT" w:eastAsia="pt-PT"/>
                </w:rPr>
                <w:t>Côa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4E955EF"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06A5B83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0EA9494" w14:textId="77777777" w:rsidR="003E148C" w:rsidRPr="0067536C" w:rsidRDefault="00E31B97" w:rsidP="0026218B">
            <w:pPr>
              <w:rPr>
                <w:sz w:val="20"/>
                <w:szCs w:val="20"/>
                <w:lang w:val="pt-PT" w:eastAsia="pt-PT"/>
              </w:rPr>
            </w:pPr>
            <w:hyperlink r:id="rId36" w:tooltip="Vila Real de Santo António" w:history="1">
              <w:r w:rsidR="003E148C" w:rsidRPr="0067536C">
                <w:rPr>
                  <w:sz w:val="20"/>
                  <w:szCs w:val="20"/>
                  <w:lang w:val="pt-PT" w:eastAsia="pt-PT"/>
                </w:rPr>
                <w:t>Vila Real De Santo António</w:t>
              </w:r>
            </w:hyperlink>
            <w:r w:rsidR="003E148C" w:rsidRPr="0067536C">
              <w:rPr>
                <w:sz w:val="20"/>
                <w:szCs w:val="20"/>
                <w:lang w:val="pt-PT" w:eastAsia="pt-PT"/>
              </w:rPr>
              <w:t xml:space="preserve"> </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2529EE0" w14:textId="77777777" w:rsidR="003E148C" w:rsidRPr="00153E66" w:rsidRDefault="003E148C" w:rsidP="0026218B">
            <w:pPr>
              <w:rPr>
                <w:sz w:val="20"/>
                <w:szCs w:val="20"/>
                <w:lang w:eastAsia="pt-PT"/>
              </w:rPr>
            </w:pPr>
            <w:r w:rsidRPr="00153E66">
              <w:rPr>
                <w:sz w:val="20"/>
                <w:szCs w:val="20"/>
                <w:lang w:eastAsia="pt-PT"/>
              </w:rPr>
              <w:t>2007</w:t>
            </w:r>
          </w:p>
        </w:tc>
      </w:tr>
      <w:tr w:rsidR="003E148C" w:rsidRPr="00BB71F9" w14:paraId="39A1A5F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E97E7D9" w14:textId="77777777" w:rsidR="003E148C" w:rsidRPr="00153E66" w:rsidRDefault="00E31B97" w:rsidP="0026218B">
            <w:pPr>
              <w:rPr>
                <w:sz w:val="20"/>
                <w:szCs w:val="20"/>
                <w:lang w:eastAsia="pt-PT"/>
              </w:rPr>
            </w:pPr>
            <w:hyperlink r:id="rId37" w:history="1">
              <w:r w:rsidR="003E148C" w:rsidRPr="00153E66">
                <w:rPr>
                  <w:sz w:val="20"/>
                  <w:szCs w:val="20"/>
                  <w:lang w:eastAsia="pt-PT"/>
                </w:rPr>
                <w:t>Alcobaça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4A64493"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7C81730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968405C" w14:textId="77777777" w:rsidR="003E148C" w:rsidRPr="00153E66" w:rsidRDefault="003E148C" w:rsidP="0026218B">
            <w:pPr>
              <w:rPr>
                <w:sz w:val="20"/>
                <w:szCs w:val="20"/>
                <w:lang w:eastAsia="pt-PT"/>
              </w:rPr>
            </w:pPr>
            <w:r w:rsidRPr="00153E66">
              <w:rPr>
                <w:sz w:val="20"/>
                <w:szCs w:val="20"/>
                <w:lang w:eastAsia="pt-PT"/>
              </w:rPr>
              <w:t>Alfândega da Fé</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F79BE2B"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2C6FA78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D26B3AE" w14:textId="77777777" w:rsidR="003E148C" w:rsidRPr="00153E66" w:rsidRDefault="003E148C" w:rsidP="0026218B">
            <w:pPr>
              <w:rPr>
                <w:sz w:val="20"/>
                <w:szCs w:val="20"/>
                <w:lang w:eastAsia="pt-PT"/>
              </w:rPr>
            </w:pPr>
            <w:r w:rsidRPr="00153E66">
              <w:rPr>
                <w:sz w:val="20"/>
                <w:szCs w:val="20"/>
                <w:lang w:eastAsia="pt-PT"/>
              </w:rPr>
              <w:t>Aljezur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0C7CF7D"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74493C3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279E970" w14:textId="77777777" w:rsidR="003E148C" w:rsidRPr="00153E66" w:rsidRDefault="003E148C" w:rsidP="0026218B">
            <w:pPr>
              <w:rPr>
                <w:sz w:val="20"/>
                <w:szCs w:val="20"/>
                <w:lang w:eastAsia="pt-PT"/>
              </w:rPr>
            </w:pPr>
            <w:r w:rsidRPr="00153E66">
              <w:rPr>
                <w:sz w:val="20"/>
                <w:szCs w:val="20"/>
                <w:lang w:eastAsia="pt-PT"/>
              </w:rPr>
              <w:t>Aljustrel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9FD44E8"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444B52B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898E6B3" w14:textId="77777777" w:rsidR="003E148C" w:rsidRPr="00153E66" w:rsidRDefault="003E148C" w:rsidP="0026218B">
            <w:pPr>
              <w:rPr>
                <w:sz w:val="20"/>
                <w:szCs w:val="20"/>
                <w:lang w:eastAsia="pt-PT"/>
              </w:rPr>
            </w:pPr>
            <w:r w:rsidRPr="00153E66">
              <w:rPr>
                <w:sz w:val="20"/>
                <w:szCs w:val="20"/>
                <w:lang w:eastAsia="pt-PT"/>
              </w:rPr>
              <w:t>Almada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CD7224A"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2166BEE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8B1FF0B" w14:textId="77777777" w:rsidR="003E148C" w:rsidRPr="00153E66" w:rsidRDefault="003E148C" w:rsidP="0026218B">
            <w:pPr>
              <w:rPr>
                <w:sz w:val="20"/>
                <w:szCs w:val="20"/>
                <w:lang w:eastAsia="pt-PT"/>
              </w:rPr>
            </w:pPr>
            <w:r w:rsidRPr="00153E66">
              <w:rPr>
                <w:sz w:val="20"/>
                <w:szCs w:val="20"/>
                <w:lang w:eastAsia="pt-PT"/>
              </w:rPr>
              <w:t>Almeida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F920F6D"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21F35EE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DB6C349" w14:textId="77777777" w:rsidR="003E148C" w:rsidRPr="00153E66" w:rsidRDefault="003E148C" w:rsidP="0026218B">
            <w:pPr>
              <w:rPr>
                <w:sz w:val="20"/>
                <w:szCs w:val="20"/>
                <w:lang w:eastAsia="pt-PT"/>
              </w:rPr>
            </w:pPr>
            <w:r w:rsidRPr="00153E66">
              <w:rPr>
                <w:sz w:val="20"/>
                <w:szCs w:val="20"/>
                <w:lang w:eastAsia="pt-PT"/>
              </w:rPr>
              <w:t>Cantanhede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76ED522"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78D0033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08BBC4D" w14:textId="77777777" w:rsidR="003E148C" w:rsidRPr="00153E66" w:rsidRDefault="003E148C" w:rsidP="0026218B">
            <w:pPr>
              <w:rPr>
                <w:sz w:val="20"/>
                <w:szCs w:val="20"/>
                <w:lang w:eastAsia="pt-PT"/>
              </w:rPr>
            </w:pPr>
            <w:r w:rsidRPr="00153E66">
              <w:rPr>
                <w:sz w:val="20"/>
                <w:szCs w:val="20"/>
                <w:lang w:eastAsia="pt-PT"/>
              </w:rPr>
              <w:t>Espinho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BC3924A"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754AEFFE"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F172E43" w14:textId="77777777" w:rsidR="003E148C" w:rsidRPr="00153E66" w:rsidRDefault="003E148C" w:rsidP="0026218B">
            <w:pPr>
              <w:rPr>
                <w:sz w:val="20"/>
                <w:szCs w:val="20"/>
                <w:lang w:eastAsia="pt-PT"/>
              </w:rPr>
            </w:pPr>
            <w:r w:rsidRPr="00153E66">
              <w:rPr>
                <w:sz w:val="20"/>
                <w:szCs w:val="20"/>
                <w:lang w:eastAsia="pt-PT"/>
              </w:rPr>
              <w:t>Fafe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756BADA"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7CC25D0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6E5E952" w14:textId="77777777" w:rsidR="003E148C" w:rsidRPr="00153E66" w:rsidRDefault="003E148C" w:rsidP="0026218B">
            <w:pPr>
              <w:rPr>
                <w:sz w:val="20"/>
                <w:szCs w:val="20"/>
                <w:lang w:eastAsia="pt-PT"/>
              </w:rPr>
            </w:pPr>
            <w:r w:rsidRPr="00153E66">
              <w:rPr>
                <w:sz w:val="20"/>
                <w:szCs w:val="20"/>
                <w:lang w:eastAsia="pt-PT"/>
              </w:rPr>
              <w:t>Felgueiras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D34C6FB"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4FF53EE4"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776D6B0" w14:textId="77777777" w:rsidR="003E148C" w:rsidRPr="00153E66" w:rsidRDefault="003E148C" w:rsidP="0026218B">
            <w:pPr>
              <w:rPr>
                <w:sz w:val="20"/>
                <w:szCs w:val="20"/>
                <w:lang w:eastAsia="pt-PT"/>
              </w:rPr>
            </w:pPr>
            <w:r w:rsidRPr="00153E66">
              <w:rPr>
                <w:sz w:val="20"/>
                <w:szCs w:val="20"/>
                <w:lang w:eastAsia="pt-PT"/>
              </w:rPr>
              <w:t>Figueira de Castelo Rodrigo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5170A5C"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25F64CA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E7A9802" w14:textId="77777777" w:rsidR="003E148C" w:rsidRPr="00153E66" w:rsidRDefault="00E31B97" w:rsidP="0026218B">
            <w:pPr>
              <w:rPr>
                <w:sz w:val="20"/>
                <w:szCs w:val="20"/>
                <w:lang w:eastAsia="pt-PT"/>
              </w:rPr>
            </w:pPr>
            <w:hyperlink r:id="rId38" w:tooltip="Idanha-a-Nova" w:history="1">
              <w:r w:rsidR="003E148C" w:rsidRPr="00153E66">
                <w:rPr>
                  <w:sz w:val="20"/>
                  <w:szCs w:val="20"/>
                  <w:lang w:eastAsia="pt-PT"/>
                </w:rPr>
                <w:t>Idanha-A-Nova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0263CC7"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44F86EB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4E84D08" w14:textId="77777777" w:rsidR="003E148C" w:rsidRPr="00153E66" w:rsidRDefault="00E31B97" w:rsidP="0026218B">
            <w:pPr>
              <w:rPr>
                <w:sz w:val="20"/>
                <w:szCs w:val="20"/>
                <w:lang w:eastAsia="pt-PT"/>
              </w:rPr>
            </w:pPr>
            <w:hyperlink r:id="rId39" w:history="1">
              <w:r w:rsidR="003E148C" w:rsidRPr="00153E66">
                <w:rPr>
                  <w:sz w:val="20"/>
                  <w:szCs w:val="20"/>
                  <w:lang w:eastAsia="pt-PT"/>
                </w:rPr>
                <w:t>Ílhavo</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EE010FD"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4C735A2F"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9BCFE50" w14:textId="77777777" w:rsidR="003E148C" w:rsidRPr="00153E66" w:rsidRDefault="003E148C" w:rsidP="0026218B">
            <w:pPr>
              <w:rPr>
                <w:sz w:val="20"/>
                <w:szCs w:val="20"/>
                <w:lang w:eastAsia="pt-PT"/>
              </w:rPr>
            </w:pPr>
            <w:r w:rsidRPr="00153E66">
              <w:rPr>
                <w:sz w:val="20"/>
                <w:szCs w:val="20"/>
                <w:lang w:eastAsia="pt-PT"/>
              </w:rPr>
              <w:t>Loures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274F8A3"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20DAA9B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057962B" w14:textId="77777777" w:rsidR="003E148C" w:rsidRPr="00153E66" w:rsidRDefault="00E31B97" w:rsidP="0026218B">
            <w:pPr>
              <w:rPr>
                <w:sz w:val="20"/>
                <w:szCs w:val="20"/>
                <w:lang w:eastAsia="pt-PT"/>
              </w:rPr>
            </w:pPr>
            <w:hyperlink r:id="rId40" w:history="1">
              <w:r w:rsidR="003E148C" w:rsidRPr="00153E66">
                <w:rPr>
                  <w:sz w:val="20"/>
                  <w:szCs w:val="20"/>
                  <w:lang w:eastAsia="pt-PT"/>
                </w:rPr>
                <w:t>Macedo De Cavaleiros</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B28A1F9"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5F2351A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FACEA87" w14:textId="77777777" w:rsidR="003E148C" w:rsidRPr="00153E66" w:rsidRDefault="003E148C" w:rsidP="0026218B">
            <w:pPr>
              <w:rPr>
                <w:sz w:val="20"/>
                <w:szCs w:val="20"/>
                <w:lang w:eastAsia="pt-PT"/>
              </w:rPr>
            </w:pPr>
            <w:r w:rsidRPr="00153E66">
              <w:rPr>
                <w:sz w:val="20"/>
                <w:szCs w:val="20"/>
                <w:lang w:eastAsia="pt-PT"/>
              </w:rPr>
              <w:t>Matosinhos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7AE2738"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362DA1D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9006A5A" w14:textId="77777777" w:rsidR="003E148C" w:rsidRPr="00153E66" w:rsidRDefault="003E148C" w:rsidP="0026218B">
            <w:pPr>
              <w:rPr>
                <w:sz w:val="20"/>
                <w:szCs w:val="20"/>
                <w:lang w:eastAsia="pt-PT"/>
              </w:rPr>
            </w:pPr>
            <w:r w:rsidRPr="00153E66">
              <w:rPr>
                <w:sz w:val="20"/>
                <w:szCs w:val="20"/>
                <w:lang w:eastAsia="pt-PT"/>
              </w:rPr>
              <w:t>Moimenta Da Beira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FFCF41B"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5DB5CD5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FA6ED35" w14:textId="77777777" w:rsidR="003E148C" w:rsidRPr="00153E66" w:rsidRDefault="003E148C" w:rsidP="0026218B">
            <w:pPr>
              <w:rPr>
                <w:sz w:val="20"/>
                <w:szCs w:val="20"/>
                <w:lang w:eastAsia="pt-PT"/>
              </w:rPr>
            </w:pPr>
            <w:r w:rsidRPr="00153E66">
              <w:rPr>
                <w:sz w:val="20"/>
                <w:szCs w:val="20"/>
                <w:lang w:eastAsia="pt-PT"/>
              </w:rPr>
              <w:t>Montalegre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1E6C8E6"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0C88CB5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2933569" w14:textId="77777777" w:rsidR="003E148C" w:rsidRPr="00153E66" w:rsidRDefault="003E148C" w:rsidP="0026218B">
            <w:pPr>
              <w:rPr>
                <w:sz w:val="20"/>
                <w:szCs w:val="20"/>
                <w:lang w:eastAsia="pt-PT"/>
              </w:rPr>
            </w:pPr>
            <w:r w:rsidRPr="00153E66">
              <w:rPr>
                <w:sz w:val="20"/>
                <w:szCs w:val="20"/>
                <w:lang w:eastAsia="pt-PT"/>
              </w:rPr>
              <w:t>Mora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474B678"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070A187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6EDE02F" w14:textId="77777777" w:rsidR="003E148C" w:rsidRPr="00153E66" w:rsidRDefault="003E148C" w:rsidP="0026218B">
            <w:pPr>
              <w:rPr>
                <w:sz w:val="20"/>
                <w:szCs w:val="20"/>
                <w:lang w:eastAsia="pt-PT"/>
              </w:rPr>
            </w:pPr>
            <w:r w:rsidRPr="00153E66">
              <w:rPr>
                <w:sz w:val="20"/>
                <w:szCs w:val="20"/>
                <w:lang w:eastAsia="pt-PT"/>
              </w:rPr>
              <w:t>Moura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EBE5686"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65E30BD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9585EA6" w14:textId="77777777" w:rsidR="003E148C" w:rsidRPr="00153E66" w:rsidRDefault="00E31B97" w:rsidP="0026218B">
            <w:pPr>
              <w:rPr>
                <w:sz w:val="20"/>
                <w:szCs w:val="20"/>
                <w:lang w:eastAsia="pt-PT"/>
              </w:rPr>
            </w:pPr>
            <w:hyperlink r:id="rId41" w:history="1">
              <w:r w:rsidR="003E148C" w:rsidRPr="00153E66">
                <w:rPr>
                  <w:sz w:val="20"/>
                  <w:szCs w:val="20"/>
                  <w:lang w:eastAsia="pt-PT"/>
                </w:rPr>
                <w:t>Óbidos</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E33D79A"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635D47D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24AB363" w14:textId="77777777" w:rsidR="003E148C" w:rsidRPr="00153E66" w:rsidRDefault="003E148C" w:rsidP="0026218B">
            <w:pPr>
              <w:rPr>
                <w:sz w:val="20"/>
                <w:szCs w:val="20"/>
                <w:lang w:eastAsia="pt-PT"/>
              </w:rPr>
            </w:pPr>
            <w:r w:rsidRPr="00153E66">
              <w:rPr>
                <w:sz w:val="20"/>
                <w:szCs w:val="20"/>
                <w:lang w:eastAsia="pt-PT"/>
              </w:rPr>
              <w:t>Odemira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6D0CD36" w14:textId="77777777" w:rsidR="003E148C" w:rsidRPr="00153E66" w:rsidRDefault="003E148C" w:rsidP="0026218B">
            <w:pPr>
              <w:rPr>
                <w:sz w:val="20"/>
                <w:szCs w:val="20"/>
                <w:lang w:eastAsia="pt-PT"/>
              </w:rPr>
            </w:pPr>
            <w:r w:rsidRPr="00153E66">
              <w:rPr>
                <w:sz w:val="20"/>
                <w:szCs w:val="20"/>
                <w:lang w:eastAsia="pt-PT"/>
              </w:rPr>
              <w:t>2008</w:t>
            </w:r>
          </w:p>
        </w:tc>
      </w:tr>
      <w:tr w:rsidR="00B26B5C" w:rsidRPr="00BB71F9" w14:paraId="5A10AD9F"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tcPr>
          <w:p w14:paraId="5C1D039D" w14:textId="0F9F38FD" w:rsidR="00B26B5C" w:rsidRPr="00153E66" w:rsidRDefault="00B26B5C" w:rsidP="0026218B">
            <w:pPr>
              <w:rPr>
                <w:sz w:val="20"/>
                <w:szCs w:val="20"/>
                <w:lang w:eastAsia="pt-PT"/>
              </w:rPr>
            </w:pPr>
            <w:r w:rsidRPr="00B26B5C">
              <w:rPr>
                <w:sz w:val="20"/>
                <w:szCs w:val="20"/>
                <w:lang w:eastAsia="pt-PT"/>
              </w:rPr>
              <w:t>Oliveira de Azeméis</w:t>
            </w:r>
          </w:p>
        </w:tc>
        <w:tc>
          <w:tcPr>
            <w:tcW w:w="1390" w:type="dxa"/>
            <w:tcBorders>
              <w:top w:val="single" w:sz="6" w:space="0" w:color="auto"/>
              <w:left w:val="single" w:sz="6" w:space="0" w:color="auto"/>
              <w:bottom w:val="single" w:sz="6" w:space="0" w:color="auto"/>
              <w:right w:val="single" w:sz="4" w:space="0" w:color="auto"/>
            </w:tcBorders>
            <w:noWrap/>
            <w:vAlign w:val="bottom"/>
          </w:tcPr>
          <w:p w14:paraId="60208163" w14:textId="7CA9EF4A" w:rsidR="00B26B5C" w:rsidRPr="00153E66" w:rsidRDefault="00B26B5C" w:rsidP="0026218B">
            <w:pPr>
              <w:rPr>
                <w:sz w:val="20"/>
                <w:szCs w:val="20"/>
                <w:lang w:eastAsia="pt-PT"/>
              </w:rPr>
            </w:pPr>
            <w:r>
              <w:rPr>
                <w:sz w:val="20"/>
                <w:szCs w:val="20"/>
                <w:lang w:eastAsia="pt-PT"/>
              </w:rPr>
              <w:t>2008</w:t>
            </w:r>
          </w:p>
        </w:tc>
      </w:tr>
      <w:tr w:rsidR="003E148C" w:rsidRPr="00BB71F9" w14:paraId="08E1FA3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C99D7EE" w14:textId="77777777" w:rsidR="003E148C" w:rsidRPr="00153E66" w:rsidRDefault="003E148C" w:rsidP="0026218B">
            <w:pPr>
              <w:rPr>
                <w:sz w:val="20"/>
                <w:szCs w:val="20"/>
                <w:lang w:eastAsia="pt-PT"/>
              </w:rPr>
            </w:pPr>
            <w:r w:rsidRPr="00153E66">
              <w:rPr>
                <w:sz w:val="20"/>
                <w:szCs w:val="20"/>
                <w:lang w:eastAsia="pt-PT"/>
              </w:rPr>
              <w:t>Ovar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4FD6A41"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31C7B65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0489EBD" w14:textId="77777777" w:rsidR="003E148C" w:rsidRPr="00153E66" w:rsidRDefault="003E148C" w:rsidP="0026218B">
            <w:pPr>
              <w:rPr>
                <w:sz w:val="20"/>
                <w:szCs w:val="20"/>
                <w:lang w:eastAsia="pt-PT"/>
              </w:rPr>
            </w:pPr>
            <w:r w:rsidRPr="00153E66">
              <w:rPr>
                <w:sz w:val="20"/>
                <w:szCs w:val="20"/>
                <w:lang w:eastAsia="pt-PT"/>
              </w:rPr>
              <w:t>Ponte Da Barca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CFEB08B"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6B0CC42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5A9F187" w14:textId="77777777" w:rsidR="003E148C" w:rsidRPr="00153E66" w:rsidRDefault="003E148C" w:rsidP="0026218B">
            <w:pPr>
              <w:rPr>
                <w:sz w:val="20"/>
                <w:szCs w:val="20"/>
                <w:lang w:eastAsia="pt-PT"/>
              </w:rPr>
            </w:pPr>
            <w:r w:rsidRPr="00153E66">
              <w:rPr>
                <w:sz w:val="20"/>
                <w:szCs w:val="20"/>
                <w:lang w:eastAsia="pt-PT"/>
              </w:rPr>
              <w:t>Ponte De Lima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3A3B968"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5D986FF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3CE62FC" w14:textId="77777777" w:rsidR="003E148C" w:rsidRPr="00153E66" w:rsidRDefault="003E148C" w:rsidP="0026218B">
            <w:pPr>
              <w:rPr>
                <w:sz w:val="20"/>
                <w:szCs w:val="20"/>
                <w:lang w:eastAsia="pt-PT"/>
              </w:rPr>
            </w:pPr>
            <w:r w:rsidRPr="00153E66">
              <w:rPr>
                <w:sz w:val="20"/>
                <w:szCs w:val="20"/>
                <w:lang w:eastAsia="pt-PT"/>
              </w:rPr>
              <w:t>Ponte de Sor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FB854C1"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6CB8F7F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C0B45E5" w14:textId="77777777" w:rsidR="003E148C" w:rsidRPr="00153E66" w:rsidRDefault="003E148C" w:rsidP="0026218B">
            <w:pPr>
              <w:rPr>
                <w:sz w:val="20"/>
                <w:szCs w:val="20"/>
                <w:lang w:eastAsia="pt-PT"/>
              </w:rPr>
            </w:pPr>
            <w:r w:rsidRPr="00153E66">
              <w:rPr>
                <w:sz w:val="20"/>
                <w:szCs w:val="20"/>
                <w:lang w:eastAsia="pt-PT"/>
              </w:rPr>
              <w:t>Santo Tirso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78537C3"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3A71953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F0D0364" w14:textId="77777777" w:rsidR="003E148C" w:rsidRPr="00153E66" w:rsidRDefault="00E31B97" w:rsidP="0026218B">
            <w:pPr>
              <w:rPr>
                <w:sz w:val="20"/>
                <w:szCs w:val="20"/>
                <w:lang w:eastAsia="pt-PT"/>
              </w:rPr>
            </w:pPr>
            <w:hyperlink r:id="rId42" w:tooltip="São João da Pesqueira" w:history="1">
              <w:r w:rsidR="003E148C" w:rsidRPr="00153E66">
                <w:rPr>
                  <w:sz w:val="20"/>
                  <w:szCs w:val="20"/>
                  <w:lang w:eastAsia="pt-PT"/>
                </w:rPr>
                <w:t>São João Da Pesqueira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147CC34"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7C9EDDA8"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27582BF" w14:textId="77777777" w:rsidR="003E148C" w:rsidRPr="00153E66" w:rsidRDefault="003E148C" w:rsidP="0026218B">
            <w:pPr>
              <w:rPr>
                <w:sz w:val="20"/>
                <w:szCs w:val="20"/>
                <w:lang w:eastAsia="pt-PT"/>
              </w:rPr>
            </w:pPr>
            <w:r w:rsidRPr="00153E66">
              <w:rPr>
                <w:sz w:val="20"/>
                <w:szCs w:val="20"/>
                <w:lang w:eastAsia="pt-PT"/>
              </w:rPr>
              <w:t>Tondela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125A7AF"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12B9482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5AA643F" w14:textId="77777777" w:rsidR="003E148C" w:rsidRPr="00153E66" w:rsidRDefault="003E148C" w:rsidP="0026218B">
            <w:pPr>
              <w:rPr>
                <w:sz w:val="20"/>
                <w:szCs w:val="20"/>
                <w:lang w:eastAsia="pt-PT"/>
              </w:rPr>
            </w:pPr>
            <w:r w:rsidRPr="00153E66">
              <w:rPr>
                <w:sz w:val="20"/>
                <w:szCs w:val="20"/>
                <w:lang w:eastAsia="pt-PT"/>
              </w:rPr>
              <w:t>Trofa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4D4CC95"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3DD5E894"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691283DE" w14:textId="77777777" w:rsidR="003E148C" w:rsidRPr="00153E66" w:rsidRDefault="00E31B97" w:rsidP="0026218B">
            <w:pPr>
              <w:rPr>
                <w:sz w:val="20"/>
                <w:szCs w:val="20"/>
                <w:lang w:eastAsia="pt-PT"/>
              </w:rPr>
            </w:pPr>
            <w:hyperlink r:id="rId43" w:tooltip="Valença (Portugal)" w:history="1">
              <w:r w:rsidR="003E148C" w:rsidRPr="00153E66">
                <w:rPr>
                  <w:sz w:val="20"/>
                  <w:szCs w:val="20"/>
                  <w:lang w:eastAsia="pt-PT"/>
                </w:rPr>
                <w:t>Valença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659CB38"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0FEABDC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248494F" w14:textId="77777777" w:rsidR="003E148C" w:rsidRPr="00153E66" w:rsidRDefault="003E148C" w:rsidP="0026218B">
            <w:pPr>
              <w:rPr>
                <w:sz w:val="20"/>
                <w:szCs w:val="20"/>
                <w:lang w:eastAsia="pt-PT"/>
              </w:rPr>
            </w:pPr>
            <w:r w:rsidRPr="00153E66">
              <w:rPr>
                <w:sz w:val="20"/>
                <w:szCs w:val="20"/>
                <w:lang w:eastAsia="pt-PT"/>
              </w:rPr>
              <w:t>Valongo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A3149D8"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598F875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B7E9099" w14:textId="210C7217" w:rsidR="003E148C" w:rsidRPr="00153E66" w:rsidRDefault="003E148C" w:rsidP="0026218B">
            <w:pPr>
              <w:rPr>
                <w:sz w:val="20"/>
                <w:szCs w:val="20"/>
                <w:lang w:eastAsia="pt-PT"/>
              </w:rPr>
            </w:pPr>
            <w:r w:rsidRPr="00153E66">
              <w:rPr>
                <w:sz w:val="20"/>
                <w:szCs w:val="20"/>
                <w:lang w:eastAsia="pt-PT"/>
              </w:rPr>
              <w:t>Vila Ver</w:t>
            </w:r>
            <w:r w:rsidR="003C1A2F">
              <w:rPr>
                <w:sz w:val="20"/>
                <w:szCs w:val="20"/>
                <w:lang w:eastAsia="pt-PT"/>
              </w:rPr>
              <w:t>de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17DFE40" w14:textId="77777777" w:rsidR="003E148C" w:rsidRPr="00153E66" w:rsidRDefault="003E148C" w:rsidP="0026218B">
            <w:pPr>
              <w:rPr>
                <w:sz w:val="20"/>
                <w:szCs w:val="20"/>
                <w:lang w:eastAsia="pt-PT"/>
              </w:rPr>
            </w:pPr>
            <w:r w:rsidRPr="00153E66">
              <w:rPr>
                <w:sz w:val="20"/>
                <w:szCs w:val="20"/>
                <w:lang w:eastAsia="pt-PT"/>
              </w:rPr>
              <w:t>2008</w:t>
            </w:r>
          </w:p>
        </w:tc>
      </w:tr>
      <w:tr w:rsidR="003E148C" w:rsidRPr="00BB71F9" w14:paraId="25CF022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248B168" w14:textId="77777777" w:rsidR="003E148C" w:rsidRPr="00153E66" w:rsidRDefault="003E148C" w:rsidP="0026218B">
            <w:pPr>
              <w:rPr>
                <w:sz w:val="20"/>
                <w:szCs w:val="20"/>
                <w:lang w:eastAsia="pt-PT"/>
              </w:rPr>
            </w:pPr>
            <w:r w:rsidRPr="00153E66">
              <w:rPr>
                <w:sz w:val="20"/>
                <w:szCs w:val="20"/>
                <w:lang w:eastAsia="pt-PT"/>
              </w:rPr>
              <w:t>Alcanena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9CAD80B"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95C7EC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1934C92" w14:textId="77777777" w:rsidR="003E148C" w:rsidRPr="00153E66" w:rsidRDefault="003E148C" w:rsidP="0026218B">
            <w:pPr>
              <w:rPr>
                <w:sz w:val="20"/>
                <w:szCs w:val="20"/>
                <w:lang w:eastAsia="pt-PT"/>
              </w:rPr>
            </w:pPr>
            <w:r w:rsidRPr="00153E66">
              <w:rPr>
                <w:sz w:val="20"/>
                <w:szCs w:val="20"/>
                <w:lang w:eastAsia="pt-PT"/>
              </w:rPr>
              <w:t>Alenquer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AED36CF"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29C4B17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C77D754" w14:textId="77777777" w:rsidR="003E148C" w:rsidRPr="00153E66" w:rsidRDefault="003E148C" w:rsidP="0026218B">
            <w:pPr>
              <w:rPr>
                <w:sz w:val="20"/>
                <w:szCs w:val="20"/>
                <w:lang w:eastAsia="pt-PT"/>
              </w:rPr>
            </w:pPr>
            <w:r w:rsidRPr="00153E66">
              <w:rPr>
                <w:sz w:val="20"/>
                <w:szCs w:val="20"/>
                <w:lang w:eastAsia="pt-PT"/>
              </w:rPr>
              <w:t>Arganil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C8C9F36"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0882A1D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9D8C358" w14:textId="77777777" w:rsidR="003E148C" w:rsidRPr="00153E66" w:rsidRDefault="003E148C" w:rsidP="0026218B">
            <w:pPr>
              <w:rPr>
                <w:sz w:val="20"/>
                <w:szCs w:val="20"/>
                <w:lang w:eastAsia="pt-PT"/>
              </w:rPr>
            </w:pPr>
            <w:r w:rsidRPr="00153E66">
              <w:rPr>
                <w:sz w:val="20"/>
                <w:szCs w:val="20"/>
                <w:lang w:eastAsia="pt-PT"/>
              </w:rPr>
              <w:t>Armamar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BCB121D"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77F01B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687EE55" w14:textId="77777777" w:rsidR="003E148C" w:rsidRPr="00153E66" w:rsidRDefault="003E148C" w:rsidP="0026218B">
            <w:pPr>
              <w:rPr>
                <w:sz w:val="20"/>
                <w:szCs w:val="20"/>
                <w:lang w:eastAsia="pt-PT"/>
              </w:rPr>
            </w:pPr>
            <w:r w:rsidRPr="00153E66">
              <w:rPr>
                <w:sz w:val="20"/>
                <w:szCs w:val="20"/>
                <w:lang w:eastAsia="pt-PT"/>
              </w:rPr>
              <w:t>Arouca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7CEE6F3"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41608AB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E70E899" w14:textId="77777777" w:rsidR="003E148C" w:rsidRPr="00153E66" w:rsidRDefault="003E148C" w:rsidP="0026218B">
            <w:pPr>
              <w:rPr>
                <w:sz w:val="20"/>
                <w:szCs w:val="20"/>
                <w:lang w:eastAsia="pt-PT"/>
              </w:rPr>
            </w:pPr>
            <w:r w:rsidRPr="00153E66">
              <w:rPr>
                <w:sz w:val="20"/>
                <w:szCs w:val="20"/>
                <w:lang w:eastAsia="pt-PT"/>
              </w:rPr>
              <w:t>Arruda dos Vinhos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C9814BF"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30C9151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FB6C2E9" w14:textId="77777777" w:rsidR="003E148C" w:rsidRPr="00153E66" w:rsidRDefault="003E148C" w:rsidP="0026218B">
            <w:pPr>
              <w:rPr>
                <w:sz w:val="20"/>
                <w:szCs w:val="20"/>
                <w:lang w:eastAsia="pt-PT"/>
              </w:rPr>
            </w:pPr>
            <w:r w:rsidRPr="00153E66">
              <w:rPr>
                <w:sz w:val="20"/>
                <w:szCs w:val="20"/>
                <w:lang w:eastAsia="pt-PT"/>
              </w:rPr>
              <w:t>Azambuja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160271C"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2284BACF"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D3A1A59" w14:textId="77777777" w:rsidR="003E148C" w:rsidRPr="00153E66" w:rsidRDefault="003E148C" w:rsidP="0026218B">
            <w:pPr>
              <w:rPr>
                <w:sz w:val="20"/>
                <w:szCs w:val="20"/>
                <w:lang w:eastAsia="pt-PT"/>
              </w:rPr>
            </w:pPr>
            <w:r w:rsidRPr="00153E66">
              <w:rPr>
                <w:sz w:val="20"/>
                <w:szCs w:val="20"/>
                <w:lang w:eastAsia="pt-PT"/>
              </w:rPr>
              <w:t>Barcelos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91194C3"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1902D19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8FF52FE" w14:textId="77777777" w:rsidR="003E148C" w:rsidRPr="00153E66" w:rsidRDefault="003E148C" w:rsidP="0026218B">
            <w:pPr>
              <w:rPr>
                <w:sz w:val="20"/>
                <w:szCs w:val="20"/>
                <w:lang w:eastAsia="pt-PT"/>
              </w:rPr>
            </w:pPr>
            <w:r w:rsidRPr="00153E66">
              <w:rPr>
                <w:sz w:val="20"/>
                <w:szCs w:val="20"/>
                <w:lang w:eastAsia="pt-PT"/>
              </w:rPr>
              <w:t>Batalha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61FB22A"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4F7825C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C2E9F7D" w14:textId="77777777" w:rsidR="003E148C" w:rsidRPr="00153E66" w:rsidRDefault="003E148C" w:rsidP="0026218B">
            <w:pPr>
              <w:rPr>
                <w:sz w:val="20"/>
                <w:szCs w:val="20"/>
                <w:lang w:eastAsia="pt-PT"/>
              </w:rPr>
            </w:pPr>
            <w:r w:rsidRPr="00153E66">
              <w:rPr>
                <w:sz w:val="20"/>
                <w:szCs w:val="20"/>
                <w:lang w:eastAsia="pt-PT"/>
              </w:rPr>
              <w:t>Belmonte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3A942E5"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470756C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F4E3449" w14:textId="77777777" w:rsidR="003E148C" w:rsidRPr="00153E66" w:rsidRDefault="003E148C" w:rsidP="0026218B">
            <w:pPr>
              <w:rPr>
                <w:sz w:val="20"/>
                <w:szCs w:val="20"/>
                <w:lang w:eastAsia="pt-PT"/>
              </w:rPr>
            </w:pPr>
            <w:r w:rsidRPr="00153E66">
              <w:rPr>
                <w:sz w:val="20"/>
                <w:szCs w:val="20"/>
                <w:lang w:eastAsia="pt-PT"/>
              </w:rPr>
              <w:t>Borba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638AB11"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789CA79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F992BEA" w14:textId="77777777" w:rsidR="003E148C" w:rsidRPr="00153E66" w:rsidRDefault="003E148C" w:rsidP="0026218B">
            <w:pPr>
              <w:rPr>
                <w:sz w:val="20"/>
                <w:szCs w:val="20"/>
                <w:lang w:eastAsia="pt-PT"/>
              </w:rPr>
            </w:pPr>
            <w:r w:rsidRPr="00153E66">
              <w:rPr>
                <w:sz w:val="20"/>
                <w:szCs w:val="20"/>
                <w:lang w:eastAsia="pt-PT"/>
              </w:rPr>
              <w:t>Cadaval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236BA7A"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DB8E61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CD5704B" w14:textId="77777777" w:rsidR="003E148C" w:rsidRPr="00153E66" w:rsidRDefault="003E148C" w:rsidP="0026218B">
            <w:pPr>
              <w:rPr>
                <w:sz w:val="20"/>
                <w:szCs w:val="20"/>
                <w:lang w:eastAsia="pt-PT"/>
              </w:rPr>
            </w:pPr>
            <w:r w:rsidRPr="00153E66">
              <w:rPr>
                <w:sz w:val="20"/>
                <w:szCs w:val="20"/>
                <w:lang w:eastAsia="pt-PT"/>
              </w:rPr>
              <w:t>Caminha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341C896"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272850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95F60F7" w14:textId="77777777" w:rsidR="003E148C" w:rsidRPr="00153E66" w:rsidRDefault="00E31B97" w:rsidP="0026218B">
            <w:pPr>
              <w:rPr>
                <w:sz w:val="20"/>
                <w:szCs w:val="20"/>
                <w:lang w:eastAsia="pt-PT"/>
              </w:rPr>
            </w:pPr>
            <w:hyperlink r:id="rId44" w:history="1">
              <w:r w:rsidR="003E148C" w:rsidRPr="00153E66">
                <w:rPr>
                  <w:sz w:val="20"/>
                  <w:szCs w:val="20"/>
                  <w:lang w:eastAsia="pt-PT"/>
                </w:rPr>
                <w:t>Campo Maior</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B179315"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1745389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E66A694" w14:textId="77777777" w:rsidR="003E148C" w:rsidRPr="00153E66" w:rsidRDefault="003E148C" w:rsidP="0026218B">
            <w:pPr>
              <w:rPr>
                <w:sz w:val="20"/>
                <w:szCs w:val="20"/>
                <w:lang w:eastAsia="pt-PT"/>
              </w:rPr>
            </w:pPr>
            <w:r w:rsidRPr="00153E66">
              <w:rPr>
                <w:sz w:val="20"/>
                <w:szCs w:val="20"/>
                <w:lang w:eastAsia="pt-PT"/>
              </w:rPr>
              <w:t>Cartaxo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3113C5B"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7A110BE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597CD6B" w14:textId="77777777" w:rsidR="003E148C" w:rsidRPr="00153E66" w:rsidRDefault="00E31B97" w:rsidP="0026218B">
            <w:pPr>
              <w:rPr>
                <w:sz w:val="20"/>
                <w:szCs w:val="20"/>
                <w:lang w:eastAsia="pt-PT"/>
              </w:rPr>
            </w:pPr>
            <w:hyperlink r:id="rId45" w:history="1">
              <w:r w:rsidR="003E148C" w:rsidRPr="00153E66">
                <w:rPr>
                  <w:sz w:val="20"/>
                  <w:szCs w:val="20"/>
                  <w:lang w:eastAsia="pt-PT"/>
                </w:rPr>
                <w:t>Castanheira De Pera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3BB06B4C"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14A744F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B01F607" w14:textId="20911EB5" w:rsidR="003E148C" w:rsidRPr="00153E66" w:rsidRDefault="00EE7D16" w:rsidP="0026218B">
            <w:pPr>
              <w:rPr>
                <w:sz w:val="20"/>
                <w:szCs w:val="20"/>
                <w:lang w:eastAsia="pt-PT"/>
              </w:rPr>
            </w:pPr>
            <w:r w:rsidRPr="00EE7D16">
              <w:rPr>
                <w:sz w:val="20"/>
                <w:szCs w:val="20"/>
                <w:lang w:eastAsia="pt-PT"/>
              </w:rPr>
              <w:t>Entroncamento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5486068"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335E84FD"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00E2ACC" w14:textId="77777777" w:rsidR="003E148C" w:rsidRPr="00153E66" w:rsidRDefault="003E148C" w:rsidP="0026218B">
            <w:pPr>
              <w:rPr>
                <w:sz w:val="20"/>
                <w:szCs w:val="20"/>
                <w:lang w:eastAsia="pt-PT"/>
              </w:rPr>
            </w:pPr>
            <w:r w:rsidRPr="00153E66">
              <w:rPr>
                <w:sz w:val="20"/>
                <w:szCs w:val="20"/>
                <w:lang w:eastAsia="pt-PT"/>
              </w:rPr>
              <w:t>Ferreira do Alentejo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A8CB73D"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703FB90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C20B1FB" w14:textId="77777777" w:rsidR="003E148C" w:rsidRPr="00153E66" w:rsidRDefault="003E148C" w:rsidP="0026218B">
            <w:pPr>
              <w:rPr>
                <w:sz w:val="20"/>
                <w:szCs w:val="20"/>
                <w:lang w:eastAsia="pt-PT"/>
              </w:rPr>
            </w:pPr>
            <w:r w:rsidRPr="00153E66">
              <w:rPr>
                <w:sz w:val="20"/>
                <w:szCs w:val="20"/>
                <w:lang w:eastAsia="pt-PT"/>
              </w:rPr>
              <w:t>Ferreira do Zêzere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D58BC62"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3C57D1D4"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7AAB2BC" w14:textId="77777777" w:rsidR="003E148C" w:rsidRPr="0067536C" w:rsidRDefault="003E148C" w:rsidP="0026218B">
            <w:pPr>
              <w:rPr>
                <w:sz w:val="20"/>
                <w:szCs w:val="20"/>
                <w:lang w:val="pt-PT" w:eastAsia="pt-PT"/>
              </w:rPr>
            </w:pPr>
            <w:r w:rsidRPr="0067536C">
              <w:rPr>
                <w:sz w:val="20"/>
                <w:szCs w:val="20"/>
                <w:lang w:val="pt-PT" w:eastAsia="pt-PT"/>
              </w:rPr>
              <w:t>Freixo de Espada à Cinta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A97CB1C"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3E180D1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01997FF" w14:textId="77777777" w:rsidR="003E148C" w:rsidRPr="00153E66" w:rsidRDefault="00E31B97" w:rsidP="0026218B">
            <w:pPr>
              <w:rPr>
                <w:sz w:val="20"/>
                <w:szCs w:val="20"/>
                <w:lang w:eastAsia="pt-PT"/>
              </w:rPr>
            </w:pPr>
            <w:hyperlink r:id="rId46" w:history="1">
              <w:r w:rsidR="003E148C" w:rsidRPr="00153E66">
                <w:rPr>
                  <w:sz w:val="20"/>
                  <w:szCs w:val="20"/>
                  <w:lang w:eastAsia="pt-PT"/>
                </w:rPr>
                <w:t>Lourinhã</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0E8CD48"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02479999"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BBBCFBA" w14:textId="77777777" w:rsidR="003E148C" w:rsidRPr="00153E66" w:rsidRDefault="003E148C" w:rsidP="0026218B">
            <w:pPr>
              <w:rPr>
                <w:sz w:val="20"/>
                <w:szCs w:val="20"/>
                <w:lang w:eastAsia="pt-PT"/>
              </w:rPr>
            </w:pPr>
            <w:r w:rsidRPr="00153E66">
              <w:rPr>
                <w:sz w:val="20"/>
                <w:szCs w:val="20"/>
                <w:lang w:eastAsia="pt-PT"/>
              </w:rPr>
              <w:t>Mafra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F1CE345"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2B090368"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FDC39A8" w14:textId="77777777" w:rsidR="003E148C" w:rsidRPr="00153E66" w:rsidRDefault="003E148C" w:rsidP="0026218B">
            <w:pPr>
              <w:rPr>
                <w:sz w:val="20"/>
                <w:szCs w:val="20"/>
                <w:lang w:eastAsia="pt-PT"/>
              </w:rPr>
            </w:pPr>
            <w:r w:rsidRPr="00153E66">
              <w:rPr>
                <w:sz w:val="20"/>
                <w:szCs w:val="20"/>
                <w:lang w:eastAsia="pt-PT"/>
              </w:rPr>
              <w:t>Mangualde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E9CA8EB"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8CFBEA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3D483ED" w14:textId="77777777" w:rsidR="003E148C" w:rsidRPr="00153E66" w:rsidRDefault="003E148C" w:rsidP="0026218B">
            <w:pPr>
              <w:rPr>
                <w:sz w:val="20"/>
                <w:szCs w:val="20"/>
                <w:lang w:eastAsia="pt-PT"/>
              </w:rPr>
            </w:pPr>
            <w:r w:rsidRPr="00153E66">
              <w:rPr>
                <w:sz w:val="20"/>
                <w:szCs w:val="20"/>
                <w:lang w:eastAsia="pt-PT"/>
              </w:rPr>
              <w:t>Marco de Canaveses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AD5D817"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7CA9F19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4D1CD68" w14:textId="614B51A7" w:rsidR="003E148C" w:rsidRPr="00153E66" w:rsidRDefault="003E148C" w:rsidP="0026218B">
            <w:pPr>
              <w:rPr>
                <w:sz w:val="20"/>
                <w:szCs w:val="20"/>
                <w:lang w:eastAsia="pt-PT"/>
              </w:rPr>
            </w:pPr>
            <w:r w:rsidRPr="00153E66">
              <w:rPr>
                <w:sz w:val="20"/>
                <w:szCs w:val="20"/>
                <w:lang w:eastAsia="pt-PT"/>
              </w:rPr>
              <w:t>Marinha</w:t>
            </w:r>
            <w:r w:rsidR="00026EC1">
              <w:rPr>
                <w:sz w:val="20"/>
                <w:szCs w:val="20"/>
                <w:lang w:eastAsia="pt-PT"/>
              </w:rPr>
              <w:t xml:space="preserve"> Grande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FC1E638"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360FF95A"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EA5585D" w14:textId="77777777" w:rsidR="003E148C" w:rsidRPr="00153E66" w:rsidRDefault="00E31B97" w:rsidP="0026218B">
            <w:pPr>
              <w:rPr>
                <w:sz w:val="20"/>
                <w:szCs w:val="20"/>
                <w:lang w:eastAsia="pt-PT"/>
              </w:rPr>
            </w:pPr>
            <w:hyperlink r:id="rId47" w:history="1">
              <w:r w:rsidR="003E148C" w:rsidRPr="00153E66">
                <w:rPr>
                  <w:sz w:val="20"/>
                  <w:szCs w:val="20"/>
                  <w:lang w:eastAsia="pt-PT"/>
                </w:rPr>
                <w:t>Mortágua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483BB808"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799131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DDDC17F" w14:textId="77777777" w:rsidR="003E148C" w:rsidRPr="00153E66" w:rsidRDefault="00E31B97" w:rsidP="0026218B">
            <w:pPr>
              <w:rPr>
                <w:sz w:val="20"/>
                <w:szCs w:val="20"/>
                <w:lang w:eastAsia="pt-PT"/>
              </w:rPr>
            </w:pPr>
            <w:hyperlink r:id="rId48" w:history="1">
              <w:r w:rsidR="003E148C" w:rsidRPr="00153E66">
                <w:rPr>
                  <w:sz w:val="20"/>
                  <w:szCs w:val="20"/>
                  <w:lang w:eastAsia="pt-PT"/>
                </w:rPr>
                <w:t>Murça</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F54E9C5"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1FC0F96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67E421B" w14:textId="77777777" w:rsidR="003E148C" w:rsidRPr="00153E66" w:rsidRDefault="003E148C" w:rsidP="0026218B">
            <w:pPr>
              <w:rPr>
                <w:sz w:val="20"/>
                <w:szCs w:val="20"/>
                <w:lang w:eastAsia="pt-PT"/>
              </w:rPr>
            </w:pPr>
            <w:r w:rsidRPr="00153E66">
              <w:rPr>
                <w:sz w:val="20"/>
                <w:szCs w:val="20"/>
                <w:lang w:eastAsia="pt-PT"/>
              </w:rPr>
              <w:t>Murtosa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4BADD19"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734414A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92BA3ED" w14:textId="77777777" w:rsidR="003E148C" w:rsidRPr="00153E66" w:rsidRDefault="00E31B97" w:rsidP="0026218B">
            <w:pPr>
              <w:rPr>
                <w:sz w:val="20"/>
                <w:szCs w:val="20"/>
                <w:lang w:eastAsia="pt-PT"/>
              </w:rPr>
            </w:pPr>
            <w:hyperlink r:id="rId49" w:history="1">
              <w:r w:rsidR="003E148C" w:rsidRPr="00153E66">
                <w:rPr>
                  <w:sz w:val="20"/>
                  <w:szCs w:val="20"/>
                  <w:lang w:eastAsia="pt-PT"/>
                </w:rPr>
                <w:t>Nazaré</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A3CA2F3"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6933C8A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5DA06DE" w14:textId="77777777" w:rsidR="003E148C" w:rsidRPr="00153E66" w:rsidRDefault="003E148C" w:rsidP="0026218B">
            <w:pPr>
              <w:rPr>
                <w:sz w:val="20"/>
                <w:szCs w:val="20"/>
                <w:lang w:eastAsia="pt-PT"/>
              </w:rPr>
            </w:pPr>
            <w:r w:rsidRPr="00153E66">
              <w:rPr>
                <w:sz w:val="20"/>
                <w:szCs w:val="20"/>
                <w:lang w:eastAsia="pt-PT"/>
              </w:rPr>
              <w:t>Nelas</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68463A34"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3F51C5B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2A4F6B3" w14:textId="77777777" w:rsidR="003E148C" w:rsidRPr="00153E66" w:rsidRDefault="003E148C" w:rsidP="0026218B">
            <w:pPr>
              <w:rPr>
                <w:sz w:val="20"/>
                <w:szCs w:val="20"/>
                <w:lang w:eastAsia="pt-PT"/>
              </w:rPr>
            </w:pPr>
            <w:r w:rsidRPr="00153E66">
              <w:rPr>
                <w:sz w:val="20"/>
                <w:szCs w:val="20"/>
                <w:lang w:eastAsia="pt-PT"/>
              </w:rPr>
              <w:t>Oliveira do Hospital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D98F092"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104F31DC"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F1AE28F" w14:textId="77777777" w:rsidR="003E148C" w:rsidRPr="00153E66" w:rsidRDefault="003E148C" w:rsidP="0026218B">
            <w:pPr>
              <w:rPr>
                <w:sz w:val="20"/>
                <w:szCs w:val="20"/>
                <w:lang w:eastAsia="pt-PT"/>
              </w:rPr>
            </w:pPr>
            <w:r w:rsidRPr="00153E66">
              <w:rPr>
                <w:sz w:val="20"/>
                <w:szCs w:val="20"/>
                <w:lang w:eastAsia="pt-PT"/>
              </w:rPr>
              <w:t>Ourique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5726311"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16FCB7E3"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9387E9E" w14:textId="77777777" w:rsidR="003E148C" w:rsidRPr="00153E66" w:rsidRDefault="00E31B97" w:rsidP="0026218B">
            <w:pPr>
              <w:rPr>
                <w:sz w:val="20"/>
                <w:szCs w:val="20"/>
                <w:lang w:eastAsia="pt-PT"/>
              </w:rPr>
            </w:pPr>
            <w:hyperlink r:id="rId50" w:history="1">
              <w:r w:rsidR="003E148C" w:rsidRPr="00153E66">
                <w:rPr>
                  <w:sz w:val="20"/>
                  <w:szCs w:val="20"/>
                  <w:lang w:eastAsia="pt-PT"/>
                </w:rPr>
                <w:t>Pedrógão Grande</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75E47FF"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38A04D1"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827466B" w14:textId="77777777" w:rsidR="003E148C" w:rsidRPr="00153E66" w:rsidRDefault="003E148C" w:rsidP="0026218B">
            <w:pPr>
              <w:rPr>
                <w:sz w:val="20"/>
                <w:szCs w:val="20"/>
                <w:lang w:eastAsia="pt-PT"/>
              </w:rPr>
            </w:pPr>
            <w:r w:rsidRPr="00153E66">
              <w:rPr>
                <w:sz w:val="20"/>
                <w:szCs w:val="20"/>
                <w:lang w:eastAsia="pt-PT"/>
              </w:rPr>
              <w:t>Penafiel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5C5779A"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4251AE46"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0E7B6C4" w14:textId="77777777" w:rsidR="003E148C" w:rsidRPr="00153E66" w:rsidRDefault="003E148C" w:rsidP="0026218B">
            <w:pPr>
              <w:rPr>
                <w:sz w:val="20"/>
                <w:szCs w:val="20"/>
                <w:lang w:eastAsia="pt-PT"/>
              </w:rPr>
            </w:pPr>
            <w:r w:rsidRPr="00153E66">
              <w:rPr>
                <w:sz w:val="20"/>
                <w:szCs w:val="20"/>
                <w:lang w:eastAsia="pt-PT"/>
              </w:rPr>
              <w:t>Peniche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045B6C2D"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2E4559F0"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297888C" w14:textId="77777777" w:rsidR="003E148C" w:rsidRPr="00153E66" w:rsidRDefault="003E148C" w:rsidP="0026218B">
            <w:pPr>
              <w:rPr>
                <w:sz w:val="20"/>
                <w:szCs w:val="20"/>
                <w:lang w:eastAsia="pt-PT"/>
              </w:rPr>
            </w:pPr>
            <w:r w:rsidRPr="00153E66">
              <w:rPr>
                <w:sz w:val="20"/>
                <w:szCs w:val="20"/>
                <w:lang w:eastAsia="pt-PT"/>
              </w:rPr>
              <w:t>Póvoa de Varzim</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A5E49E3"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823F2C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3598292D" w14:textId="77777777" w:rsidR="003E148C" w:rsidRPr="00153E66" w:rsidRDefault="003E148C" w:rsidP="0026218B">
            <w:pPr>
              <w:rPr>
                <w:sz w:val="20"/>
                <w:szCs w:val="20"/>
                <w:lang w:eastAsia="pt-PT"/>
              </w:rPr>
            </w:pPr>
            <w:r w:rsidRPr="00153E66">
              <w:rPr>
                <w:sz w:val="20"/>
                <w:szCs w:val="20"/>
                <w:lang w:eastAsia="pt-PT"/>
              </w:rPr>
              <w:t>Resende</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297066C9"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37AD47A2"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76259A40" w14:textId="77777777" w:rsidR="003E148C" w:rsidRPr="00153E66" w:rsidRDefault="003E148C" w:rsidP="0026218B">
            <w:pPr>
              <w:rPr>
                <w:sz w:val="20"/>
                <w:szCs w:val="20"/>
                <w:lang w:eastAsia="pt-PT"/>
              </w:rPr>
            </w:pPr>
            <w:r w:rsidRPr="00153E66">
              <w:rPr>
                <w:sz w:val="20"/>
                <w:szCs w:val="20"/>
                <w:lang w:eastAsia="pt-PT"/>
              </w:rPr>
              <w:t>Rio Maior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B9B80EA"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16C99A8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0DA1D54A" w14:textId="77777777" w:rsidR="003E148C" w:rsidRPr="00153E66" w:rsidRDefault="003E148C" w:rsidP="0026218B">
            <w:pPr>
              <w:rPr>
                <w:sz w:val="20"/>
                <w:szCs w:val="20"/>
                <w:lang w:eastAsia="pt-PT"/>
              </w:rPr>
            </w:pPr>
            <w:r w:rsidRPr="00153E66">
              <w:rPr>
                <w:sz w:val="20"/>
                <w:szCs w:val="20"/>
                <w:lang w:eastAsia="pt-PT"/>
              </w:rPr>
              <w:t>Seixal</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4803DA5"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7936FED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F3A716E" w14:textId="77777777" w:rsidR="003E148C" w:rsidRPr="00153E66" w:rsidRDefault="003E148C" w:rsidP="0026218B">
            <w:pPr>
              <w:rPr>
                <w:sz w:val="20"/>
                <w:szCs w:val="20"/>
                <w:lang w:eastAsia="pt-PT"/>
              </w:rPr>
            </w:pPr>
            <w:r w:rsidRPr="00153E66">
              <w:rPr>
                <w:sz w:val="20"/>
                <w:szCs w:val="20"/>
                <w:lang w:eastAsia="pt-PT"/>
              </w:rPr>
              <w:t>Serpa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101E65E0"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0ACBB0EF"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DDB6E59" w14:textId="77777777" w:rsidR="003E148C" w:rsidRPr="00153E66" w:rsidRDefault="003E148C" w:rsidP="0026218B">
            <w:pPr>
              <w:rPr>
                <w:sz w:val="20"/>
                <w:szCs w:val="20"/>
                <w:lang w:eastAsia="pt-PT"/>
              </w:rPr>
            </w:pPr>
            <w:r w:rsidRPr="00153E66">
              <w:rPr>
                <w:sz w:val="20"/>
                <w:szCs w:val="20"/>
                <w:lang w:eastAsia="pt-PT"/>
              </w:rPr>
              <w:t>Sobral de Monte Agraço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76252A10"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37BCBF97"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434F83E3" w14:textId="77777777" w:rsidR="003E148C" w:rsidRPr="00153E66" w:rsidRDefault="003E148C" w:rsidP="0026218B">
            <w:pPr>
              <w:rPr>
                <w:sz w:val="20"/>
                <w:szCs w:val="20"/>
                <w:lang w:eastAsia="pt-PT"/>
              </w:rPr>
            </w:pPr>
            <w:r w:rsidRPr="00153E66">
              <w:rPr>
                <w:sz w:val="20"/>
                <w:szCs w:val="20"/>
                <w:lang w:eastAsia="pt-PT"/>
              </w:rPr>
              <w:t>Tavira</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C8364BE"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73BF88D4"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5F0ED347" w14:textId="77777777" w:rsidR="003E148C" w:rsidRPr="00153E66" w:rsidRDefault="00E31B97" w:rsidP="0026218B">
            <w:pPr>
              <w:rPr>
                <w:sz w:val="20"/>
                <w:szCs w:val="20"/>
                <w:lang w:eastAsia="pt-PT"/>
              </w:rPr>
            </w:pPr>
            <w:hyperlink r:id="rId51" w:tooltip="Valpaços" w:history="1">
              <w:r w:rsidR="003E148C" w:rsidRPr="00153E66">
                <w:rPr>
                  <w:sz w:val="20"/>
                  <w:szCs w:val="20"/>
                  <w:lang w:eastAsia="pt-PT"/>
                </w:rPr>
                <w:t>Valpaços</w:t>
              </w:r>
            </w:hyperlink>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6CC3950"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A6676AB"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15F113E5" w14:textId="77777777" w:rsidR="003E148C" w:rsidRPr="00153E66" w:rsidRDefault="003E148C" w:rsidP="0026218B">
            <w:pPr>
              <w:rPr>
                <w:sz w:val="20"/>
                <w:szCs w:val="20"/>
                <w:lang w:eastAsia="pt-PT"/>
              </w:rPr>
            </w:pPr>
            <w:r w:rsidRPr="00153E66">
              <w:rPr>
                <w:sz w:val="20"/>
                <w:szCs w:val="20"/>
                <w:lang w:eastAsia="pt-PT"/>
              </w:rPr>
              <w:t>Vila Flor</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C94FACD"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2E8472D8" w14:textId="77777777" w:rsidTr="0026218B">
        <w:trPr>
          <w:trHeight w:val="288"/>
        </w:trPr>
        <w:tc>
          <w:tcPr>
            <w:tcW w:w="2689" w:type="dxa"/>
            <w:tcBorders>
              <w:top w:val="single" w:sz="6" w:space="0" w:color="auto"/>
              <w:left w:val="single" w:sz="4" w:space="0" w:color="auto"/>
              <w:bottom w:val="single" w:sz="6" w:space="0" w:color="auto"/>
              <w:right w:val="single" w:sz="6" w:space="0" w:color="auto"/>
            </w:tcBorders>
            <w:noWrap/>
            <w:vAlign w:val="bottom"/>
            <w:hideMark/>
          </w:tcPr>
          <w:p w14:paraId="27E3630D" w14:textId="77777777" w:rsidR="003E148C" w:rsidRPr="00153E66" w:rsidRDefault="003E148C" w:rsidP="0026218B">
            <w:pPr>
              <w:rPr>
                <w:sz w:val="20"/>
                <w:szCs w:val="20"/>
                <w:lang w:eastAsia="pt-PT"/>
              </w:rPr>
            </w:pPr>
            <w:r w:rsidRPr="00153E66">
              <w:rPr>
                <w:sz w:val="20"/>
                <w:szCs w:val="20"/>
                <w:lang w:eastAsia="pt-PT"/>
              </w:rPr>
              <w:t>Vimioso</w:t>
            </w:r>
          </w:p>
        </w:tc>
        <w:tc>
          <w:tcPr>
            <w:tcW w:w="1390" w:type="dxa"/>
            <w:tcBorders>
              <w:top w:val="single" w:sz="6" w:space="0" w:color="auto"/>
              <w:left w:val="single" w:sz="6" w:space="0" w:color="auto"/>
              <w:bottom w:val="single" w:sz="6" w:space="0" w:color="auto"/>
              <w:right w:val="single" w:sz="4" w:space="0" w:color="auto"/>
            </w:tcBorders>
            <w:noWrap/>
            <w:vAlign w:val="bottom"/>
            <w:hideMark/>
          </w:tcPr>
          <w:p w14:paraId="595BB6E6" w14:textId="77777777" w:rsidR="003E148C" w:rsidRPr="00153E66" w:rsidRDefault="003E148C" w:rsidP="0026218B">
            <w:pPr>
              <w:rPr>
                <w:sz w:val="20"/>
                <w:szCs w:val="20"/>
                <w:lang w:eastAsia="pt-PT"/>
              </w:rPr>
            </w:pPr>
            <w:r w:rsidRPr="00153E66">
              <w:rPr>
                <w:sz w:val="20"/>
                <w:szCs w:val="20"/>
                <w:lang w:eastAsia="pt-PT"/>
              </w:rPr>
              <w:t>2009</w:t>
            </w:r>
          </w:p>
        </w:tc>
      </w:tr>
      <w:tr w:rsidR="003E148C" w:rsidRPr="00BB71F9" w14:paraId="59BFB9E6" w14:textId="77777777" w:rsidTr="0026218B">
        <w:trPr>
          <w:trHeight w:val="288"/>
        </w:trPr>
        <w:tc>
          <w:tcPr>
            <w:tcW w:w="2689" w:type="dxa"/>
            <w:tcBorders>
              <w:top w:val="single" w:sz="6" w:space="0" w:color="auto"/>
              <w:left w:val="single" w:sz="4" w:space="0" w:color="auto"/>
              <w:bottom w:val="single" w:sz="4" w:space="0" w:color="auto"/>
              <w:right w:val="single" w:sz="6" w:space="0" w:color="auto"/>
            </w:tcBorders>
            <w:noWrap/>
            <w:vAlign w:val="bottom"/>
            <w:hideMark/>
          </w:tcPr>
          <w:p w14:paraId="2A36816A" w14:textId="77777777" w:rsidR="003E148C" w:rsidRPr="00153E66" w:rsidRDefault="003E148C" w:rsidP="0026218B">
            <w:pPr>
              <w:rPr>
                <w:sz w:val="20"/>
                <w:szCs w:val="20"/>
                <w:lang w:eastAsia="pt-PT"/>
              </w:rPr>
            </w:pPr>
            <w:r w:rsidRPr="00153E66">
              <w:rPr>
                <w:sz w:val="20"/>
                <w:szCs w:val="20"/>
                <w:lang w:eastAsia="pt-PT"/>
              </w:rPr>
              <w:t>Vouzela</w:t>
            </w:r>
          </w:p>
        </w:tc>
        <w:tc>
          <w:tcPr>
            <w:tcW w:w="1390" w:type="dxa"/>
            <w:tcBorders>
              <w:top w:val="single" w:sz="6" w:space="0" w:color="auto"/>
              <w:left w:val="single" w:sz="6" w:space="0" w:color="auto"/>
              <w:bottom w:val="single" w:sz="4" w:space="0" w:color="auto"/>
              <w:right w:val="single" w:sz="4" w:space="0" w:color="auto"/>
            </w:tcBorders>
            <w:noWrap/>
            <w:vAlign w:val="bottom"/>
            <w:hideMark/>
          </w:tcPr>
          <w:p w14:paraId="080F9B26" w14:textId="77777777" w:rsidR="003E148C" w:rsidRPr="00153E66" w:rsidRDefault="003E148C" w:rsidP="0026218B">
            <w:pPr>
              <w:rPr>
                <w:sz w:val="20"/>
                <w:szCs w:val="20"/>
                <w:lang w:eastAsia="pt-PT"/>
              </w:rPr>
            </w:pPr>
            <w:r w:rsidRPr="00153E66">
              <w:rPr>
                <w:sz w:val="20"/>
                <w:szCs w:val="20"/>
                <w:lang w:eastAsia="pt-PT"/>
              </w:rPr>
              <w:t>2009</w:t>
            </w:r>
          </w:p>
        </w:tc>
      </w:tr>
    </w:tbl>
    <w:p w14:paraId="2B4B9621" w14:textId="77777777" w:rsidR="003E148C" w:rsidRPr="002B5BE5" w:rsidRDefault="003E148C" w:rsidP="003E148C">
      <w:pPr>
        <w:autoSpaceDE w:val="0"/>
        <w:autoSpaceDN w:val="0"/>
        <w:adjustRightInd w:val="0"/>
        <w:spacing w:line="480" w:lineRule="auto"/>
        <w:ind w:firstLine="720"/>
      </w:pPr>
    </w:p>
    <w:p w14:paraId="0DCB4735" w14:textId="77777777" w:rsidR="003E148C" w:rsidRPr="002B5BE5" w:rsidRDefault="003E148C" w:rsidP="003E148C">
      <w:pPr>
        <w:rPr>
          <w:b/>
        </w:rPr>
        <w:sectPr w:rsidR="003E148C" w:rsidRPr="002B5BE5" w:rsidSect="0026218B">
          <w:type w:val="continuous"/>
          <w:pgSz w:w="12240" w:h="15840"/>
          <w:pgMar w:top="1440" w:right="1440" w:bottom="1440" w:left="1440" w:header="720" w:footer="720" w:gutter="0"/>
          <w:cols w:num="2" w:space="720"/>
          <w:docGrid w:linePitch="360"/>
        </w:sectPr>
      </w:pPr>
    </w:p>
    <w:p w14:paraId="4A778037" w14:textId="77777777" w:rsidR="003E148C" w:rsidRDefault="003E148C" w:rsidP="003E148C">
      <w:pPr>
        <w:pStyle w:val="TableCaption"/>
        <w:spacing w:line="240" w:lineRule="auto"/>
        <w:rPr>
          <w:b/>
        </w:rPr>
      </w:pPr>
      <w:r w:rsidRPr="00E94742">
        <w:rPr>
          <w:b/>
        </w:rPr>
        <w:t>Table A2. List of industries</w:t>
      </w:r>
    </w:p>
    <w:p w14:paraId="657E8E27" w14:textId="77777777" w:rsidR="003E148C" w:rsidRPr="0058683A" w:rsidRDefault="003E148C" w:rsidP="003E148C">
      <w:pPr>
        <w:pStyle w:val="TableCaption"/>
        <w:spacing w:line="240" w:lineRule="auto"/>
      </w:pPr>
    </w:p>
    <w:p w14:paraId="432055A5" w14:textId="77777777" w:rsidR="003E148C" w:rsidRPr="0058683A" w:rsidRDefault="003E148C" w:rsidP="003E148C">
      <w:pPr>
        <w:pStyle w:val="BodyTextIndent"/>
        <w:spacing w:line="240" w:lineRule="auto"/>
        <w:ind w:firstLine="180"/>
      </w:pPr>
      <w:r w:rsidRPr="0058683A">
        <w:t xml:space="preserve"> </w:t>
      </w:r>
      <w:r>
        <w:t xml:space="preserve">1 </w:t>
      </w:r>
      <w:r w:rsidRPr="0058683A">
        <w:t>- Agriculture, Livestock, Hunting and Forestry</w:t>
      </w:r>
    </w:p>
    <w:p w14:paraId="4A826EDC" w14:textId="77777777" w:rsidR="003E148C" w:rsidRPr="0058683A" w:rsidRDefault="003E148C" w:rsidP="003E148C">
      <w:pPr>
        <w:pStyle w:val="BodyTextIndent"/>
        <w:spacing w:line="240" w:lineRule="auto"/>
        <w:ind w:firstLine="180"/>
      </w:pPr>
      <w:r w:rsidRPr="0058683A">
        <w:t> 2 - Fishing</w:t>
      </w:r>
    </w:p>
    <w:p w14:paraId="08E3D88C" w14:textId="77777777" w:rsidR="003E148C" w:rsidRPr="0058683A" w:rsidRDefault="003E148C" w:rsidP="003E148C">
      <w:pPr>
        <w:pStyle w:val="BodyTextIndent"/>
        <w:spacing w:line="240" w:lineRule="auto"/>
        <w:ind w:firstLine="180"/>
      </w:pPr>
      <w:r w:rsidRPr="0058683A">
        <w:t> 3 - Extraction of Energy Products</w:t>
      </w:r>
    </w:p>
    <w:p w14:paraId="27F7388B" w14:textId="77777777" w:rsidR="003E148C" w:rsidRPr="0058683A" w:rsidRDefault="003E148C" w:rsidP="003E148C">
      <w:pPr>
        <w:pStyle w:val="BodyTextIndent"/>
        <w:spacing w:line="240" w:lineRule="auto"/>
        <w:ind w:firstLine="180"/>
      </w:pPr>
      <w:r w:rsidRPr="0058683A">
        <w:t> 4 - Extractive Industries Excluding Extraction of Energy Products</w:t>
      </w:r>
    </w:p>
    <w:p w14:paraId="5241037D" w14:textId="77777777" w:rsidR="003E148C" w:rsidRPr="0058683A" w:rsidRDefault="003E148C" w:rsidP="003E148C">
      <w:pPr>
        <w:pStyle w:val="BodyTextIndent"/>
        <w:spacing w:line="240" w:lineRule="auto"/>
        <w:ind w:firstLine="180"/>
      </w:pPr>
      <w:r w:rsidRPr="0058683A">
        <w:t> 5 - Food, Beverage and Tobacco Industries</w:t>
      </w:r>
    </w:p>
    <w:p w14:paraId="232FA7D5" w14:textId="77777777" w:rsidR="003E148C" w:rsidRPr="0058683A" w:rsidRDefault="003E148C" w:rsidP="003E148C">
      <w:pPr>
        <w:pStyle w:val="BodyTextIndent"/>
        <w:spacing w:line="240" w:lineRule="auto"/>
        <w:ind w:firstLine="180"/>
      </w:pPr>
      <w:r w:rsidRPr="0058683A">
        <w:t> 6 - Textile Industry</w:t>
      </w:r>
    </w:p>
    <w:p w14:paraId="76464C8D" w14:textId="77777777" w:rsidR="003E148C" w:rsidRPr="0058683A" w:rsidRDefault="003E148C" w:rsidP="003E148C">
      <w:pPr>
        <w:pStyle w:val="BodyTextIndent"/>
        <w:spacing w:line="240" w:lineRule="auto"/>
        <w:ind w:firstLine="180"/>
      </w:pPr>
      <w:r w:rsidRPr="0058683A">
        <w:t> 7 - Leather and Leather Products Industry</w:t>
      </w:r>
    </w:p>
    <w:p w14:paraId="01F3A394" w14:textId="77777777" w:rsidR="003E148C" w:rsidRPr="0058683A" w:rsidRDefault="003E148C" w:rsidP="003E148C">
      <w:pPr>
        <w:pStyle w:val="BodyTextIndent"/>
        <w:spacing w:line="240" w:lineRule="auto"/>
        <w:ind w:firstLine="180"/>
      </w:pPr>
      <w:r w:rsidRPr="0058683A">
        <w:t> 8 - Industries of Madeira and Cork and their Works</w:t>
      </w:r>
    </w:p>
    <w:p w14:paraId="7AD71D09" w14:textId="77777777" w:rsidR="003E148C" w:rsidRPr="0058683A" w:rsidRDefault="003E148C" w:rsidP="003E148C">
      <w:pPr>
        <w:pStyle w:val="BodyTextIndent"/>
        <w:spacing w:line="240" w:lineRule="auto"/>
        <w:ind w:firstLine="180"/>
      </w:pPr>
      <w:r w:rsidRPr="0058683A">
        <w:t> 9 - Pulp and Paper Industries and their Articles, Edition and Printing</w:t>
      </w:r>
    </w:p>
    <w:p w14:paraId="2981CBEC" w14:textId="77777777" w:rsidR="003E148C" w:rsidRPr="0058683A" w:rsidRDefault="003E148C" w:rsidP="003E148C">
      <w:pPr>
        <w:pStyle w:val="BodyTextIndent"/>
        <w:spacing w:line="240" w:lineRule="auto"/>
        <w:ind w:firstLine="180"/>
      </w:pPr>
      <w:r w:rsidRPr="0058683A">
        <w:t>10 - Manufacture of Coke, Refined Petroleum Products and Nuclear Fuel</w:t>
      </w:r>
    </w:p>
    <w:p w14:paraId="7378EBA2" w14:textId="77777777" w:rsidR="003E148C" w:rsidRPr="0058683A" w:rsidRDefault="003E148C" w:rsidP="003E148C">
      <w:pPr>
        <w:pStyle w:val="BodyTextIndent"/>
        <w:spacing w:line="240" w:lineRule="auto"/>
        <w:ind w:firstLine="180"/>
      </w:pPr>
      <w:r w:rsidRPr="0058683A">
        <w:t>11 - Manufacture of Chemicals and Synthetic or Artificial Fibers</w:t>
      </w:r>
    </w:p>
    <w:p w14:paraId="00F489F6" w14:textId="77777777" w:rsidR="003E148C" w:rsidRPr="0058683A" w:rsidRDefault="003E148C" w:rsidP="003E148C">
      <w:pPr>
        <w:pStyle w:val="BodyTextIndent"/>
        <w:spacing w:line="240" w:lineRule="auto"/>
        <w:ind w:firstLine="180"/>
      </w:pPr>
      <w:r w:rsidRPr="0058683A">
        <w:t>12 - Manufacture of Articles of Rubber and Plastics</w:t>
      </w:r>
    </w:p>
    <w:p w14:paraId="405D4941" w14:textId="77777777" w:rsidR="003E148C" w:rsidRPr="0058683A" w:rsidRDefault="003E148C" w:rsidP="003E148C">
      <w:pPr>
        <w:pStyle w:val="BodyTextIndent"/>
        <w:spacing w:line="240" w:lineRule="auto"/>
        <w:ind w:firstLine="180"/>
      </w:pPr>
      <w:r w:rsidRPr="0058683A">
        <w:t>13 - Manufacture of Other Non-Metallic Mineral Products</w:t>
      </w:r>
    </w:p>
    <w:p w14:paraId="55D026DE" w14:textId="77777777" w:rsidR="003E148C" w:rsidRPr="0058683A" w:rsidRDefault="003E148C" w:rsidP="003E148C">
      <w:pPr>
        <w:pStyle w:val="BodyTextIndent"/>
        <w:spacing w:line="240" w:lineRule="auto"/>
        <w:ind w:firstLine="180"/>
      </w:pPr>
      <w:r w:rsidRPr="0058683A">
        <w:t>14 - Basic Metallurgical Industries and Metal Products</w:t>
      </w:r>
    </w:p>
    <w:p w14:paraId="2D6FF94D" w14:textId="77777777" w:rsidR="003E148C" w:rsidRPr="0058683A" w:rsidRDefault="003E148C" w:rsidP="003E148C">
      <w:pPr>
        <w:pStyle w:val="BodyTextIndent"/>
        <w:spacing w:line="240" w:lineRule="auto"/>
        <w:ind w:firstLine="180"/>
      </w:pPr>
      <w:r w:rsidRPr="0058683A">
        <w:t>15 - Manufacture of Machinery and Equipment N.E.</w:t>
      </w:r>
    </w:p>
    <w:p w14:paraId="3BBBD2F8" w14:textId="77777777" w:rsidR="003E148C" w:rsidRPr="0058683A" w:rsidRDefault="003E148C" w:rsidP="003E148C">
      <w:pPr>
        <w:pStyle w:val="BodyTextIndent"/>
        <w:spacing w:line="240" w:lineRule="auto"/>
        <w:ind w:firstLine="180"/>
      </w:pPr>
      <w:r w:rsidRPr="0058683A">
        <w:t>16 - Manufacture of Electrical and Optical Equipment</w:t>
      </w:r>
    </w:p>
    <w:p w14:paraId="2F993F53" w14:textId="77777777" w:rsidR="003E148C" w:rsidRPr="0058683A" w:rsidRDefault="003E148C" w:rsidP="003E148C">
      <w:pPr>
        <w:pStyle w:val="BodyTextIndent"/>
        <w:spacing w:line="240" w:lineRule="auto"/>
        <w:ind w:firstLine="180"/>
      </w:pPr>
      <w:r w:rsidRPr="0058683A">
        <w:t>17 - Manufacture of Transportation Equipment</w:t>
      </w:r>
    </w:p>
    <w:p w14:paraId="251F14B7" w14:textId="77777777" w:rsidR="003E148C" w:rsidRPr="0058683A" w:rsidRDefault="003E148C" w:rsidP="003E148C">
      <w:pPr>
        <w:pStyle w:val="BodyTextIndent"/>
        <w:spacing w:line="240" w:lineRule="auto"/>
        <w:ind w:firstLine="180"/>
      </w:pPr>
      <w:r w:rsidRPr="0058683A">
        <w:t>18 - Manufacturing Industries N.E.</w:t>
      </w:r>
    </w:p>
    <w:p w14:paraId="346A87D9" w14:textId="77777777" w:rsidR="003E148C" w:rsidRPr="0058683A" w:rsidRDefault="003E148C" w:rsidP="003E148C">
      <w:pPr>
        <w:pStyle w:val="BodyTextIndent"/>
        <w:spacing w:line="240" w:lineRule="auto"/>
        <w:ind w:firstLine="180"/>
      </w:pPr>
      <w:r w:rsidRPr="0058683A">
        <w:t>19 - Production and Distribution of Electricity, Gas and Water</w:t>
      </w:r>
    </w:p>
    <w:p w14:paraId="75EA61BA" w14:textId="77777777" w:rsidR="003E148C" w:rsidRPr="0058683A" w:rsidRDefault="003E148C" w:rsidP="003E148C">
      <w:pPr>
        <w:pStyle w:val="BodyTextIndent"/>
        <w:spacing w:line="240" w:lineRule="auto"/>
        <w:ind w:firstLine="180"/>
      </w:pPr>
      <w:r w:rsidRPr="0058683A">
        <w:t>20 - Construction</w:t>
      </w:r>
    </w:p>
    <w:p w14:paraId="3BB40ADE" w14:textId="77777777" w:rsidR="003E148C" w:rsidRPr="0058683A" w:rsidRDefault="003E148C" w:rsidP="003E148C">
      <w:pPr>
        <w:pStyle w:val="BodyTextIndent"/>
        <w:spacing w:line="240" w:lineRule="auto"/>
        <w:ind w:left="630" w:hanging="450"/>
      </w:pPr>
      <w:r w:rsidRPr="0058683A">
        <w:t>21 - Wholesale and Retail, Repair of Motor Vehicles, Motorcycles and Personal and Household</w:t>
      </w:r>
      <w:r>
        <w:t xml:space="preserve"> </w:t>
      </w:r>
      <w:r w:rsidRPr="0058683A">
        <w:t>Goods</w:t>
      </w:r>
    </w:p>
    <w:p w14:paraId="0511A884" w14:textId="77777777" w:rsidR="003E148C" w:rsidRPr="0058683A" w:rsidRDefault="003E148C" w:rsidP="003E148C">
      <w:pPr>
        <w:pStyle w:val="BodyTextIndent"/>
        <w:spacing w:line="240" w:lineRule="auto"/>
        <w:ind w:firstLine="180"/>
      </w:pPr>
      <w:r w:rsidRPr="0058683A">
        <w:t>22 - Accommodation and Restaurant (Restaurants and Similar)</w:t>
      </w:r>
    </w:p>
    <w:p w14:paraId="117A7678" w14:textId="77777777" w:rsidR="003E148C" w:rsidRPr="0058683A" w:rsidRDefault="003E148C" w:rsidP="003E148C">
      <w:pPr>
        <w:pStyle w:val="BodyTextIndent"/>
        <w:spacing w:line="240" w:lineRule="auto"/>
        <w:ind w:firstLine="180"/>
      </w:pPr>
      <w:r w:rsidRPr="0058683A">
        <w:t>23 - Transport, Storage and Communications</w:t>
      </w:r>
    </w:p>
    <w:p w14:paraId="221F9B02" w14:textId="77777777" w:rsidR="003E148C" w:rsidRPr="0058683A" w:rsidRDefault="003E148C" w:rsidP="003E148C">
      <w:pPr>
        <w:pStyle w:val="BodyTextIndent"/>
        <w:spacing w:line="240" w:lineRule="auto"/>
        <w:ind w:firstLine="180"/>
      </w:pPr>
      <w:r w:rsidRPr="0058683A">
        <w:t>24 - Financial Activities</w:t>
      </w:r>
    </w:p>
    <w:p w14:paraId="318A6528" w14:textId="77777777" w:rsidR="003E148C" w:rsidRPr="0058683A" w:rsidRDefault="003E148C" w:rsidP="003E148C">
      <w:pPr>
        <w:pStyle w:val="BodyTextIndent"/>
        <w:spacing w:line="240" w:lineRule="auto"/>
        <w:ind w:firstLine="180"/>
      </w:pPr>
      <w:r w:rsidRPr="0058683A">
        <w:t>25 - Real Estate Activities, Rental and Business Services</w:t>
      </w:r>
    </w:p>
    <w:p w14:paraId="255789AC" w14:textId="77777777" w:rsidR="003E148C" w:rsidRPr="0058683A" w:rsidRDefault="003E148C" w:rsidP="003E148C">
      <w:pPr>
        <w:pStyle w:val="BodyTextIndent"/>
        <w:spacing w:line="240" w:lineRule="auto"/>
        <w:ind w:firstLine="180"/>
      </w:pPr>
      <w:r w:rsidRPr="0058683A">
        <w:t>26 - Public Administration, Defense and Compulsory Social Security</w:t>
      </w:r>
    </w:p>
    <w:p w14:paraId="2A4952AB" w14:textId="77777777" w:rsidR="003E148C" w:rsidRPr="0058683A" w:rsidRDefault="003E148C" w:rsidP="003E148C">
      <w:pPr>
        <w:pStyle w:val="BodyTextIndent"/>
        <w:spacing w:line="240" w:lineRule="auto"/>
        <w:ind w:firstLine="180"/>
      </w:pPr>
      <w:r w:rsidRPr="0058683A">
        <w:t>27 - Education</w:t>
      </w:r>
    </w:p>
    <w:p w14:paraId="59F53306" w14:textId="77777777" w:rsidR="003E148C" w:rsidRPr="0058683A" w:rsidRDefault="003E148C" w:rsidP="003E148C">
      <w:pPr>
        <w:pStyle w:val="BodyTextIndent"/>
        <w:spacing w:line="240" w:lineRule="auto"/>
        <w:ind w:firstLine="180"/>
      </w:pPr>
      <w:r w:rsidRPr="0058683A">
        <w:t>28 - Health and Social Action</w:t>
      </w:r>
    </w:p>
    <w:p w14:paraId="2EB36345" w14:textId="77777777" w:rsidR="003E148C" w:rsidRPr="0058683A" w:rsidRDefault="003E148C" w:rsidP="003E148C">
      <w:pPr>
        <w:pStyle w:val="BodyTextIndent"/>
        <w:spacing w:line="240" w:lineRule="auto"/>
        <w:ind w:firstLine="180"/>
      </w:pPr>
      <w:r w:rsidRPr="0058683A">
        <w:t>29 - Other Collective, Social and Personal Services Activities</w:t>
      </w:r>
    </w:p>
    <w:p w14:paraId="32F40BBC" w14:textId="77777777" w:rsidR="003E148C" w:rsidRPr="0058683A" w:rsidRDefault="003E148C" w:rsidP="003E148C">
      <w:pPr>
        <w:pStyle w:val="BodyTextIndent"/>
        <w:spacing w:line="240" w:lineRule="auto"/>
        <w:ind w:firstLine="180"/>
      </w:pPr>
      <w:r w:rsidRPr="0058683A">
        <w:t>30 - Families with Domestic Employees</w:t>
      </w:r>
    </w:p>
    <w:p w14:paraId="5772F194" w14:textId="77777777" w:rsidR="003E148C" w:rsidRDefault="003E148C" w:rsidP="003E148C">
      <w:pPr>
        <w:pStyle w:val="TableCaption"/>
        <w:spacing w:line="240" w:lineRule="auto"/>
        <w:rPr>
          <w:b/>
          <w:sz w:val="24"/>
          <w:szCs w:val="24"/>
        </w:rPr>
      </w:pPr>
    </w:p>
    <w:p w14:paraId="6FAAA323" w14:textId="77777777" w:rsidR="003E148C" w:rsidRDefault="003E148C" w:rsidP="003E148C">
      <w:pPr>
        <w:rPr>
          <w:b/>
        </w:rPr>
      </w:pPr>
      <w:r>
        <w:rPr>
          <w:b/>
        </w:rPr>
        <w:br w:type="page"/>
      </w:r>
    </w:p>
    <w:p w14:paraId="004176E5" w14:textId="77777777" w:rsidR="003E148C" w:rsidRDefault="003E148C" w:rsidP="003E148C">
      <w:pPr>
        <w:pStyle w:val="TableCaption"/>
        <w:spacing w:line="240" w:lineRule="auto"/>
        <w:rPr>
          <w:b/>
        </w:rPr>
      </w:pPr>
      <w:r w:rsidRPr="00B200A7">
        <w:rPr>
          <w:b/>
        </w:rPr>
        <w:t>Table A3. Effect of the reform on the number of new firms</w:t>
      </w:r>
    </w:p>
    <w:p w14:paraId="6AE6EBB2" w14:textId="77777777" w:rsidR="000174C0" w:rsidRDefault="000174C0" w:rsidP="003E148C">
      <w:pPr>
        <w:keepNext/>
        <w:keepLines/>
        <w:autoSpaceDE w:val="0"/>
        <w:autoSpaceDN w:val="0"/>
        <w:adjustRightInd w:val="0"/>
        <w:outlineLvl w:val="1"/>
        <w:rPr>
          <w:b/>
          <w:sz w:val="22"/>
          <w:szCs w:val="22"/>
        </w:rPr>
      </w:pPr>
    </w:p>
    <w:tbl>
      <w:tblPr>
        <w:tblW w:w="0" w:type="auto"/>
        <w:tblCellMar>
          <w:left w:w="144" w:type="dxa"/>
          <w:right w:w="144" w:type="dxa"/>
        </w:tblCellMar>
        <w:tblLook w:val="0000" w:firstRow="0" w:lastRow="0" w:firstColumn="0" w:lastColumn="0" w:noHBand="0" w:noVBand="0"/>
      </w:tblPr>
      <w:tblGrid>
        <w:gridCol w:w="144"/>
        <w:gridCol w:w="2208"/>
        <w:gridCol w:w="1478"/>
        <w:gridCol w:w="1417"/>
        <w:gridCol w:w="1541"/>
        <w:gridCol w:w="27"/>
        <w:gridCol w:w="1402"/>
      </w:tblGrid>
      <w:tr w:rsidR="000174C0" w:rsidRPr="008D41F9" w14:paraId="12E1E9B7" w14:textId="77777777" w:rsidTr="00D97357">
        <w:tc>
          <w:tcPr>
            <w:tcW w:w="2352" w:type="dxa"/>
            <w:gridSpan w:val="2"/>
            <w:tcBorders>
              <w:top w:val="single" w:sz="6" w:space="0" w:color="auto"/>
              <w:left w:val="nil"/>
              <w:bottom w:val="nil"/>
              <w:right w:val="nil"/>
            </w:tcBorders>
          </w:tcPr>
          <w:p w14:paraId="32EB9D0F" w14:textId="77777777" w:rsidR="000174C0" w:rsidRPr="008D41F9" w:rsidRDefault="000174C0" w:rsidP="00D97357">
            <w:pPr>
              <w:widowControl w:val="0"/>
              <w:autoSpaceDE w:val="0"/>
              <w:autoSpaceDN w:val="0"/>
              <w:adjustRightInd w:val="0"/>
              <w:jc w:val="center"/>
              <w:rPr>
                <w:sz w:val="20"/>
                <w:szCs w:val="20"/>
              </w:rPr>
            </w:pPr>
          </w:p>
        </w:tc>
        <w:tc>
          <w:tcPr>
            <w:tcW w:w="1478" w:type="dxa"/>
            <w:tcBorders>
              <w:top w:val="single" w:sz="6" w:space="0" w:color="auto"/>
              <w:left w:val="nil"/>
              <w:bottom w:val="nil"/>
              <w:right w:val="nil"/>
            </w:tcBorders>
          </w:tcPr>
          <w:p w14:paraId="13F51CD2"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(1)</w:t>
            </w:r>
          </w:p>
          <w:p w14:paraId="3D5F6BFF"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Startups</w:t>
            </w:r>
          </w:p>
          <w:p w14:paraId="10BEE8F6"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number</w:t>
            </w:r>
          </w:p>
        </w:tc>
        <w:tc>
          <w:tcPr>
            <w:tcW w:w="1417" w:type="dxa"/>
            <w:tcBorders>
              <w:top w:val="single" w:sz="6" w:space="0" w:color="auto"/>
              <w:left w:val="nil"/>
              <w:bottom w:val="nil"/>
              <w:right w:val="nil"/>
            </w:tcBorders>
          </w:tcPr>
          <w:p w14:paraId="06FBD83F"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(2)</w:t>
            </w:r>
          </w:p>
          <w:p w14:paraId="06A3A92E"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Log startups</w:t>
            </w:r>
          </w:p>
          <w:p w14:paraId="4F9DF757"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number</w:t>
            </w:r>
          </w:p>
        </w:tc>
        <w:tc>
          <w:tcPr>
            <w:tcW w:w="1541" w:type="dxa"/>
            <w:tcBorders>
              <w:top w:val="single" w:sz="6" w:space="0" w:color="auto"/>
              <w:left w:val="nil"/>
              <w:bottom w:val="nil"/>
              <w:right w:val="nil"/>
            </w:tcBorders>
          </w:tcPr>
          <w:p w14:paraId="7A26B632"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(3)</w:t>
            </w:r>
          </w:p>
          <w:p w14:paraId="3A288417"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Startups</w:t>
            </w:r>
          </w:p>
          <w:p w14:paraId="3F603DCC"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number</w:t>
            </w:r>
          </w:p>
        </w:tc>
        <w:tc>
          <w:tcPr>
            <w:tcW w:w="1429" w:type="dxa"/>
            <w:gridSpan w:val="2"/>
            <w:tcBorders>
              <w:top w:val="single" w:sz="6" w:space="0" w:color="auto"/>
              <w:left w:val="nil"/>
              <w:bottom w:val="nil"/>
              <w:right w:val="nil"/>
            </w:tcBorders>
          </w:tcPr>
          <w:p w14:paraId="6A2F93F9"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(4)</w:t>
            </w:r>
          </w:p>
          <w:p w14:paraId="3E4CA1A1"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Log startups</w:t>
            </w:r>
          </w:p>
          <w:p w14:paraId="1CE18617" w14:textId="77777777" w:rsidR="000174C0" w:rsidRPr="008D41F9" w:rsidRDefault="000174C0" w:rsidP="00D97357">
            <w:pPr>
              <w:widowControl w:val="0"/>
              <w:autoSpaceDE w:val="0"/>
              <w:autoSpaceDN w:val="0"/>
              <w:adjustRightInd w:val="0"/>
              <w:jc w:val="center"/>
              <w:rPr>
                <w:sz w:val="20"/>
                <w:szCs w:val="20"/>
              </w:rPr>
            </w:pPr>
            <w:r w:rsidRPr="008D41F9">
              <w:rPr>
                <w:sz w:val="20"/>
                <w:szCs w:val="20"/>
              </w:rPr>
              <w:t>number</w:t>
            </w:r>
          </w:p>
        </w:tc>
      </w:tr>
      <w:tr w:rsidR="000174C0" w:rsidRPr="008D41F9" w14:paraId="309E455A" w14:textId="77777777" w:rsidTr="00D97357">
        <w:tc>
          <w:tcPr>
            <w:tcW w:w="2352" w:type="dxa"/>
            <w:gridSpan w:val="2"/>
            <w:tcBorders>
              <w:top w:val="single" w:sz="6" w:space="0" w:color="auto"/>
              <w:left w:val="nil"/>
              <w:bottom w:val="nil"/>
              <w:right w:val="nil"/>
            </w:tcBorders>
          </w:tcPr>
          <w:p w14:paraId="7FCFBE49" w14:textId="77777777" w:rsidR="000174C0" w:rsidRPr="008D41F9" w:rsidRDefault="000174C0" w:rsidP="00D97357">
            <w:pPr>
              <w:widowControl w:val="0"/>
              <w:autoSpaceDE w:val="0"/>
              <w:autoSpaceDN w:val="0"/>
              <w:adjustRightInd w:val="0"/>
              <w:rPr>
                <w:sz w:val="20"/>
                <w:szCs w:val="20"/>
              </w:rPr>
            </w:pPr>
            <w:r w:rsidRPr="008D41F9">
              <w:rPr>
                <w:sz w:val="20"/>
                <w:szCs w:val="20"/>
              </w:rPr>
              <w:t>Entry deregulation</w:t>
            </w:r>
          </w:p>
        </w:tc>
        <w:tc>
          <w:tcPr>
            <w:tcW w:w="1478" w:type="dxa"/>
            <w:tcBorders>
              <w:top w:val="single" w:sz="6" w:space="0" w:color="auto"/>
              <w:left w:val="nil"/>
              <w:bottom w:val="nil"/>
              <w:right w:val="nil"/>
            </w:tcBorders>
          </w:tcPr>
          <w:p w14:paraId="5FC3E82F"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12.7970</w:t>
            </w:r>
          </w:p>
        </w:tc>
        <w:tc>
          <w:tcPr>
            <w:tcW w:w="1417" w:type="dxa"/>
            <w:tcBorders>
              <w:top w:val="single" w:sz="6" w:space="0" w:color="auto"/>
              <w:left w:val="nil"/>
              <w:bottom w:val="nil"/>
              <w:right w:val="nil"/>
            </w:tcBorders>
          </w:tcPr>
          <w:p w14:paraId="79AF420A"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0.0627</w:t>
            </w:r>
          </w:p>
        </w:tc>
        <w:tc>
          <w:tcPr>
            <w:tcW w:w="1541" w:type="dxa"/>
            <w:tcBorders>
              <w:top w:val="single" w:sz="6" w:space="0" w:color="auto"/>
              <w:left w:val="nil"/>
              <w:bottom w:val="nil"/>
              <w:right w:val="nil"/>
            </w:tcBorders>
          </w:tcPr>
          <w:p w14:paraId="53857A35"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0.5516</w:t>
            </w:r>
          </w:p>
        </w:tc>
        <w:tc>
          <w:tcPr>
            <w:tcW w:w="1429" w:type="dxa"/>
            <w:gridSpan w:val="2"/>
            <w:tcBorders>
              <w:top w:val="single" w:sz="6" w:space="0" w:color="auto"/>
              <w:left w:val="nil"/>
              <w:bottom w:val="nil"/>
              <w:right w:val="nil"/>
            </w:tcBorders>
          </w:tcPr>
          <w:p w14:paraId="42AE37C4"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0.0396</w:t>
            </w:r>
          </w:p>
        </w:tc>
      </w:tr>
      <w:tr w:rsidR="000174C0" w:rsidRPr="008D41F9" w14:paraId="52FF7100" w14:textId="77777777" w:rsidTr="00D97357">
        <w:tc>
          <w:tcPr>
            <w:tcW w:w="2352" w:type="dxa"/>
            <w:gridSpan w:val="2"/>
            <w:tcBorders>
              <w:top w:val="nil"/>
              <w:left w:val="nil"/>
              <w:bottom w:val="nil"/>
              <w:right w:val="nil"/>
            </w:tcBorders>
          </w:tcPr>
          <w:p w14:paraId="42D75DCB" w14:textId="77777777" w:rsidR="000174C0" w:rsidRPr="008D41F9" w:rsidRDefault="000174C0" w:rsidP="00D97357">
            <w:pPr>
              <w:widowControl w:val="0"/>
              <w:autoSpaceDE w:val="0"/>
              <w:autoSpaceDN w:val="0"/>
              <w:adjustRightInd w:val="0"/>
              <w:rPr>
                <w:sz w:val="20"/>
                <w:szCs w:val="20"/>
              </w:rPr>
            </w:pPr>
          </w:p>
        </w:tc>
        <w:tc>
          <w:tcPr>
            <w:tcW w:w="1478" w:type="dxa"/>
            <w:tcBorders>
              <w:top w:val="nil"/>
              <w:left w:val="nil"/>
              <w:bottom w:val="nil"/>
              <w:right w:val="nil"/>
            </w:tcBorders>
          </w:tcPr>
          <w:p w14:paraId="5B361541"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(3.0131)</w:t>
            </w:r>
          </w:p>
        </w:tc>
        <w:tc>
          <w:tcPr>
            <w:tcW w:w="1417" w:type="dxa"/>
            <w:tcBorders>
              <w:top w:val="nil"/>
              <w:left w:val="nil"/>
              <w:bottom w:val="nil"/>
              <w:right w:val="nil"/>
            </w:tcBorders>
          </w:tcPr>
          <w:p w14:paraId="44DA36A7"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(0.0219)</w:t>
            </w:r>
          </w:p>
        </w:tc>
        <w:tc>
          <w:tcPr>
            <w:tcW w:w="1541" w:type="dxa"/>
            <w:tcBorders>
              <w:top w:val="nil"/>
              <w:left w:val="nil"/>
              <w:bottom w:val="nil"/>
              <w:right w:val="nil"/>
            </w:tcBorders>
          </w:tcPr>
          <w:p w14:paraId="026F8EEC"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(0.1301)</w:t>
            </w:r>
          </w:p>
        </w:tc>
        <w:tc>
          <w:tcPr>
            <w:tcW w:w="1429" w:type="dxa"/>
            <w:gridSpan w:val="2"/>
            <w:tcBorders>
              <w:top w:val="nil"/>
              <w:left w:val="nil"/>
              <w:bottom w:val="nil"/>
              <w:right w:val="nil"/>
            </w:tcBorders>
          </w:tcPr>
          <w:p w14:paraId="0CCA9694"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(0.0092)</w:t>
            </w:r>
          </w:p>
        </w:tc>
      </w:tr>
      <w:tr w:rsidR="000174C0" w:rsidRPr="008D41F9" w14:paraId="20AABD0F" w14:textId="77777777" w:rsidTr="00D97357">
        <w:tc>
          <w:tcPr>
            <w:tcW w:w="2352" w:type="dxa"/>
            <w:gridSpan w:val="2"/>
            <w:tcBorders>
              <w:top w:val="nil"/>
              <w:left w:val="nil"/>
              <w:bottom w:val="nil"/>
              <w:right w:val="nil"/>
            </w:tcBorders>
          </w:tcPr>
          <w:p w14:paraId="2C9EF78A" w14:textId="77777777" w:rsidR="000174C0" w:rsidRPr="008D41F9" w:rsidRDefault="000174C0" w:rsidP="00D97357">
            <w:pPr>
              <w:widowControl w:val="0"/>
              <w:autoSpaceDE w:val="0"/>
              <w:autoSpaceDN w:val="0"/>
              <w:adjustRightInd w:val="0"/>
              <w:rPr>
                <w:sz w:val="20"/>
                <w:szCs w:val="20"/>
              </w:rPr>
            </w:pPr>
            <w:r w:rsidRPr="008D41F9">
              <w:rPr>
                <w:sz w:val="20"/>
                <w:szCs w:val="20"/>
              </w:rPr>
              <w:t>Avgerage income (ln)</w:t>
            </w:r>
          </w:p>
        </w:tc>
        <w:tc>
          <w:tcPr>
            <w:tcW w:w="1478" w:type="dxa"/>
            <w:tcBorders>
              <w:top w:val="nil"/>
              <w:left w:val="nil"/>
              <w:bottom w:val="nil"/>
              <w:right w:val="nil"/>
            </w:tcBorders>
          </w:tcPr>
          <w:p w14:paraId="698B3EEC"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-27.3862</w:t>
            </w:r>
          </w:p>
        </w:tc>
        <w:tc>
          <w:tcPr>
            <w:tcW w:w="1417" w:type="dxa"/>
            <w:tcBorders>
              <w:top w:val="nil"/>
              <w:left w:val="nil"/>
              <w:bottom w:val="nil"/>
              <w:right w:val="nil"/>
            </w:tcBorders>
          </w:tcPr>
          <w:p w14:paraId="1DF9E31D"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-0.6471</w:t>
            </w:r>
          </w:p>
        </w:tc>
        <w:tc>
          <w:tcPr>
            <w:tcW w:w="1541" w:type="dxa"/>
            <w:tcBorders>
              <w:top w:val="nil"/>
              <w:left w:val="nil"/>
              <w:bottom w:val="nil"/>
              <w:right w:val="nil"/>
            </w:tcBorders>
          </w:tcPr>
          <w:p w14:paraId="168AA149"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-1.4936</w:t>
            </w:r>
          </w:p>
        </w:tc>
        <w:tc>
          <w:tcPr>
            <w:tcW w:w="1429" w:type="dxa"/>
            <w:gridSpan w:val="2"/>
            <w:tcBorders>
              <w:top w:val="nil"/>
              <w:left w:val="nil"/>
              <w:bottom w:val="nil"/>
              <w:right w:val="nil"/>
            </w:tcBorders>
          </w:tcPr>
          <w:p w14:paraId="5F5A2783"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-0.1624</w:t>
            </w:r>
          </w:p>
        </w:tc>
      </w:tr>
      <w:tr w:rsidR="000174C0" w:rsidRPr="008D41F9" w14:paraId="555757A2" w14:textId="77777777" w:rsidTr="00D97357">
        <w:tc>
          <w:tcPr>
            <w:tcW w:w="2352" w:type="dxa"/>
            <w:gridSpan w:val="2"/>
            <w:tcBorders>
              <w:top w:val="nil"/>
              <w:left w:val="nil"/>
              <w:bottom w:val="nil"/>
              <w:right w:val="nil"/>
            </w:tcBorders>
          </w:tcPr>
          <w:p w14:paraId="5123B493" w14:textId="77777777" w:rsidR="000174C0" w:rsidRPr="008D41F9" w:rsidRDefault="000174C0" w:rsidP="00D97357">
            <w:pPr>
              <w:widowControl w:val="0"/>
              <w:autoSpaceDE w:val="0"/>
              <w:autoSpaceDN w:val="0"/>
              <w:adjustRightInd w:val="0"/>
              <w:rPr>
                <w:sz w:val="20"/>
                <w:szCs w:val="20"/>
              </w:rPr>
            </w:pPr>
          </w:p>
        </w:tc>
        <w:tc>
          <w:tcPr>
            <w:tcW w:w="1478" w:type="dxa"/>
            <w:tcBorders>
              <w:top w:val="nil"/>
              <w:left w:val="nil"/>
              <w:bottom w:val="nil"/>
              <w:right w:val="nil"/>
            </w:tcBorders>
          </w:tcPr>
          <w:p w14:paraId="61D35A38"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(7.2001)</w:t>
            </w:r>
          </w:p>
        </w:tc>
        <w:tc>
          <w:tcPr>
            <w:tcW w:w="1417" w:type="dxa"/>
            <w:tcBorders>
              <w:top w:val="nil"/>
              <w:left w:val="nil"/>
              <w:bottom w:val="nil"/>
              <w:right w:val="nil"/>
            </w:tcBorders>
          </w:tcPr>
          <w:p w14:paraId="043908FD"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(0.1641)</w:t>
            </w:r>
          </w:p>
        </w:tc>
        <w:tc>
          <w:tcPr>
            <w:tcW w:w="1541" w:type="dxa"/>
            <w:tcBorders>
              <w:top w:val="nil"/>
              <w:left w:val="nil"/>
              <w:bottom w:val="nil"/>
              <w:right w:val="nil"/>
            </w:tcBorders>
          </w:tcPr>
          <w:p w14:paraId="1B1A81F1"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(0.3708)</w:t>
            </w:r>
          </w:p>
        </w:tc>
        <w:tc>
          <w:tcPr>
            <w:tcW w:w="1429" w:type="dxa"/>
            <w:gridSpan w:val="2"/>
            <w:tcBorders>
              <w:top w:val="nil"/>
              <w:left w:val="nil"/>
              <w:bottom w:val="nil"/>
              <w:right w:val="nil"/>
            </w:tcBorders>
          </w:tcPr>
          <w:p w14:paraId="62F7BE95"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(0.0446)</w:t>
            </w:r>
          </w:p>
        </w:tc>
      </w:tr>
      <w:tr w:rsidR="000174C0" w:rsidRPr="008D41F9" w14:paraId="55FDE522" w14:textId="77777777" w:rsidTr="00D97357">
        <w:tc>
          <w:tcPr>
            <w:tcW w:w="2352" w:type="dxa"/>
            <w:gridSpan w:val="2"/>
            <w:tcBorders>
              <w:top w:val="nil"/>
              <w:left w:val="nil"/>
              <w:bottom w:val="nil"/>
              <w:right w:val="nil"/>
            </w:tcBorders>
          </w:tcPr>
          <w:p w14:paraId="12C9C536" w14:textId="77777777" w:rsidR="000174C0" w:rsidRPr="008D41F9" w:rsidRDefault="000174C0" w:rsidP="00D97357">
            <w:pPr>
              <w:widowControl w:val="0"/>
              <w:autoSpaceDE w:val="0"/>
              <w:autoSpaceDN w:val="0"/>
              <w:adjustRightInd w:val="0"/>
              <w:rPr>
                <w:sz w:val="20"/>
                <w:szCs w:val="20"/>
              </w:rPr>
            </w:pPr>
            <w:r w:rsidRPr="008D41F9">
              <w:rPr>
                <w:sz w:val="20"/>
                <w:szCs w:val="20"/>
              </w:rPr>
              <w:t>Total population (ln)</w:t>
            </w:r>
          </w:p>
        </w:tc>
        <w:tc>
          <w:tcPr>
            <w:tcW w:w="1478" w:type="dxa"/>
            <w:tcBorders>
              <w:top w:val="nil"/>
              <w:left w:val="nil"/>
              <w:bottom w:val="nil"/>
              <w:right w:val="nil"/>
            </w:tcBorders>
          </w:tcPr>
          <w:p w14:paraId="619F568C"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22.6605</w:t>
            </w:r>
          </w:p>
        </w:tc>
        <w:tc>
          <w:tcPr>
            <w:tcW w:w="1417" w:type="dxa"/>
            <w:tcBorders>
              <w:top w:val="nil"/>
              <w:left w:val="nil"/>
              <w:bottom w:val="nil"/>
              <w:right w:val="nil"/>
            </w:tcBorders>
          </w:tcPr>
          <w:p w14:paraId="38C81FF6"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0.3575</w:t>
            </w:r>
          </w:p>
        </w:tc>
        <w:tc>
          <w:tcPr>
            <w:tcW w:w="1541" w:type="dxa"/>
            <w:tcBorders>
              <w:top w:val="nil"/>
              <w:left w:val="nil"/>
              <w:bottom w:val="nil"/>
              <w:right w:val="nil"/>
            </w:tcBorders>
          </w:tcPr>
          <w:p w14:paraId="707EF7CE"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1.1921</w:t>
            </w:r>
          </w:p>
        </w:tc>
        <w:tc>
          <w:tcPr>
            <w:tcW w:w="1429" w:type="dxa"/>
            <w:gridSpan w:val="2"/>
            <w:tcBorders>
              <w:top w:val="nil"/>
              <w:left w:val="nil"/>
              <w:bottom w:val="nil"/>
              <w:right w:val="nil"/>
            </w:tcBorders>
          </w:tcPr>
          <w:p w14:paraId="51F59910"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0.1289</w:t>
            </w:r>
          </w:p>
        </w:tc>
      </w:tr>
      <w:tr w:rsidR="000174C0" w:rsidRPr="008D41F9" w14:paraId="22FC9E89" w14:textId="77777777" w:rsidTr="00D97357">
        <w:tc>
          <w:tcPr>
            <w:tcW w:w="2352" w:type="dxa"/>
            <w:gridSpan w:val="2"/>
            <w:tcBorders>
              <w:top w:val="nil"/>
              <w:left w:val="nil"/>
              <w:bottom w:val="nil"/>
              <w:right w:val="nil"/>
            </w:tcBorders>
          </w:tcPr>
          <w:p w14:paraId="084C3FE4" w14:textId="77777777" w:rsidR="000174C0" w:rsidRPr="008D41F9" w:rsidRDefault="000174C0" w:rsidP="00D97357">
            <w:pPr>
              <w:widowControl w:val="0"/>
              <w:autoSpaceDE w:val="0"/>
              <w:autoSpaceDN w:val="0"/>
              <w:adjustRightInd w:val="0"/>
              <w:rPr>
                <w:sz w:val="20"/>
                <w:szCs w:val="20"/>
              </w:rPr>
            </w:pPr>
          </w:p>
        </w:tc>
        <w:tc>
          <w:tcPr>
            <w:tcW w:w="1478" w:type="dxa"/>
            <w:tcBorders>
              <w:top w:val="nil"/>
              <w:left w:val="nil"/>
              <w:bottom w:val="nil"/>
              <w:right w:val="nil"/>
            </w:tcBorders>
          </w:tcPr>
          <w:p w14:paraId="703BCEF0"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(7.3330)</w:t>
            </w:r>
          </w:p>
        </w:tc>
        <w:tc>
          <w:tcPr>
            <w:tcW w:w="1417" w:type="dxa"/>
            <w:tcBorders>
              <w:top w:val="nil"/>
              <w:left w:val="nil"/>
              <w:bottom w:val="nil"/>
              <w:right w:val="nil"/>
            </w:tcBorders>
          </w:tcPr>
          <w:p w14:paraId="417EC779"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(0.1480)</w:t>
            </w:r>
          </w:p>
        </w:tc>
        <w:tc>
          <w:tcPr>
            <w:tcW w:w="1541" w:type="dxa"/>
            <w:tcBorders>
              <w:top w:val="nil"/>
              <w:left w:val="nil"/>
              <w:bottom w:val="nil"/>
              <w:right w:val="nil"/>
            </w:tcBorders>
          </w:tcPr>
          <w:p w14:paraId="37B73138"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(0.3714)</w:t>
            </w:r>
          </w:p>
        </w:tc>
        <w:tc>
          <w:tcPr>
            <w:tcW w:w="1429" w:type="dxa"/>
            <w:gridSpan w:val="2"/>
            <w:tcBorders>
              <w:top w:val="nil"/>
              <w:left w:val="nil"/>
              <w:bottom w:val="nil"/>
              <w:right w:val="nil"/>
            </w:tcBorders>
          </w:tcPr>
          <w:p w14:paraId="09E7F708"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(0.0457)</w:t>
            </w:r>
          </w:p>
        </w:tc>
      </w:tr>
      <w:tr w:rsidR="000174C0" w:rsidRPr="008D41F9" w14:paraId="0473F06A" w14:textId="77777777" w:rsidTr="00D97357">
        <w:tc>
          <w:tcPr>
            <w:tcW w:w="2352" w:type="dxa"/>
            <w:gridSpan w:val="2"/>
            <w:tcBorders>
              <w:top w:val="nil"/>
              <w:left w:val="nil"/>
              <w:bottom w:val="nil"/>
              <w:right w:val="nil"/>
            </w:tcBorders>
          </w:tcPr>
          <w:p w14:paraId="505AC330" w14:textId="77777777" w:rsidR="000174C0" w:rsidRPr="008D41F9" w:rsidRDefault="000174C0" w:rsidP="00D97357">
            <w:pPr>
              <w:widowControl w:val="0"/>
              <w:autoSpaceDE w:val="0"/>
              <w:autoSpaceDN w:val="0"/>
              <w:adjustRightInd w:val="0"/>
              <w:rPr>
                <w:sz w:val="20"/>
                <w:szCs w:val="20"/>
              </w:rPr>
            </w:pPr>
            <w:r w:rsidRPr="008D41F9">
              <w:rPr>
                <w:sz w:val="20"/>
                <w:szCs w:val="20"/>
              </w:rPr>
              <w:t>Inactive population (%)</w:t>
            </w:r>
          </w:p>
        </w:tc>
        <w:tc>
          <w:tcPr>
            <w:tcW w:w="1478" w:type="dxa"/>
            <w:tcBorders>
              <w:top w:val="nil"/>
              <w:left w:val="nil"/>
              <w:bottom w:val="nil"/>
              <w:right w:val="nil"/>
            </w:tcBorders>
          </w:tcPr>
          <w:p w14:paraId="44FEE4F9"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-0.7403</w:t>
            </w:r>
          </w:p>
        </w:tc>
        <w:tc>
          <w:tcPr>
            <w:tcW w:w="1417" w:type="dxa"/>
            <w:tcBorders>
              <w:top w:val="nil"/>
              <w:left w:val="nil"/>
              <w:bottom w:val="nil"/>
              <w:right w:val="nil"/>
            </w:tcBorders>
          </w:tcPr>
          <w:p w14:paraId="01A30AD0"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-0.0158</w:t>
            </w:r>
          </w:p>
        </w:tc>
        <w:tc>
          <w:tcPr>
            <w:tcW w:w="1541" w:type="dxa"/>
            <w:tcBorders>
              <w:top w:val="nil"/>
              <w:left w:val="nil"/>
              <w:bottom w:val="nil"/>
              <w:right w:val="nil"/>
            </w:tcBorders>
          </w:tcPr>
          <w:p w14:paraId="66E285AF"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-0.0383</w:t>
            </w:r>
          </w:p>
        </w:tc>
        <w:tc>
          <w:tcPr>
            <w:tcW w:w="1429" w:type="dxa"/>
            <w:gridSpan w:val="2"/>
            <w:tcBorders>
              <w:top w:val="nil"/>
              <w:left w:val="nil"/>
              <w:bottom w:val="nil"/>
              <w:right w:val="nil"/>
            </w:tcBorders>
          </w:tcPr>
          <w:p w14:paraId="1B2F664A"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-0.0042</w:t>
            </w:r>
          </w:p>
        </w:tc>
      </w:tr>
      <w:tr w:rsidR="000174C0" w:rsidRPr="008D41F9" w14:paraId="4E577B37" w14:textId="77777777" w:rsidTr="00D97357">
        <w:tc>
          <w:tcPr>
            <w:tcW w:w="2352" w:type="dxa"/>
            <w:gridSpan w:val="2"/>
            <w:tcBorders>
              <w:top w:val="nil"/>
              <w:left w:val="nil"/>
              <w:bottom w:val="nil"/>
              <w:right w:val="nil"/>
            </w:tcBorders>
          </w:tcPr>
          <w:p w14:paraId="6EDAC994" w14:textId="77777777" w:rsidR="000174C0" w:rsidRPr="008D41F9" w:rsidRDefault="000174C0" w:rsidP="00D97357">
            <w:pPr>
              <w:widowControl w:val="0"/>
              <w:autoSpaceDE w:val="0"/>
              <w:autoSpaceDN w:val="0"/>
              <w:adjustRightInd w:val="0"/>
              <w:rPr>
                <w:sz w:val="20"/>
                <w:szCs w:val="20"/>
              </w:rPr>
            </w:pPr>
          </w:p>
        </w:tc>
        <w:tc>
          <w:tcPr>
            <w:tcW w:w="1478" w:type="dxa"/>
            <w:tcBorders>
              <w:top w:val="nil"/>
              <w:left w:val="nil"/>
              <w:bottom w:val="nil"/>
              <w:right w:val="nil"/>
            </w:tcBorders>
          </w:tcPr>
          <w:p w14:paraId="5A742003"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(0.2411)</w:t>
            </w:r>
          </w:p>
        </w:tc>
        <w:tc>
          <w:tcPr>
            <w:tcW w:w="1417" w:type="dxa"/>
            <w:tcBorders>
              <w:top w:val="nil"/>
              <w:left w:val="nil"/>
              <w:bottom w:val="nil"/>
              <w:right w:val="nil"/>
            </w:tcBorders>
          </w:tcPr>
          <w:p w14:paraId="33FCE6A3"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(0.0026)</w:t>
            </w:r>
          </w:p>
        </w:tc>
        <w:tc>
          <w:tcPr>
            <w:tcW w:w="1541" w:type="dxa"/>
            <w:tcBorders>
              <w:top w:val="nil"/>
              <w:left w:val="nil"/>
              <w:bottom w:val="nil"/>
              <w:right w:val="nil"/>
            </w:tcBorders>
          </w:tcPr>
          <w:p w14:paraId="0828C300"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(0.0118)</w:t>
            </w:r>
          </w:p>
        </w:tc>
        <w:tc>
          <w:tcPr>
            <w:tcW w:w="1429" w:type="dxa"/>
            <w:gridSpan w:val="2"/>
            <w:tcBorders>
              <w:top w:val="nil"/>
              <w:left w:val="nil"/>
              <w:bottom w:val="nil"/>
              <w:right w:val="nil"/>
            </w:tcBorders>
          </w:tcPr>
          <w:p w14:paraId="1ECD8AED"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(0.0008)</w:t>
            </w:r>
          </w:p>
        </w:tc>
      </w:tr>
      <w:tr w:rsidR="000174C0" w:rsidRPr="008D41F9" w14:paraId="462CA6D8" w14:textId="77777777" w:rsidTr="00D97357">
        <w:tc>
          <w:tcPr>
            <w:tcW w:w="2352" w:type="dxa"/>
            <w:gridSpan w:val="2"/>
            <w:tcBorders>
              <w:top w:val="nil"/>
              <w:left w:val="nil"/>
              <w:bottom w:val="nil"/>
              <w:right w:val="nil"/>
            </w:tcBorders>
          </w:tcPr>
          <w:p w14:paraId="0D1ED403" w14:textId="77777777" w:rsidR="000174C0" w:rsidRPr="008D41F9" w:rsidRDefault="000174C0" w:rsidP="00D97357">
            <w:pPr>
              <w:widowControl w:val="0"/>
              <w:autoSpaceDE w:val="0"/>
              <w:autoSpaceDN w:val="0"/>
              <w:adjustRightInd w:val="0"/>
              <w:rPr>
                <w:sz w:val="20"/>
                <w:szCs w:val="20"/>
              </w:rPr>
            </w:pPr>
            <w:r w:rsidRPr="008D41F9">
              <w:rPr>
                <w:sz w:val="20"/>
                <w:szCs w:val="20"/>
              </w:rPr>
              <w:t>Constant</w:t>
            </w:r>
          </w:p>
        </w:tc>
        <w:tc>
          <w:tcPr>
            <w:tcW w:w="1478" w:type="dxa"/>
            <w:tcBorders>
              <w:top w:val="nil"/>
              <w:left w:val="nil"/>
              <w:bottom w:val="nil"/>
              <w:right w:val="nil"/>
            </w:tcBorders>
          </w:tcPr>
          <w:p w14:paraId="72B82132"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42.8024</w:t>
            </w:r>
          </w:p>
        </w:tc>
        <w:tc>
          <w:tcPr>
            <w:tcW w:w="1417" w:type="dxa"/>
            <w:tcBorders>
              <w:top w:val="nil"/>
              <w:left w:val="nil"/>
              <w:bottom w:val="nil"/>
              <w:right w:val="nil"/>
            </w:tcBorders>
          </w:tcPr>
          <w:p w14:paraId="1CDE7E84"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4.6729</w:t>
            </w:r>
          </w:p>
        </w:tc>
        <w:tc>
          <w:tcPr>
            <w:tcW w:w="1541" w:type="dxa"/>
            <w:tcBorders>
              <w:top w:val="nil"/>
              <w:left w:val="nil"/>
              <w:bottom w:val="nil"/>
              <w:right w:val="nil"/>
            </w:tcBorders>
          </w:tcPr>
          <w:p w14:paraId="1EA85177"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2.0684</w:t>
            </w:r>
          </w:p>
        </w:tc>
        <w:tc>
          <w:tcPr>
            <w:tcW w:w="1429" w:type="dxa"/>
            <w:gridSpan w:val="2"/>
            <w:tcBorders>
              <w:top w:val="nil"/>
              <w:left w:val="nil"/>
              <w:bottom w:val="nil"/>
              <w:right w:val="nil"/>
            </w:tcBorders>
          </w:tcPr>
          <w:p w14:paraId="3A4A0EF5"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0.5270</w:t>
            </w:r>
          </w:p>
        </w:tc>
      </w:tr>
      <w:tr w:rsidR="000174C0" w:rsidRPr="008D41F9" w14:paraId="1BF6D358" w14:textId="77777777" w:rsidTr="00D97357">
        <w:tc>
          <w:tcPr>
            <w:tcW w:w="2352" w:type="dxa"/>
            <w:gridSpan w:val="2"/>
            <w:tcBorders>
              <w:top w:val="nil"/>
              <w:left w:val="nil"/>
              <w:right w:val="nil"/>
            </w:tcBorders>
          </w:tcPr>
          <w:p w14:paraId="3A097E24" w14:textId="77777777" w:rsidR="000174C0" w:rsidRPr="008D41F9" w:rsidRDefault="000174C0" w:rsidP="00D97357">
            <w:pPr>
              <w:widowControl w:val="0"/>
              <w:autoSpaceDE w:val="0"/>
              <w:autoSpaceDN w:val="0"/>
              <w:adjustRightInd w:val="0"/>
              <w:rPr>
                <w:sz w:val="20"/>
                <w:szCs w:val="20"/>
              </w:rPr>
            </w:pPr>
          </w:p>
        </w:tc>
        <w:tc>
          <w:tcPr>
            <w:tcW w:w="1478" w:type="dxa"/>
            <w:tcBorders>
              <w:top w:val="nil"/>
              <w:left w:val="nil"/>
              <w:right w:val="nil"/>
            </w:tcBorders>
          </w:tcPr>
          <w:p w14:paraId="19390478"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(65.0893)</w:t>
            </w:r>
          </w:p>
        </w:tc>
        <w:tc>
          <w:tcPr>
            <w:tcW w:w="1417" w:type="dxa"/>
            <w:tcBorders>
              <w:top w:val="nil"/>
              <w:left w:val="nil"/>
              <w:right w:val="nil"/>
            </w:tcBorders>
          </w:tcPr>
          <w:p w14:paraId="3B6D3DD2"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(1.7201)</w:t>
            </w:r>
          </w:p>
        </w:tc>
        <w:tc>
          <w:tcPr>
            <w:tcW w:w="1541" w:type="dxa"/>
            <w:tcBorders>
              <w:top w:val="nil"/>
              <w:left w:val="nil"/>
              <w:right w:val="nil"/>
            </w:tcBorders>
          </w:tcPr>
          <w:p w14:paraId="68E96D0A"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(3.3715)</w:t>
            </w:r>
          </w:p>
        </w:tc>
        <w:tc>
          <w:tcPr>
            <w:tcW w:w="1429" w:type="dxa"/>
            <w:gridSpan w:val="2"/>
            <w:tcBorders>
              <w:top w:val="nil"/>
              <w:left w:val="nil"/>
              <w:right w:val="nil"/>
            </w:tcBorders>
          </w:tcPr>
          <w:p w14:paraId="5E090AF9"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(0.4992)</w:t>
            </w:r>
          </w:p>
        </w:tc>
      </w:tr>
      <w:tr w:rsidR="000174C0" w:rsidRPr="008D41F9" w14:paraId="52054A30" w14:textId="77777777" w:rsidTr="00D97357">
        <w:tc>
          <w:tcPr>
            <w:tcW w:w="2352" w:type="dxa"/>
            <w:gridSpan w:val="2"/>
            <w:tcBorders>
              <w:top w:val="nil"/>
              <w:left w:val="nil"/>
              <w:right w:val="nil"/>
            </w:tcBorders>
          </w:tcPr>
          <w:p w14:paraId="6716851F" w14:textId="77777777" w:rsidR="000174C0" w:rsidRPr="008D41F9" w:rsidRDefault="000174C0" w:rsidP="00D97357">
            <w:pPr>
              <w:widowControl w:val="0"/>
              <w:autoSpaceDE w:val="0"/>
              <w:autoSpaceDN w:val="0"/>
              <w:adjustRightInd w:val="0"/>
              <w:rPr>
                <w:sz w:val="20"/>
                <w:szCs w:val="20"/>
              </w:rPr>
            </w:pPr>
            <w:r w:rsidRPr="008D41F9">
              <w:rPr>
                <w:sz w:val="20"/>
                <w:szCs w:val="20"/>
              </w:rPr>
              <w:t>Observations</w:t>
            </w:r>
          </w:p>
        </w:tc>
        <w:tc>
          <w:tcPr>
            <w:tcW w:w="1478" w:type="dxa"/>
            <w:tcBorders>
              <w:top w:val="nil"/>
              <w:left w:val="nil"/>
              <w:right w:val="nil"/>
            </w:tcBorders>
          </w:tcPr>
          <w:p w14:paraId="65FDF244"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2,766</w:t>
            </w:r>
          </w:p>
        </w:tc>
        <w:tc>
          <w:tcPr>
            <w:tcW w:w="1417" w:type="dxa"/>
            <w:tcBorders>
              <w:top w:val="nil"/>
              <w:left w:val="nil"/>
              <w:right w:val="nil"/>
            </w:tcBorders>
          </w:tcPr>
          <w:p w14:paraId="5A440C25"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2,766</w:t>
            </w:r>
          </w:p>
        </w:tc>
        <w:tc>
          <w:tcPr>
            <w:tcW w:w="1541" w:type="dxa"/>
            <w:tcBorders>
              <w:top w:val="nil"/>
              <w:left w:val="nil"/>
              <w:right w:val="nil"/>
            </w:tcBorders>
          </w:tcPr>
          <w:p w14:paraId="7F92C16D"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58,346</w:t>
            </w:r>
          </w:p>
        </w:tc>
        <w:tc>
          <w:tcPr>
            <w:tcW w:w="1429" w:type="dxa"/>
            <w:gridSpan w:val="2"/>
            <w:tcBorders>
              <w:top w:val="nil"/>
              <w:left w:val="nil"/>
              <w:right w:val="nil"/>
            </w:tcBorders>
          </w:tcPr>
          <w:p w14:paraId="3C137892"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58,346</w:t>
            </w:r>
          </w:p>
        </w:tc>
      </w:tr>
      <w:tr w:rsidR="000174C0" w:rsidRPr="008D41F9" w14:paraId="172FBE2D" w14:textId="77777777" w:rsidTr="00D97357">
        <w:tc>
          <w:tcPr>
            <w:tcW w:w="2352" w:type="dxa"/>
            <w:gridSpan w:val="2"/>
            <w:tcBorders>
              <w:left w:val="nil"/>
              <w:right w:val="nil"/>
            </w:tcBorders>
          </w:tcPr>
          <w:p w14:paraId="2FFBE26A" w14:textId="77777777" w:rsidR="000174C0" w:rsidRPr="008D41F9" w:rsidRDefault="000174C0" w:rsidP="00D97357">
            <w:pPr>
              <w:widowControl w:val="0"/>
              <w:autoSpaceDE w:val="0"/>
              <w:autoSpaceDN w:val="0"/>
              <w:adjustRightInd w:val="0"/>
              <w:rPr>
                <w:sz w:val="20"/>
                <w:szCs w:val="20"/>
              </w:rPr>
            </w:pPr>
            <w:r w:rsidRPr="008D41F9">
              <w:rPr>
                <w:sz w:val="20"/>
                <w:szCs w:val="20"/>
              </w:rPr>
              <w:t xml:space="preserve">R2 </w:t>
            </w:r>
          </w:p>
        </w:tc>
        <w:tc>
          <w:tcPr>
            <w:tcW w:w="1478" w:type="dxa"/>
            <w:tcBorders>
              <w:left w:val="nil"/>
              <w:right w:val="nil"/>
            </w:tcBorders>
          </w:tcPr>
          <w:p w14:paraId="6D29C137"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0.20</w:t>
            </w:r>
          </w:p>
        </w:tc>
        <w:tc>
          <w:tcPr>
            <w:tcW w:w="1417" w:type="dxa"/>
            <w:tcBorders>
              <w:left w:val="nil"/>
              <w:right w:val="nil"/>
            </w:tcBorders>
          </w:tcPr>
          <w:p w14:paraId="75E64A79"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0.22</w:t>
            </w:r>
          </w:p>
        </w:tc>
        <w:tc>
          <w:tcPr>
            <w:tcW w:w="1541" w:type="dxa"/>
            <w:tcBorders>
              <w:left w:val="nil"/>
              <w:right w:val="nil"/>
            </w:tcBorders>
          </w:tcPr>
          <w:p w14:paraId="1EC3E897"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0.03</w:t>
            </w:r>
          </w:p>
        </w:tc>
        <w:tc>
          <w:tcPr>
            <w:tcW w:w="1429" w:type="dxa"/>
            <w:gridSpan w:val="2"/>
            <w:tcBorders>
              <w:left w:val="nil"/>
              <w:right w:val="nil"/>
            </w:tcBorders>
          </w:tcPr>
          <w:p w14:paraId="5CBE9A3B"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0.03</w:t>
            </w:r>
          </w:p>
        </w:tc>
      </w:tr>
      <w:tr w:rsidR="000174C0" w:rsidRPr="008D41F9" w14:paraId="59A01146" w14:textId="77777777" w:rsidTr="00D97357">
        <w:tc>
          <w:tcPr>
            <w:tcW w:w="2352" w:type="dxa"/>
            <w:gridSpan w:val="2"/>
            <w:tcBorders>
              <w:left w:val="nil"/>
              <w:bottom w:val="nil"/>
              <w:right w:val="nil"/>
            </w:tcBorders>
            <w:vAlign w:val="bottom"/>
          </w:tcPr>
          <w:p w14:paraId="1D9F77AD" w14:textId="77777777" w:rsidR="000174C0" w:rsidRPr="008D41F9" w:rsidRDefault="000174C0" w:rsidP="00D97357">
            <w:pPr>
              <w:widowControl w:val="0"/>
              <w:autoSpaceDE w:val="0"/>
              <w:autoSpaceDN w:val="0"/>
              <w:adjustRightInd w:val="0"/>
              <w:rPr>
                <w:sz w:val="20"/>
                <w:szCs w:val="20"/>
              </w:rPr>
            </w:pPr>
            <w:r w:rsidRPr="008D41F9">
              <w:rPr>
                <w:sz w:val="20"/>
                <w:szCs w:val="20"/>
              </w:rPr>
              <w:t>Municipality FEs</w:t>
            </w:r>
          </w:p>
        </w:tc>
        <w:tc>
          <w:tcPr>
            <w:tcW w:w="1478" w:type="dxa"/>
            <w:tcBorders>
              <w:left w:val="nil"/>
              <w:bottom w:val="nil"/>
              <w:right w:val="nil"/>
            </w:tcBorders>
            <w:vAlign w:val="bottom"/>
          </w:tcPr>
          <w:p w14:paraId="09BEEB96"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c>
          <w:tcPr>
            <w:tcW w:w="1417" w:type="dxa"/>
            <w:tcBorders>
              <w:left w:val="nil"/>
              <w:bottom w:val="nil"/>
              <w:right w:val="nil"/>
            </w:tcBorders>
            <w:vAlign w:val="bottom"/>
          </w:tcPr>
          <w:p w14:paraId="7C6094C2"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c>
          <w:tcPr>
            <w:tcW w:w="1541" w:type="dxa"/>
            <w:tcBorders>
              <w:left w:val="nil"/>
              <w:bottom w:val="nil"/>
              <w:right w:val="nil"/>
            </w:tcBorders>
            <w:vAlign w:val="bottom"/>
          </w:tcPr>
          <w:p w14:paraId="2037CA51"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c>
          <w:tcPr>
            <w:tcW w:w="1429" w:type="dxa"/>
            <w:gridSpan w:val="2"/>
            <w:tcBorders>
              <w:left w:val="nil"/>
              <w:bottom w:val="nil"/>
              <w:right w:val="nil"/>
            </w:tcBorders>
            <w:vAlign w:val="bottom"/>
          </w:tcPr>
          <w:p w14:paraId="17595860"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r>
      <w:tr w:rsidR="000174C0" w:rsidRPr="008D41F9" w14:paraId="6508D50E" w14:textId="77777777" w:rsidTr="00D97357">
        <w:tc>
          <w:tcPr>
            <w:tcW w:w="2352" w:type="dxa"/>
            <w:gridSpan w:val="2"/>
            <w:tcBorders>
              <w:left w:val="nil"/>
              <w:right w:val="nil"/>
            </w:tcBorders>
            <w:vAlign w:val="bottom"/>
          </w:tcPr>
          <w:p w14:paraId="6CC37F52" w14:textId="77777777" w:rsidR="000174C0" w:rsidRPr="008D41F9" w:rsidRDefault="000174C0" w:rsidP="00D97357">
            <w:pPr>
              <w:widowControl w:val="0"/>
              <w:autoSpaceDE w:val="0"/>
              <w:autoSpaceDN w:val="0"/>
              <w:adjustRightInd w:val="0"/>
              <w:rPr>
                <w:sz w:val="20"/>
                <w:szCs w:val="20"/>
              </w:rPr>
            </w:pPr>
            <w:r w:rsidRPr="008D41F9">
              <w:rPr>
                <w:sz w:val="20"/>
                <w:szCs w:val="20"/>
              </w:rPr>
              <w:t>Year FEs</w:t>
            </w:r>
          </w:p>
        </w:tc>
        <w:tc>
          <w:tcPr>
            <w:tcW w:w="1478" w:type="dxa"/>
            <w:tcBorders>
              <w:left w:val="nil"/>
              <w:right w:val="nil"/>
            </w:tcBorders>
            <w:vAlign w:val="bottom"/>
          </w:tcPr>
          <w:p w14:paraId="22F86547"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c>
          <w:tcPr>
            <w:tcW w:w="1417" w:type="dxa"/>
            <w:tcBorders>
              <w:left w:val="nil"/>
              <w:right w:val="nil"/>
            </w:tcBorders>
            <w:vAlign w:val="bottom"/>
          </w:tcPr>
          <w:p w14:paraId="2E520B44"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c>
          <w:tcPr>
            <w:tcW w:w="1541" w:type="dxa"/>
            <w:tcBorders>
              <w:left w:val="nil"/>
              <w:right w:val="nil"/>
            </w:tcBorders>
            <w:vAlign w:val="bottom"/>
          </w:tcPr>
          <w:p w14:paraId="1C870B91"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c>
          <w:tcPr>
            <w:tcW w:w="1429" w:type="dxa"/>
            <w:gridSpan w:val="2"/>
            <w:tcBorders>
              <w:left w:val="nil"/>
              <w:right w:val="nil"/>
            </w:tcBorders>
            <w:vAlign w:val="bottom"/>
          </w:tcPr>
          <w:p w14:paraId="03D387AE"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r>
      <w:tr w:rsidR="000174C0" w:rsidRPr="008D41F9" w14:paraId="756AB345" w14:textId="77777777" w:rsidTr="00D97357">
        <w:tc>
          <w:tcPr>
            <w:tcW w:w="2352" w:type="dxa"/>
            <w:gridSpan w:val="2"/>
            <w:tcBorders>
              <w:left w:val="nil"/>
              <w:bottom w:val="single" w:sz="4" w:space="0" w:color="auto"/>
              <w:right w:val="nil"/>
            </w:tcBorders>
            <w:vAlign w:val="bottom"/>
          </w:tcPr>
          <w:p w14:paraId="1EE278CB" w14:textId="77777777" w:rsidR="000174C0" w:rsidRPr="008D41F9" w:rsidRDefault="000174C0" w:rsidP="00D97357">
            <w:pPr>
              <w:widowControl w:val="0"/>
              <w:autoSpaceDE w:val="0"/>
              <w:autoSpaceDN w:val="0"/>
              <w:adjustRightInd w:val="0"/>
              <w:rPr>
                <w:sz w:val="20"/>
                <w:szCs w:val="20"/>
              </w:rPr>
            </w:pPr>
            <w:r w:rsidRPr="008D41F9">
              <w:rPr>
                <w:sz w:val="20"/>
                <w:szCs w:val="20"/>
              </w:rPr>
              <w:t>Industry FEs</w:t>
            </w:r>
          </w:p>
        </w:tc>
        <w:tc>
          <w:tcPr>
            <w:tcW w:w="1478" w:type="dxa"/>
            <w:tcBorders>
              <w:left w:val="nil"/>
              <w:bottom w:val="single" w:sz="4" w:space="0" w:color="auto"/>
              <w:right w:val="nil"/>
            </w:tcBorders>
          </w:tcPr>
          <w:p w14:paraId="7140BD23"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No</w:t>
            </w:r>
          </w:p>
        </w:tc>
        <w:tc>
          <w:tcPr>
            <w:tcW w:w="1417" w:type="dxa"/>
            <w:tcBorders>
              <w:left w:val="nil"/>
              <w:bottom w:val="single" w:sz="4" w:space="0" w:color="auto"/>
              <w:right w:val="nil"/>
            </w:tcBorders>
          </w:tcPr>
          <w:p w14:paraId="5BA4ED29"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No</w:t>
            </w:r>
          </w:p>
        </w:tc>
        <w:tc>
          <w:tcPr>
            <w:tcW w:w="1541" w:type="dxa"/>
            <w:tcBorders>
              <w:left w:val="nil"/>
              <w:bottom w:val="single" w:sz="4" w:space="0" w:color="auto"/>
              <w:right w:val="nil"/>
            </w:tcBorders>
          </w:tcPr>
          <w:p w14:paraId="612B2B10"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c>
          <w:tcPr>
            <w:tcW w:w="1429" w:type="dxa"/>
            <w:gridSpan w:val="2"/>
            <w:tcBorders>
              <w:left w:val="nil"/>
              <w:bottom w:val="single" w:sz="4" w:space="0" w:color="auto"/>
              <w:right w:val="nil"/>
            </w:tcBorders>
          </w:tcPr>
          <w:p w14:paraId="501FF79A" w14:textId="77777777" w:rsidR="000174C0" w:rsidRPr="008D41F9" w:rsidRDefault="000174C0" w:rsidP="00D97357">
            <w:pPr>
              <w:widowControl w:val="0"/>
              <w:autoSpaceDE w:val="0"/>
              <w:autoSpaceDN w:val="0"/>
              <w:adjustRightInd w:val="0"/>
              <w:jc w:val="center"/>
              <w:rPr>
                <w:sz w:val="20"/>
                <w:szCs w:val="20"/>
                <w:lang w:val="fr-FR" w:eastAsia="fr-FR"/>
              </w:rPr>
            </w:pPr>
            <w:r w:rsidRPr="008D41F9">
              <w:rPr>
                <w:sz w:val="20"/>
                <w:szCs w:val="20"/>
                <w:lang w:val="fr-FR" w:eastAsia="fr-FR"/>
              </w:rPr>
              <w:t>Yes</w:t>
            </w:r>
          </w:p>
        </w:tc>
      </w:tr>
      <w:tr w:rsidR="000174C0" w:rsidRPr="008D41F9" w14:paraId="6EA86088" w14:textId="77777777" w:rsidTr="00D97357">
        <w:tblPrEx>
          <w:tblCellMar>
            <w:left w:w="70" w:type="dxa"/>
            <w:right w:w="70" w:type="dxa"/>
          </w:tblCellMar>
          <w:tblLook w:val="04A0" w:firstRow="1" w:lastRow="0" w:firstColumn="1" w:lastColumn="0" w:noHBand="0" w:noVBand="1"/>
        </w:tblPrEx>
        <w:trPr>
          <w:gridBefore w:val="1"/>
          <w:gridAfter w:val="1"/>
          <w:wBefore w:w="144" w:type="dxa"/>
          <w:wAfter w:w="1402" w:type="dxa"/>
          <w:trHeight w:val="20"/>
        </w:trPr>
        <w:tc>
          <w:tcPr>
            <w:tcW w:w="6671" w:type="dxa"/>
            <w:gridSpan w:val="5"/>
            <w:tcBorders>
              <w:top w:val="nil"/>
              <w:left w:val="nil"/>
              <w:bottom w:val="nil"/>
              <w:right w:val="nil"/>
            </w:tcBorders>
            <w:noWrap/>
            <w:vAlign w:val="bottom"/>
            <w:hideMark/>
          </w:tcPr>
          <w:p w14:paraId="196C6697" w14:textId="77777777" w:rsidR="000174C0" w:rsidRPr="008D41F9" w:rsidRDefault="000174C0" w:rsidP="00D97357">
            <w:pPr>
              <w:widowControl w:val="0"/>
              <w:autoSpaceDE w:val="0"/>
              <w:autoSpaceDN w:val="0"/>
              <w:adjustRightInd w:val="0"/>
              <w:rPr>
                <w:sz w:val="20"/>
                <w:szCs w:val="20"/>
              </w:rPr>
            </w:pPr>
            <w:r w:rsidRPr="008D41F9">
              <w:rPr>
                <w:sz w:val="20"/>
                <w:szCs w:val="20"/>
              </w:rPr>
              <w:t>Robust standard errors clustered by municipality in brackets</w:t>
            </w:r>
          </w:p>
        </w:tc>
      </w:tr>
    </w:tbl>
    <w:p w14:paraId="4C203FB7" w14:textId="77777777" w:rsidR="000174C0" w:rsidRDefault="000174C0" w:rsidP="003E148C">
      <w:pPr>
        <w:keepNext/>
        <w:keepLines/>
        <w:autoSpaceDE w:val="0"/>
        <w:autoSpaceDN w:val="0"/>
        <w:adjustRightInd w:val="0"/>
        <w:outlineLvl w:val="1"/>
        <w:rPr>
          <w:b/>
          <w:sz w:val="22"/>
          <w:szCs w:val="22"/>
        </w:rPr>
      </w:pPr>
    </w:p>
    <w:p w14:paraId="58CAECF8" w14:textId="77777777" w:rsidR="000174C0" w:rsidRDefault="000174C0">
      <w:pPr>
        <w:spacing w:after="160" w:line="259" w:lineRule="auto"/>
        <w:rPr>
          <w:b/>
          <w:sz w:val="22"/>
          <w:szCs w:val="22"/>
        </w:rPr>
      </w:pPr>
      <w:r>
        <w:rPr>
          <w:b/>
          <w:sz w:val="22"/>
          <w:szCs w:val="22"/>
        </w:rPr>
        <w:br w:type="page"/>
      </w:r>
    </w:p>
    <w:p w14:paraId="118657E2" w14:textId="371C6E94" w:rsidR="003E148C" w:rsidRDefault="003E148C" w:rsidP="003E148C">
      <w:pPr>
        <w:keepNext/>
        <w:keepLines/>
        <w:autoSpaceDE w:val="0"/>
        <w:autoSpaceDN w:val="0"/>
        <w:adjustRightInd w:val="0"/>
        <w:outlineLvl w:val="1"/>
        <w:rPr>
          <w:b/>
          <w:sz w:val="22"/>
          <w:szCs w:val="22"/>
        </w:rPr>
      </w:pPr>
      <w:r w:rsidRPr="00E94742">
        <w:rPr>
          <w:b/>
          <w:sz w:val="22"/>
          <w:szCs w:val="22"/>
        </w:rPr>
        <w:t>Table A4. Effect of the reform on wage – pay-for-performance component</w:t>
      </w:r>
    </w:p>
    <w:p w14:paraId="69E64108" w14:textId="77777777" w:rsidR="003E148C" w:rsidRPr="00E94742" w:rsidRDefault="003E148C" w:rsidP="003E148C">
      <w:pPr>
        <w:keepNext/>
        <w:keepLines/>
        <w:autoSpaceDE w:val="0"/>
        <w:autoSpaceDN w:val="0"/>
        <w:adjustRightInd w:val="0"/>
        <w:outlineLvl w:val="1"/>
        <w:rPr>
          <w:b/>
          <w:sz w:val="22"/>
          <w:szCs w:val="22"/>
        </w:rPr>
      </w:pPr>
    </w:p>
    <w:tbl>
      <w:tblPr>
        <w:tblW w:w="0" w:type="auto"/>
        <w:tblCellMar>
          <w:left w:w="144" w:type="dxa"/>
          <w:right w:w="144" w:type="dxa"/>
        </w:tblCellMar>
        <w:tblLook w:val="0000" w:firstRow="0" w:lastRow="0" w:firstColumn="0" w:lastColumn="0" w:noHBand="0" w:noVBand="0"/>
      </w:tblPr>
      <w:tblGrid>
        <w:gridCol w:w="3230"/>
        <w:gridCol w:w="1726"/>
        <w:gridCol w:w="1188"/>
        <w:gridCol w:w="1188"/>
        <w:gridCol w:w="1188"/>
      </w:tblGrid>
      <w:tr w:rsidR="003E148C" w:rsidRPr="00BD2A98" w14:paraId="618A8CF0" w14:textId="77777777" w:rsidTr="0026218B">
        <w:tc>
          <w:tcPr>
            <w:tcW w:w="0" w:type="auto"/>
            <w:tcBorders>
              <w:top w:val="single" w:sz="6" w:space="0" w:color="auto"/>
              <w:left w:val="nil"/>
              <w:bottom w:val="nil"/>
              <w:right w:val="nil"/>
            </w:tcBorders>
          </w:tcPr>
          <w:p w14:paraId="4159B822" w14:textId="77777777" w:rsidR="003E148C" w:rsidRPr="00BD2A98" w:rsidRDefault="003E148C" w:rsidP="0026218B">
            <w:pPr>
              <w:widowControl w:val="0"/>
              <w:autoSpaceDE w:val="0"/>
              <w:autoSpaceDN w:val="0"/>
              <w:adjustRightInd w:val="0"/>
              <w:rPr>
                <w:sz w:val="20"/>
                <w:szCs w:val="20"/>
              </w:rPr>
            </w:pPr>
          </w:p>
        </w:tc>
        <w:tc>
          <w:tcPr>
            <w:tcW w:w="0" w:type="auto"/>
            <w:tcBorders>
              <w:top w:val="single" w:sz="6" w:space="0" w:color="auto"/>
              <w:left w:val="nil"/>
              <w:bottom w:val="nil"/>
              <w:right w:val="nil"/>
            </w:tcBorders>
          </w:tcPr>
          <w:p w14:paraId="29F9BD3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w:t>
            </w:r>
          </w:p>
        </w:tc>
        <w:tc>
          <w:tcPr>
            <w:tcW w:w="0" w:type="auto"/>
            <w:tcBorders>
              <w:top w:val="single" w:sz="6" w:space="0" w:color="auto"/>
              <w:left w:val="nil"/>
              <w:bottom w:val="nil"/>
              <w:right w:val="nil"/>
            </w:tcBorders>
          </w:tcPr>
          <w:p w14:paraId="6CDD41D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w:t>
            </w:r>
          </w:p>
        </w:tc>
        <w:tc>
          <w:tcPr>
            <w:tcW w:w="0" w:type="auto"/>
            <w:tcBorders>
              <w:top w:val="single" w:sz="6" w:space="0" w:color="auto"/>
              <w:left w:val="nil"/>
              <w:bottom w:val="nil"/>
              <w:right w:val="nil"/>
            </w:tcBorders>
          </w:tcPr>
          <w:p w14:paraId="7F33EB4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w:t>
            </w:r>
          </w:p>
        </w:tc>
        <w:tc>
          <w:tcPr>
            <w:tcW w:w="0" w:type="auto"/>
            <w:tcBorders>
              <w:top w:val="single" w:sz="6" w:space="0" w:color="auto"/>
              <w:left w:val="nil"/>
              <w:bottom w:val="nil"/>
              <w:right w:val="nil"/>
            </w:tcBorders>
          </w:tcPr>
          <w:p w14:paraId="05D543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4</w:t>
            </w:r>
          </w:p>
        </w:tc>
      </w:tr>
      <w:tr w:rsidR="003E148C" w:rsidRPr="00BD2A98" w14:paraId="407D5607" w14:textId="77777777" w:rsidTr="0026218B">
        <w:tc>
          <w:tcPr>
            <w:tcW w:w="0" w:type="auto"/>
            <w:tcBorders>
              <w:top w:val="single" w:sz="6" w:space="0" w:color="auto"/>
              <w:left w:val="nil"/>
              <w:bottom w:val="nil"/>
              <w:right w:val="nil"/>
            </w:tcBorders>
          </w:tcPr>
          <w:p w14:paraId="1B4DC96D"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w:t>
            </w:r>
          </w:p>
        </w:tc>
        <w:tc>
          <w:tcPr>
            <w:tcW w:w="0" w:type="auto"/>
            <w:tcBorders>
              <w:top w:val="single" w:sz="6" w:space="0" w:color="auto"/>
              <w:left w:val="nil"/>
              <w:bottom w:val="nil"/>
              <w:right w:val="nil"/>
            </w:tcBorders>
          </w:tcPr>
          <w:p w14:paraId="123526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0.0326</w:t>
            </w:r>
          </w:p>
        </w:tc>
        <w:tc>
          <w:tcPr>
            <w:tcW w:w="0" w:type="auto"/>
            <w:tcBorders>
              <w:top w:val="single" w:sz="6" w:space="0" w:color="auto"/>
              <w:left w:val="nil"/>
              <w:bottom w:val="nil"/>
              <w:right w:val="nil"/>
            </w:tcBorders>
          </w:tcPr>
          <w:p w14:paraId="1C0756EF" w14:textId="77777777" w:rsidR="003E148C" w:rsidRPr="00BD2A98" w:rsidRDefault="003E148C" w:rsidP="0026218B">
            <w:pPr>
              <w:widowControl w:val="0"/>
              <w:autoSpaceDE w:val="0"/>
              <w:autoSpaceDN w:val="0"/>
              <w:adjustRightInd w:val="0"/>
              <w:jc w:val="center"/>
              <w:rPr>
                <w:sz w:val="20"/>
                <w:szCs w:val="20"/>
                <w:lang w:val="fr-FR" w:eastAsia="fr-FR"/>
              </w:rPr>
            </w:pPr>
            <w:r>
              <w:rPr>
                <w:sz w:val="20"/>
                <w:szCs w:val="20"/>
                <w:lang w:val="fr-FR" w:eastAsia="fr-FR"/>
              </w:rPr>
              <w:t>0.0445</w:t>
            </w:r>
          </w:p>
        </w:tc>
        <w:tc>
          <w:tcPr>
            <w:tcW w:w="0" w:type="auto"/>
            <w:tcBorders>
              <w:top w:val="single" w:sz="6" w:space="0" w:color="auto"/>
              <w:left w:val="nil"/>
              <w:bottom w:val="nil"/>
              <w:right w:val="nil"/>
            </w:tcBorders>
          </w:tcPr>
          <w:p w14:paraId="609ED19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0.0373</w:t>
            </w:r>
          </w:p>
        </w:tc>
        <w:tc>
          <w:tcPr>
            <w:tcW w:w="0" w:type="auto"/>
            <w:tcBorders>
              <w:top w:val="single" w:sz="6" w:space="0" w:color="auto"/>
              <w:left w:val="nil"/>
              <w:bottom w:val="nil"/>
              <w:right w:val="nil"/>
            </w:tcBorders>
          </w:tcPr>
          <w:p w14:paraId="47DB3B4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0.0287</w:t>
            </w:r>
          </w:p>
        </w:tc>
      </w:tr>
      <w:tr w:rsidR="003E148C" w:rsidRPr="00BD2A98" w14:paraId="6FA00D9B" w14:textId="77777777" w:rsidTr="0026218B">
        <w:tc>
          <w:tcPr>
            <w:tcW w:w="0" w:type="auto"/>
            <w:tcBorders>
              <w:top w:val="nil"/>
              <w:left w:val="nil"/>
              <w:bottom w:val="nil"/>
              <w:right w:val="nil"/>
            </w:tcBorders>
          </w:tcPr>
          <w:p w14:paraId="235A1878"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526989D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(0.0219)</w:t>
            </w:r>
          </w:p>
        </w:tc>
        <w:tc>
          <w:tcPr>
            <w:tcW w:w="0" w:type="auto"/>
            <w:tcBorders>
              <w:top w:val="nil"/>
              <w:left w:val="nil"/>
              <w:bottom w:val="nil"/>
              <w:right w:val="nil"/>
            </w:tcBorders>
          </w:tcPr>
          <w:p w14:paraId="35D9B3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(0.0191)</w:t>
            </w:r>
          </w:p>
        </w:tc>
        <w:tc>
          <w:tcPr>
            <w:tcW w:w="0" w:type="auto"/>
            <w:tcBorders>
              <w:top w:val="nil"/>
              <w:left w:val="nil"/>
              <w:bottom w:val="nil"/>
              <w:right w:val="nil"/>
            </w:tcBorders>
          </w:tcPr>
          <w:p w14:paraId="7BBCB14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(0.0193)</w:t>
            </w:r>
          </w:p>
        </w:tc>
        <w:tc>
          <w:tcPr>
            <w:tcW w:w="0" w:type="auto"/>
            <w:tcBorders>
              <w:top w:val="nil"/>
              <w:left w:val="nil"/>
              <w:bottom w:val="nil"/>
              <w:right w:val="nil"/>
            </w:tcBorders>
          </w:tcPr>
          <w:p w14:paraId="10E9AD0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(0.0202)</w:t>
            </w:r>
          </w:p>
        </w:tc>
      </w:tr>
      <w:tr w:rsidR="003E148C" w:rsidRPr="00BD2A98" w14:paraId="61B7A8CE" w14:textId="77777777" w:rsidTr="0026218B">
        <w:tc>
          <w:tcPr>
            <w:tcW w:w="0" w:type="auto"/>
            <w:tcBorders>
              <w:top w:val="nil"/>
              <w:left w:val="nil"/>
              <w:bottom w:val="nil"/>
              <w:right w:val="nil"/>
            </w:tcBorders>
          </w:tcPr>
          <w:p w14:paraId="6A36DD41" w14:textId="77777777" w:rsidR="003E148C" w:rsidRPr="00BD2A98" w:rsidRDefault="003E148C" w:rsidP="0026218B">
            <w:pPr>
              <w:widowControl w:val="0"/>
              <w:autoSpaceDE w:val="0"/>
              <w:autoSpaceDN w:val="0"/>
              <w:adjustRightInd w:val="0"/>
              <w:rPr>
                <w:sz w:val="20"/>
                <w:szCs w:val="20"/>
              </w:rPr>
            </w:pPr>
            <w:r w:rsidRPr="00BD2A98">
              <w:rPr>
                <w:sz w:val="20"/>
                <w:szCs w:val="20"/>
              </w:rPr>
              <w:t>Female</w:t>
            </w:r>
          </w:p>
        </w:tc>
        <w:tc>
          <w:tcPr>
            <w:tcW w:w="0" w:type="auto"/>
            <w:tcBorders>
              <w:top w:val="nil"/>
              <w:left w:val="nil"/>
              <w:bottom w:val="nil"/>
              <w:right w:val="nil"/>
            </w:tcBorders>
          </w:tcPr>
          <w:p w14:paraId="55D300D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-0.3360</w:t>
            </w:r>
          </w:p>
        </w:tc>
        <w:tc>
          <w:tcPr>
            <w:tcW w:w="0" w:type="auto"/>
            <w:tcBorders>
              <w:top w:val="nil"/>
              <w:left w:val="nil"/>
              <w:bottom w:val="nil"/>
              <w:right w:val="nil"/>
            </w:tcBorders>
          </w:tcPr>
          <w:p w14:paraId="1AD35BF2"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397B1CB8"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43099576"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12B888F1" w14:textId="77777777" w:rsidTr="0026218B">
        <w:tc>
          <w:tcPr>
            <w:tcW w:w="0" w:type="auto"/>
            <w:tcBorders>
              <w:top w:val="nil"/>
              <w:left w:val="nil"/>
              <w:bottom w:val="nil"/>
              <w:right w:val="nil"/>
            </w:tcBorders>
          </w:tcPr>
          <w:p w14:paraId="5DD3D7FA"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2311764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(0.0168)</w:t>
            </w:r>
          </w:p>
        </w:tc>
        <w:tc>
          <w:tcPr>
            <w:tcW w:w="0" w:type="auto"/>
            <w:tcBorders>
              <w:top w:val="nil"/>
              <w:left w:val="nil"/>
              <w:bottom w:val="nil"/>
              <w:right w:val="nil"/>
            </w:tcBorders>
          </w:tcPr>
          <w:p w14:paraId="6FF431B3"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0623960B"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1E3FDAC5"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0CDCE9F4" w14:textId="77777777" w:rsidTr="0026218B">
        <w:tc>
          <w:tcPr>
            <w:tcW w:w="0" w:type="auto"/>
            <w:tcBorders>
              <w:top w:val="nil"/>
              <w:left w:val="nil"/>
              <w:bottom w:val="nil"/>
              <w:right w:val="nil"/>
            </w:tcBorders>
          </w:tcPr>
          <w:p w14:paraId="4C6A4311"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deregulation*Female</w:t>
            </w:r>
          </w:p>
        </w:tc>
        <w:tc>
          <w:tcPr>
            <w:tcW w:w="0" w:type="auto"/>
            <w:tcBorders>
              <w:top w:val="nil"/>
              <w:left w:val="nil"/>
              <w:bottom w:val="nil"/>
              <w:right w:val="nil"/>
            </w:tcBorders>
          </w:tcPr>
          <w:p w14:paraId="239BC1E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-0.0700</w:t>
            </w:r>
          </w:p>
        </w:tc>
        <w:tc>
          <w:tcPr>
            <w:tcW w:w="0" w:type="auto"/>
            <w:tcBorders>
              <w:top w:val="nil"/>
              <w:left w:val="nil"/>
              <w:bottom w:val="nil"/>
              <w:right w:val="nil"/>
            </w:tcBorders>
          </w:tcPr>
          <w:p w14:paraId="2969EBB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-0.1016</w:t>
            </w:r>
          </w:p>
        </w:tc>
        <w:tc>
          <w:tcPr>
            <w:tcW w:w="0" w:type="auto"/>
            <w:tcBorders>
              <w:top w:val="nil"/>
              <w:left w:val="nil"/>
              <w:bottom w:val="nil"/>
              <w:right w:val="nil"/>
            </w:tcBorders>
          </w:tcPr>
          <w:p w14:paraId="5F84CBE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-0.0736</w:t>
            </w:r>
          </w:p>
        </w:tc>
        <w:tc>
          <w:tcPr>
            <w:tcW w:w="0" w:type="auto"/>
            <w:tcBorders>
              <w:top w:val="nil"/>
              <w:left w:val="nil"/>
              <w:bottom w:val="nil"/>
              <w:right w:val="nil"/>
            </w:tcBorders>
          </w:tcPr>
          <w:p w14:paraId="048F69D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-0.0553</w:t>
            </w:r>
          </w:p>
        </w:tc>
      </w:tr>
      <w:tr w:rsidR="003E148C" w:rsidRPr="00BD2A98" w14:paraId="565836E0" w14:textId="77777777" w:rsidTr="0026218B">
        <w:tc>
          <w:tcPr>
            <w:tcW w:w="0" w:type="auto"/>
            <w:tcBorders>
              <w:top w:val="nil"/>
              <w:left w:val="nil"/>
              <w:bottom w:val="nil"/>
              <w:right w:val="nil"/>
            </w:tcBorders>
          </w:tcPr>
          <w:p w14:paraId="1207DEA1"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52F487A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(0.0220)</w:t>
            </w:r>
          </w:p>
        </w:tc>
        <w:tc>
          <w:tcPr>
            <w:tcW w:w="0" w:type="auto"/>
            <w:tcBorders>
              <w:top w:val="nil"/>
              <w:left w:val="nil"/>
              <w:bottom w:val="nil"/>
              <w:right w:val="nil"/>
            </w:tcBorders>
          </w:tcPr>
          <w:p w14:paraId="0A05D2B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(0.0144)</w:t>
            </w:r>
          </w:p>
        </w:tc>
        <w:tc>
          <w:tcPr>
            <w:tcW w:w="0" w:type="auto"/>
            <w:tcBorders>
              <w:top w:val="nil"/>
              <w:left w:val="nil"/>
              <w:bottom w:val="nil"/>
              <w:right w:val="nil"/>
            </w:tcBorders>
          </w:tcPr>
          <w:p w14:paraId="1C725CC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(0.0125)</w:t>
            </w:r>
          </w:p>
        </w:tc>
        <w:tc>
          <w:tcPr>
            <w:tcW w:w="0" w:type="auto"/>
            <w:tcBorders>
              <w:top w:val="nil"/>
              <w:left w:val="nil"/>
              <w:bottom w:val="nil"/>
              <w:right w:val="nil"/>
            </w:tcBorders>
          </w:tcPr>
          <w:p w14:paraId="6A5EEA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(0.0138)</w:t>
            </w:r>
          </w:p>
        </w:tc>
      </w:tr>
      <w:tr w:rsidR="003E148C" w:rsidRPr="00BD2A98" w14:paraId="740B6644" w14:textId="77777777" w:rsidTr="0026218B">
        <w:tc>
          <w:tcPr>
            <w:tcW w:w="0" w:type="auto"/>
            <w:tcBorders>
              <w:top w:val="nil"/>
              <w:left w:val="nil"/>
              <w:bottom w:val="nil"/>
              <w:right w:val="nil"/>
            </w:tcBorders>
          </w:tcPr>
          <w:p w14:paraId="113E168E" w14:textId="77777777" w:rsidR="003E148C" w:rsidRPr="00BD2A98" w:rsidRDefault="003E148C" w:rsidP="0026218B">
            <w:pPr>
              <w:widowControl w:val="0"/>
              <w:autoSpaceDE w:val="0"/>
              <w:autoSpaceDN w:val="0"/>
              <w:adjustRightInd w:val="0"/>
              <w:rPr>
                <w:sz w:val="20"/>
                <w:szCs w:val="20"/>
              </w:rPr>
            </w:pPr>
            <w:r w:rsidRPr="00BD2A98">
              <w:rPr>
                <w:sz w:val="20"/>
                <w:szCs w:val="20"/>
              </w:rPr>
              <w:t>Age</w:t>
            </w:r>
          </w:p>
        </w:tc>
        <w:tc>
          <w:tcPr>
            <w:tcW w:w="0" w:type="auto"/>
            <w:tcBorders>
              <w:top w:val="nil"/>
              <w:left w:val="nil"/>
              <w:bottom w:val="nil"/>
              <w:right w:val="nil"/>
            </w:tcBorders>
          </w:tcPr>
          <w:p w14:paraId="15F3FDA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0.0098</w:t>
            </w:r>
          </w:p>
        </w:tc>
        <w:tc>
          <w:tcPr>
            <w:tcW w:w="0" w:type="auto"/>
            <w:tcBorders>
              <w:top w:val="nil"/>
              <w:left w:val="nil"/>
              <w:bottom w:val="nil"/>
              <w:right w:val="nil"/>
            </w:tcBorders>
          </w:tcPr>
          <w:p w14:paraId="4C56049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0.0331</w:t>
            </w:r>
          </w:p>
        </w:tc>
        <w:tc>
          <w:tcPr>
            <w:tcW w:w="0" w:type="auto"/>
            <w:tcBorders>
              <w:top w:val="nil"/>
              <w:left w:val="nil"/>
              <w:bottom w:val="nil"/>
              <w:right w:val="nil"/>
            </w:tcBorders>
          </w:tcPr>
          <w:p w14:paraId="1AFB25C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0.0274</w:t>
            </w:r>
          </w:p>
        </w:tc>
        <w:tc>
          <w:tcPr>
            <w:tcW w:w="0" w:type="auto"/>
            <w:tcBorders>
              <w:top w:val="nil"/>
              <w:left w:val="nil"/>
              <w:bottom w:val="nil"/>
              <w:right w:val="nil"/>
            </w:tcBorders>
          </w:tcPr>
          <w:p w14:paraId="2FE4B54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0.0300</w:t>
            </w:r>
          </w:p>
        </w:tc>
      </w:tr>
      <w:tr w:rsidR="003E148C" w:rsidRPr="00BD2A98" w14:paraId="25CDBF17" w14:textId="77777777" w:rsidTr="0026218B">
        <w:tc>
          <w:tcPr>
            <w:tcW w:w="0" w:type="auto"/>
            <w:tcBorders>
              <w:top w:val="nil"/>
              <w:left w:val="nil"/>
              <w:bottom w:val="nil"/>
              <w:right w:val="nil"/>
            </w:tcBorders>
          </w:tcPr>
          <w:p w14:paraId="745F3A1B"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0445244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c>
          <w:tcPr>
            <w:tcW w:w="0" w:type="auto"/>
            <w:tcBorders>
              <w:top w:val="nil"/>
              <w:left w:val="nil"/>
              <w:bottom w:val="nil"/>
              <w:right w:val="nil"/>
            </w:tcBorders>
          </w:tcPr>
          <w:p w14:paraId="6B8E9F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(0.0032)</w:t>
            </w:r>
          </w:p>
        </w:tc>
        <w:tc>
          <w:tcPr>
            <w:tcW w:w="0" w:type="auto"/>
            <w:tcBorders>
              <w:top w:val="nil"/>
              <w:left w:val="nil"/>
              <w:bottom w:val="nil"/>
              <w:right w:val="nil"/>
            </w:tcBorders>
          </w:tcPr>
          <w:p w14:paraId="599BF2E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(0.0036)</w:t>
            </w:r>
          </w:p>
        </w:tc>
        <w:tc>
          <w:tcPr>
            <w:tcW w:w="0" w:type="auto"/>
            <w:tcBorders>
              <w:top w:val="nil"/>
              <w:left w:val="nil"/>
              <w:bottom w:val="nil"/>
              <w:right w:val="nil"/>
            </w:tcBorders>
          </w:tcPr>
          <w:p w14:paraId="4EC2E4B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r>
      <w:tr w:rsidR="003E148C" w:rsidRPr="00BD2A98" w14:paraId="345C37CC" w14:textId="77777777" w:rsidTr="0026218B">
        <w:tc>
          <w:tcPr>
            <w:tcW w:w="0" w:type="auto"/>
            <w:tcBorders>
              <w:top w:val="nil"/>
              <w:left w:val="nil"/>
              <w:bottom w:val="nil"/>
              <w:right w:val="nil"/>
            </w:tcBorders>
          </w:tcPr>
          <w:p w14:paraId="61289112" w14:textId="77777777" w:rsidR="003E148C" w:rsidRPr="00BD2A98" w:rsidRDefault="003E148C" w:rsidP="0026218B">
            <w:pPr>
              <w:widowControl w:val="0"/>
              <w:autoSpaceDE w:val="0"/>
              <w:autoSpaceDN w:val="0"/>
              <w:adjustRightInd w:val="0"/>
              <w:rPr>
                <w:sz w:val="20"/>
                <w:szCs w:val="20"/>
              </w:rPr>
            </w:pPr>
            <w:r w:rsidRPr="00BD2A98">
              <w:rPr>
                <w:sz w:val="20"/>
                <w:szCs w:val="20"/>
              </w:rPr>
              <w:t>Age squared</w:t>
            </w:r>
          </w:p>
        </w:tc>
        <w:tc>
          <w:tcPr>
            <w:tcW w:w="0" w:type="auto"/>
            <w:tcBorders>
              <w:top w:val="nil"/>
              <w:left w:val="nil"/>
              <w:bottom w:val="nil"/>
              <w:right w:val="nil"/>
            </w:tcBorders>
          </w:tcPr>
          <w:p w14:paraId="6C5256D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-0.0001</w:t>
            </w:r>
          </w:p>
        </w:tc>
        <w:tc>
          <w:tcPr>
            <w:tcW w:w="0" w:type="auto"/>
            <w:tcBorders>
              <w:top w:val="nil"/>
              <w:left w:val="nil"/>
              <w:bottom w:val="nil"/>
              <w:right w:val="nil"/>
            </w:tcBorders>
          </w:tcPr>
          <w:p w14:paraId="2DD9BD1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-0.0004</w:t>
            </w:r>
          </w:p>
        </w:tc>
        <w:tc>
          <w:tcPr>
            <w:tcW w:w="0" w:type="auto"/>
            <w:tcBorders>
              <w:top w:val="nil"/>
              <w:left w:val="nil"/>
              <w:bottom w:val="nil"/>
              <w:right w:val="nil"/>
            </w:tcBorders>
          </w:tcPr>
          <w:p w14:paraId="1537C62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0" w:type="auto"/>
            <w:tcBorders>
              <w:top w:val="nil"/>
              <w:left w:val="nil"/>
              <w:bottom w:val="nil"/>
              <w:right w:val="nil"/>
            </w:tcBorders>
          </w:tcPr>
          <w:p w14:paraId="17B9220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r>
      <w:tr w:rsidR="003E148C" w:rsidRPr="00BD2A98" w14:paraId="059C6FD7" w14:textId="77777777" w:rsidTr="0026218B">
        <w:tc>
          <w:tcPr>
            <w:tcW w:w="0" w:type="auto"/>
            <w:tcBorders>
              <w:top w:val="nil"/>
              <w:left w:val="nil"/>
              <w:bottom w:val="nil"/>
              <w:right w:val="nil"/>
            </w:tcBorders>
          </w:tcPr>
          <w:p w14:paraId="50D5563D"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235A46C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0" w:type="auto"/>
            <w:tcBorders>
              <w:top w:val="nil"/>
              <w:left w:val="nil"/>
              <w:bottom w:val="nil"/>
              <w:right w:val="nil"/>
            </w:tcBorders>
          </w:tcPr>
          <w:p w14:paraId="595A8B0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0" w:type="auto"/>
            <w:tcBorders>
              <w:top w:val="nil"/>
              <w:left w:val="nil"/>
              <w:bottom w:val="nil"/>
              <w:right w:val="nil"/>
            </w:tcBorders>
          </w:tcPr>
          <w:p w14:paraId="0195392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0" w:type="auto"/>
            <w:tcBorders>
              <w:top w:val="nil"/>
              <w:left w:val="nil"/>
              <w:bottom w:val="nil"/>
              <w:right w:val="nil"/>
            </w:tcBorders>
          </w:tcPr>
          <w:p w14:paraId="54BD84C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(0.0001)</w:t>
            </w:r>
          </w:p>
        </w:tc>
      </w:tr>
      <w:tr w:rsidR="003E148C" w:rsidRPr="00BD2A98" w14:paraId="7599F467" w14:textId="77777777" w:rsidTr="0026218B">
        <w:tc>
          <w:tcPr>
            <w:tcW w:w="0" w:type="auto"/>
            <w:tcBorders>
              <w:top w:val="nil"/>
              <w:left w:val="nil"/>
              <w:bottom w:val="nil"/>
              <w:right w:val="nil"/>
            </w:tcBorders>
          </w:tcPr>
          <w:p w14:paraId="5D7B2EFF" w14:textId="77777777" w:rsidR="003E148C" w:rsidRPr="00BD2A98" w:rsidRDefault="003E148C" w:rsidP="0026218B">
            <w:pPr>
              <w:widowControl w:val="0"/>
              <w:autoSpaceDE w:val="0"/>
              <w:autoSpaceDN w:val="0"/>
              <w:adjustRightInd w:val="0"/>
              <w:rPr>
                <w:sz w:val="20"/>
                <w:szCs w:val="20"/>
              </w:rPr>
            </w:pPr>
            <w:r w:rsidRPr="00BD2A98">
              <w:rPr>
                <w:sz w:val="20"/>
                <w:szCs w:val="20"/>
              </w:rPr>
              <w:t>Mid education</w:t>
            </w:r>
          </w:p>
        </w:tc>
        <w:tc>
          <w:tcPr>
            <w:tcW w:w="0" w:type="auto"/>
            <w:tcBorders>
              <w:top w:val="nil"/>
              <w:left w:val="nil"/>
              <w:bottom w:val="nil"/>
              <w:right w:val="nil"/>
            </w:tcBorders>
          </w:tcPr>
          <w:p w14:paraId="59C6C6B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0.0916</w:t>
            </w:r>
          </w:p>
        </w:tc>
        <w:tc>
          <w:tcPr>
            <w:tcW w:w="0" w:type="auto"/>
            <w:tcBorders>
              <w:top w:val="nil"/>
              <w:left w:val="nil"/>
              <w:bottom w:val="nil"/>
              <w:right w:val="nil"/>
            </w:tcBorders>
          </w:tcPr>
          <w:p w14:paraId="39C1A79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0.0433</w:t>
            </w:r>
          </w:p>
        </w:tc>
        <w:tc>
          <w:tcPr>
            <w:tcW w:w="0" w:type="auto"/>
            <w:tcBorders>
              <w:top w:val="nil"/>
              <w:left w:val="nil"/>
              <w:bottom w:val="nil"/>
              <w:right w:val="nil"/>
            </w:tcBorders>
          </w:tcPr>
          <w:p w14:paraId="5547B25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0" w:type="auto"/>
            <w:tcBorders>
              <w:top w:val="nil"/>
              <w:left w:val="nil"/>
              <w:bottom w:val="nil"/>
              <w:right w:val="nil"/>
            </w:tcBorders>
          </w:tcPr>
          <w:p w14:paraId="3A915C9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-0.0033</w:t>
            </w:r>
          </w:p>
        </w:tc>
      </w:tr>
      <w:tr w:rsidR="003E148C" w:rsidRPr="00BD2A98" w14:paraId="683B6343" w14:textId="77777777" w:rsidTr="0026218B">
        <w:tc>
          <w:tcPr>
            <w:tcW w:w="0" w:type="auto"/>
            <w:tcBorders>
              <w:top w:val="nil"/>
              <w:left w:val="nil"/>
              <w:bottom w:val="nil"/>
              <w:right w:val="nil"/>
            </w:tcBorders>
          </w:tcPr>
          <w:p w14:paraId="2E4214AC"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381FCAB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(0.0157)</w:t>
            </w:r>
          </w:p>
        </w:tc>
        <w:tc>
          <w:tcPr>
            <w:tcW w:w="0" w:type="auto"/>
            <w:tcBorders>
              <w:top w:val="nil"/>
              <w:left w:val="nil"/>
              <w:bottom w:val="nil"/>
              <w:right w:val="nil"/>
            </w:tcBorders>
          </w:tcPr>
          <w:p w14:paraId="36B0020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(0.0101)</w:t>
            </w:r>
          </w:p>
        </w:tc>
        <w:tc>
          <w:tcPr>
            <w:tcW w:w="0" w:type="auto"/>
            <w:tcBorders>
              <w:top w:val="nil"/>
              <w:left w:val="nil"/>
              <w:bottom w:val="nil"/>
              <w:right w:val="nil"/>
            </w:tcBorders>
          </w:tcPr>
          <w:p w14:paraId="194BA27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(0.0068)</w:t>
            </w:r>
          </w:p>
        </w:tc>
        <w:tc>
          <w:tcPr>
            <w:tcW w:w="0" w:type="auto"/>
            <w:tcBorders>
              <w:top w:val="nil"/>
              <w:left w:val="nil"/>
              <w:bottom w:val="nil"/>
              <w:right w:val="nil"/>
            </w:tcBorders>
          </w:tcPr>
          <w:p w14:paraId="05A363E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(0.0111)</w:t>
            </w:r>
          </w:p>
        </w:tc>
      </w:tr>
      <w:tr w:rsidR="003E148C" w:rsidRPr="00BD2A98" w14:paraId="2F24B1A7" w14:textId="77777777" w:rsidTr="0026218B">
        <w:tc>
          <w:tcPr>
            <w:tcW w:w="0" w:type="auto"/>
            <w:tcBorders>
              <w:top w:val="nil"/>
              <w:left w:val="nil"/>
              <w:bottom w:val="nil"/>
              <w:right w:val="nil"/>
            </w:tcBorders>
          </w:tcPr>
          <w:p w14:paraId="495BE7D7" w14:textId="77777777" w:rsidR="003E148C" w:rsidRPr="00BD2A98" w:rsidRDefault="003E148C" w:rsidP="0026218B">
            <w:pPr>
              <w:widowControl w:val="0"/>
              <w:autoSpaceDE w:val="0"/>
              <w:autoSpaceDN w:val="0"/>
              <w:adjustRightInd w:val="0"/>
              <w:rPr>
                <w:sz w:val="20"/>
                <w:szCs w:val="20"/>
              </w:rPr>
            </w:pPr>
            <w:r w:rsidRPr="00BD2A98">
              <w:rPr>
                <w:sz w:val="20"/>
                <w:szCs w:val="20"/>
              </w:rPr>
              <w:t>High education</w:t>
            </w:r>
          </w:p>
        </w:tc>
        <w:tc>
          <w:tcPr>
            <w:tcW w:w="0" w:type="auto"/>
            <w:tcBorders>
              <w:top w:val="nil"/>
              <w:left w:val="nil"/>
              <w:bottom w:val="nil"/>
              <w:right w:val="nil"/>
            </w:tcBorders>
          </w:tcPr>
          <w:p w14:paraId="65DA0F8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-0.1302</w:t>
            </w:r>
          </w:p>
        </w:tc>
        <w:tc>
          <w:tcPr>
            <w:tcW w:w="0" w:type="auto"/>
            <w:tcBorders>
              <w:top w:val="nil"/>
              <w:left w:val="nil"/>
              <w:bottom w:val="nil"/>
              <w:right w:val="nil"/>
            </w:tcBorders>
          </w:tcPr>
          <w:p w14:paraId="799281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-0.0186</w:t>
            </w:r>
          </w:p>
        </w:tc>
        <w:tc>
          <w:tcPr>
            <w:tcW w:w="0" w:type="auto"/>
            <w:tcBorders>
              <w:top w:val="nil"/>
              <w:left w:val="nil"/>
              <w:bottom w:val="nil"/>
              <w:right w:val="nil"/>
            </w:tcBorders>
          </w:tcPr>
          <w:p w14:paraId="047F65C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0.0107</w:t>
            </w:r>
          </w:p>
        </w:tc>
        <w:tc>
          <w:tcPr>
            <w:tcW w:w="0" w:type="auto"/>
            <w:tcBorders>
              <w:top w:val="nil"/>
              <w:left w:val="nil"/>
              <w:bottom w:val="nil"/>
              <w:right w:val="nil"/>
            </w:tcBorders>
          </w:tcPr>
          <w:p w14:paraId="266FEEB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0.0564</w:t>
            </w:r>
          </w:p>
        </w:tc>
      </w:tr>
      <w:tr w:rsidR="003E148C" w:rsidRPr="00BD2A98" w14:paraId="00A3A68B" w14:textId="77777777" w:rsidTr="0026218B">
        <w:tc>
          <w:tcPr>
            <w:tcW w:w="0" w:type="auto"/>
            <w:tcBorders>
              <w:top w:val="nil"/>
              <w:left w:val="nil"/>
              <w:bottom w:val="nil"/>
              <w:right w:val="nil"/>
            </w:tcBorders>
          </w:tcPr>
          <w:p w14:paraId="2DC013BC"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3CC1D26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(0.0180)</w:t>
            </w:r>
          </w:p>
        </w:tc>
        <w:tc>
          <w:tcPr>
            <w:tcW w:w="0" w:type="auto"/>
            <w:tcBorders>
              <w:top w:val="nil"/>
              <w:left w:val="nil"/>
              <w:bottom w:val="nil"/>
              <w:right w:val="nil"/>
            </w:tcBorders>
          </w:tcPr>
          <w:p w14:paraId="72B0F78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(0.0165)</w:t>
            </w:r>
          </w:p>
        </w:tc>
        <w:tc>
          <w:tcPr>
            <w:tcW w:w="0" w:type="auto"/>
            <w:tcBorders>
              <w:top w:val="nil"/>
              <w:left w:val="nil"/>
              <w:bottom w:val="nil"/>
              <w:right w:val="nil"/>
            </w:tcBorders>
          </w:tcPr>
          <w:p w14:paraId="0A15E96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(0.0230)</w:t>
            </w:r>
          </w:p>
        </w:tc>
        <w:tc>
          <w:tcPr>
            <w:tcW w:w="0" w:type="auto"/>
            <w:tcBorders>
              <w:top w:val="nil"/>
              <w:left w:val="nil"/>
              <w:bottom w:val="nil"/>
              <w:right w:val="nil"/>
            </w:tcBorders>
          </w:tcPr>
          <w:p w14:paraId="05A75CE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(0.0317)</w:t>
            </w:r>
          </w:p>
        </w:tc>
      </w:tr>
      <w:tr w:rsidR="003E148C" w:rsidRPr="00BD2A98" w14:paraId="3DB4BF3D" w14:textId="77777777" w:rsidTr="0026218B">
        <w:tc>
          <w:tcPr>
            <w:tcW w:w="0" w:type="auto"/>
            <w:tcBorders>
              <w:top w:val="nil"/>
              <w:left w:val="nil"/>
              <w:bottom w:val="nil"/>
              <w:right w:val="nil"/>
            </w:tcBorders>
          </w:tcPr>
          <w:p w14:paraId="2138E4CF" w14:textId="77777777" w:rsidR="003E148C" w:rsidRPr="00BD2A98" w:rsidRDefault="003E148C" w:rsidP="0026218B">
            <w:pPr>
              <w:widowControl w:val="0"/>
              <w:autoSpaceDE w:val="0"/>
              <w:autoSpaceDN w:val="0"/>
              <w:adjustRightInd w:val="0"/>
              <w:rPr>
                <w:sz w:val="20"/>
                <w:szCs w:val="20"/>
              </w:rPr>
            </w:pPr>
            <w:r w:rsidRPr="00BD2A98">
              <w:rPr>
                <w:sz w:val="20"/>
                <w:szCs w:val="20"/>
              </w:rPr>
              <w:t>Hours worked (ln)</w:t>
            </w:r>
          </w:p>
        </w:tc>
        <w:tc>
          <w:tcPr>
            <w:tcW w:w="0" w:type="auto"/>
            <w:tcBorders>
              <w:top w:val="nil"/>
              <w:left w:val="nil"/>
              <w:bottom w:val="nil"/>
              <w:right w:val="nil"/>
            </w:tcBorders>
          </w:tcPr>
          <w:p w14:paraId="1EAEA9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0.2240</w:t>
            </w:r>
          </w:p>
        </w:tc>
        <w:tc>
          <w:tcPr>
            <w:tcW w:w="0" w:type="auto"/>
            <w:tcBorders>
              <w:top w:val="nil"/>
              <w:left w:val="nil"/>
              <w:bottom w:val="nil"/>
              <w:right w:val="nil"/>
            </w:tcBorders>
          </w:tcPr>
          <w:p w14:paraId="2DAA543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0.2219</w:t>
            </w:r>
          </w:p>
        </w:tc>
        <w:tc>
          <w:tcPr>
            <w:tcW w:w="0" w:type="auto"/>
            <w:tcBorders>
              <w:top w:val="nil"/>
              <w:left w:val="nil"/>
              <w:bottom w:val="nil"/>
              <w:right w:val="nil"/>
            </w:tcBorders>
          </w:tcPr>
          <w:p w14:paraId="7A6E35C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0.2299</w:t>
            </w:r>
          </w:p>
        </w:tc>
        <w:tc>
          <w:tcPr>
            <w:tcW w:w="0" w:type="auto"/>
            <w:tcBorders>
              <w:top w:val="nil"/>
              <w:left w:val="nil"/>
              <w:bottom w:val="nil"/>
              <w:right w:val="nil"/>
            </w:tcBorders>
          </w:tcPr>
          <w:p w14:paraId="71113F4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0.2212</w:t>
            </w:r>
          </w:p>
        </w:tc>
      </w:tr>
      <w:tr w:rsidR="003E148C" w:rsidRPr="00BD2A98" w14:paraId="09048E47" w14:textId="77777777" w:rsidTr="0026218B">
        <w:tc>
          <w:tcPr>
            <w:tcW w:w="0" w:type="auto"/>
            <w:tcBorders>
              <w:top w:val="nil"/>
              <w:left w:val="nil"/>
              <w:bottom w:val="nil"/>
              <w:right w:val="nil"/>
            </w:tcBorders>
          </w:tcPr>
          <w:p w14:paraId="5A194F2A"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17FEED7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(0.0075)</w:t>
            </w:r>
          </w:p>
        </w:tc>
        <w:tc>
          <w:tcPr>
            <w:tcW w:w="0" w:type="auto"/>
            <w:tcBorders>
              <w:top w:val="nil"/>
              <w:left w:val="nil"/>
              <w:bottom w:val="nil"/>
              <w:right w:val="nil"/>
            </w:tcBorders>
          </w:tcPr>
          <w:p w14:paraId="29E843E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(0.0070)</w:t>
            </w:r>
          </w:p>
        </w:tc>
        <w:tc>
          <w:tcPr>
            <w:tcW w:w="0" w:type="auto"/>
            <w:tcBorders>
              <w:top w:val="nil"/>
              <w:left w:val="nil"/>
              <w:bottom w:val="nil"/>
              <w:right w:val="nil"/>
            </w:tcBorders>
          </w:tcPr>
          <w:p w14:paraId="4E81905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(0.0077)</w:t>
            </w:r>
          </w:p>
        </w:tc>
        <w:tc>
          <w:tcPr>
            <w:tcW w:w="0" w:type="auto"/>
            <w:tcBorders>
              <w:top w:val="nil"/>
              <w:left w:val="nil"/>
              <w:bottom w:val="nil"/>
              <w:right w:val="nil"/>
            </w:tcBorders>
          </w:tcPr>
          <w:p w14:paraId="5B8B45E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(0.0076)</w:t>
            </w:r>
          </w:p>
        </w:tc>
      </w:tr>
      <w:tr w:rsidR="003E148C" w:rsidRPr="00BD2A98" w14:paraId="6D4BBED7" w14:textId="77777777" w:rsidTr="0026218B">
        <w:tc>
          <w:tcPr>
            <w:tcW w:w="0" w:type="auto"/>
            <w:tcBorders>
              <w:top w:val="nil"/>
              <w:left w:val="nil"/>
              <w:bottom w:val="nil"/>
              <w:right w:val="nil"/>
            </w:tcBorders>
          </w:tcPr>
          <w:p w14:paraId="0ED2DC7D" w14:textId="77777777" w:rsidR="003E148C" w:rsidRPr="00BD2A98" w:rsidRDefault="003E148C" w:rsidP="0026218B">
            <w:pPr>
              <w:widowControl w:val="0"/>
              <w:autoSpaceDE w:val="0"/>
              <w:autoSpaceDN w:val="0"/>
              <w:adjustRightInd w:val="0"/>
              <w:rPr>
                <w:sz w:val="20"/>
                <w:szCs w:val="20"/>
              </w:rPr>
            </w:pPr>
            <w:r w:rsidRPr="00BD2A98">
              <w:rPr>
                <w:sz w:val="20"/>
                <w:szCs w:val="20"/>
              </w:rPr>
              <w:t>Long term contract</w:t>
            </w:r>
          </w:p>
        </w:tc>
        <w:tc>
          <w:tcPr>
            <w:tcW w:w="0" w:type="auto"/>
            <w:tcBorders>
              <w:top w:val="nil"/>
              <w:left w:val="nil"/>
              <w:bottom w:val="nil"/>
              <w:right w:val="nil"/>
            </w:tcBorders>
          </w:tcPr>
          <w:p w14:paraId="4A615EB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-0.2341</w:t>
            </w:r>
          </w:p>
        </w:tc>
        <w:tc>
          <w:tcPr>
            <w:tcW w:w="0" w:type="auto"/>
            <w:tcBorders>
              <w:top w:val="nil"/>
              <w:left w:val="nil"/>
              <w:bottom w:val="nil"/>
              <w:right w:val="nil"/>
            </w:tcBorders>
          </w:tcPr>
          <w:p w14:paraId="147B21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-0.1167</w:t>
            </w:r>
          </w:p>
        </w:tc>
        <w:tc>
          <w:tcPr>
            <w:tcW w:w="0" w:type="auto"/>
            <w:tcBorders>
              <w:top w:val="nil"/>
              <w:left w:val="nil"/>
              <w:bottom w:val="nil"/>
              <w:right w:val="nil"/>
            </w:tcBorders>
          </w:tcPr>
          <w:p w14:paraId="52C298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-0.0507</w:t>
            </w:r>
          </w:p>
        </w:tc>
        <w:tc>
          <w:tcPr>
            <w:tcW w:w="0" w:type="auto"/>
            <w:tcBorders>
              <w:top w:val="nil"/>
              <w:left w:val="nil"/>
              <w:bottom w:val="nil"/>
              <w:right w:val="nil"/>
            </w:tcBorders>
          </w:tcPr>
          <w:p w14:paraId="0E62546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-0.0515</w:t>
            </w:r>
          </w:p>
        </w:tc>
      </w:tr>
      <w:tr w:rsidR="003E148C" w:rsidRPr="00BD2A98" w14:paraId="597A9D9F" w14:textId="77777777" w:rsidTr="0026218B">
        <w:tc>
          <w:tcPr>
            <w:tcW w:w="0" w:type="auto"/>
            <w:tcBorders>
              <w:top w:val="nil"/>
              <w:left w:val="nil"/>
              <w:bottom w:val="nil"/>
              <w:right w:val="nil"/>
            </w:tcBorders>
          </w:tcPr>
          <w:p w14:paraId="0DE52164"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2A3EA05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(0.0166)</w:t>
            </w:r>
          </w:p>
        </w:tc>
        <w:tc>
          <w:tcPr>
            <w:tcW w:w="0" w:type="auto"/>
            <w:tcBorders>
              <w:top w:val="nil"/>
              <w:left w:val="nil"/>
              <w:bottom w:val="nil"/>
              <w:right w:val="nil"/>
            </w:tcBorders>
          </w:tcPr>
          <w:p w14:paraId="3F9B01F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(0.0156)</w:t>
            </w:r>
          </w:p>
        </w:tc>
        <w:tc>
          <w:tcPr>
            <w:tcW w:w="0" w:type="auto"/>
            <w:tcBorders>
              <w:top w:val="nil"/>
              <w:left w:val="nil"/>
              <w:bottom w:val="nil"/>
              <w:right w:val="nil"/>
            </w:tcBorders>
          </w:tcPr>
          <w:p w14:paraId="38A7A6C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(0.0131)</w:t>
            </w:r>
          </w:p>
        </w:tc>
        <w:tc>
          <w:tcPr>
            <w:tcW w:w="0" w:type="auto"/>
            <w:tcBorders>
              <w:top w:val="nil"/>
              <w:left w:val="nil"/>
              <w:bottom w:val="nil"/>
              <w:right w:val="nil"/>
            </w:tcBorders>
          </w:tcPr>
          <w:p w14:paraId="12B589F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(0.0158)</w:t>
            </w:r>
          </w:p>
        </w:tc>
      </w:tr>
      <w:tr w:rsidR="003E148C" w:rsidRPr="00BD2A98" w14:paraId="1F63FE50" w14:textId="77777777" w:rsidTr="0026218B">
        <w:tc>
          <w:tcPr>
            <w:tcW w:w="0" w:type="auto"/>
            <w:tcBorders>
              <w:top w:val="nil"/>
              <w:left w:val="nil"/>
              <w:bottom w:val="nil"/>
              <w:right w:val="nil"/>
            </w:tcBorders>
          </w:tcPr>
          <w:p w14:paraId="4FFDD53F" w14:textId="77777777" w:rsidR="003E148C" w:rsidRPr="00BD2A98" w:rsidRDefault="003E148C" w:rsidP="0026218B">
            <w:pPr>
              <w:widowControl w:val="0"/>
              <w:autoSpaceDE w:val="0"/>
              <w:autoSpaceDN w:val="0"/>
              <w:adjustRightInd w:val="0"/>
              <w:rPr>
                <w:sz w:val="20"/>
                <w:szCs w:val="20"/>
              </w:rPr>
            </w:pPr>
            <w:r w:rsidRPr="00BD2A98">
              <w:rPr>
                <w:sz w:val="20"/>
                <w:szCs w:val="20"/>
              </w:rPr>
              <w:t>Mid qualification</w:t>
            </w:r>
          </w:p>
        </w:tc>
        <w:tc>
          <w:tcPr>
            <w:tcW w:w="0" w:type="auto"/>
            <w:tcBorders>
              <w:top w:val="nil"/>
              <w:left w:val="nil"/>
              <w:bottom w:val="nil"/>
              <w:right w:val="nil"/>
            </w:tcBorders>
          </w:tcPr>
          <w:p w14:paraId="57EAAEB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0.1648</w:t>
            </w:r>
          </w:p>
        </w:tc>
        <w:tc>
          <w:tcPr>
            <w:tcW w:w="0" w:type="auto"/>
            <w:tcBorders>
              <w:top w:val="nil"/>
              <w:left w:val="nil"/>
              <w:bottom w:val="nil"/>
              <w:right w:val="nil"/>
            </w:tcBorders>
          </w:tcPr>
          <w:p w14:paraId="613DCB1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0.0471</w:t>
            </w:r>
          </w:p>
        </w:tc>
        <w:tc>
          <w:tcPr>
            <w:tcW w:w="0" w:type="auto"/>
            <w:tcBorders>
              <w:top w:val="nil"/>
              <w:left w:val="nil"/>
              <w:bottom w:val="nil"/>
              <w:right w:val="nil"/>
            </w:tcBorders>
          </w:tcPr>
          <w:p w14:paraId="1AA43F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0.0059</w:t>
            </w:r>
          </w:p>
        </w:tc>
        <w:tc>
          <w:tcPr>
            <w:tcW w:w="0" w:type="auto"/>
            <w:tcBorders>
              <w:top w:val="nil"/>
              <w:left w:val="nil"/>
              <w:bottom w:val="nil"/>
              <w:right w:val="nil"/>
            </w:tcBorders>
          </w:tcPr>
          <w:p w14:paraId="2A266E5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0.0040</w:t>
            </w:r>
          </w:p>
        </w:tc>
      </w:tr>
      <w:tr w:rsidR="003E148C" w:rsidRPr="00BD2A98" w14:paraId="395B305F" w14:textId="77777777" w:rsidTr="0026218B">
        <w:tc>
          <w:tcPr>
            <w:tcW w:w="0" w:type="auto"/>
            <w:tcBorders>
              <w:top w:val="nil"/>
              <w:left w:val="nil"/>
              <w:bottom w:val="nil"/>
              <w:right w:val="nil"/>
            </w:tcBorders>
          </w:tcPr>
          <w:p w14:paraId="5A1FFC75"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1824F39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(0.0148)</w:t>
            </w:r>
          </w:p>
        </w:tc>
        <w:tc>
          <w:tcPr>
            <w:tcW w:w="0" w:type="auto"/>
            <w:tcBorders>
              <w:top w:val="nil"/>
              <w:left w:val="nil"/>
              <w:bottom w:val="nil"/>
              <w:right w:val="nil"/>
            </w:tcBorders>
          </w:tcPr>
          <w:p w14:paraId="5CA1AE9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(0.0077)</w:t>
            </w:r>
          </w:p>
        </w:tc>
        <w:tc>
          <w:tcPr>
            <w:tcW w:w="0" w:type="auto"/>
            <w:tcBorders>
              <w:top w:val="nil"/>
              <w:left w:val="nil"/>
              <w:bottom w:val="nil"/>
              <w:right w:val="nil"/>
            </w:tcBorders>
          </w:tcPr>
          <w:p w14:paraId="41B39C5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(0.0067)</w:t>
            </w:r>
          </w:p>
        </w:tc>
        <w:tc>
          <w:tcPr>
            <w:tcW w:w="0" w:type="auto"/>
            <w:tcBorders>
              <w:top w:val="nil"/>
              <w:left w:val="nil"/>
              <w:bottom w:val="nil"/>
              <w:right w:val="nil"/>
            </w:tcBorders>
          </w:tcPr>
          <w:p w14:paraId="2280918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(0.0091)</w:t>
            </w:r>
          </w:p>
        </w:tc>
      </w:tr>
      <w:tr w:rsidR="003E148C" w:rsidRPr="00BD2A98" w14:paraId="799D3BA2" w14:textId="77777777" w:rsidTr="0026218B">
        <w:tc>
          <w:tcPr>
            <w:tcW w:w="0" w:type="auto"/>
            <w:tcBorders>
              <w:top w:val="nil"/>
              <w:left w:val="nil"/>
              <w:bottom w:val="nil"/>
              <w:right w:val="nil"/>
            </w:tcBorders>
          </w:tcPr>
          <w:p w14:paraId="7A5B87EC" w14:textId="77777777" w:rsidR="003E148C" w:rsidRPr="00BD2A98" w:rsidRDefault="003E148C" w:rsidP="0026218B">
            <w:pPr>
              <w:widowControl w:val="0"/>
              <w:autoSpaceDE w:val="0"/>
              <w:autoSpaceDN w:val="0"/>
              <w:adjustRightInd w:val="0"/>
              <w:rPr>
                <w:sz w:val="20"/>
                <w:szCs w:val="20"/>
              </w:rPr>
            </w:pPr>
            <w:r w:rsidRPr="00BD2A98">
              <w:rPr>
                <w:sz w:val="20"/>
                <w:szCs w:val="20"/>
              </w:rPr>
              <w:t>High qualification</w:t>
            </w:r>
          </w:p>
        </w:tc>
        <w:tc>
          <w:tcPr>
            <w:tcW w:w="0" w:type="auto"/>
            <w:tcBorders>
              <w:top w:val="nil"/>
              <w:left w:val="nil"/>
              <w:bottom w:val="nil"/>
              <w:right w:val="nil"/>
            </w:tcBorders>
          </w:tcPr>
          <w:p w14:paraId="247A59A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0.1562</w:t>
            </w:r>
          </w:p>
        </w:tc>
        <w:tc>
          <w:tcPr>
            <w:tcW w:w="0" w:type="auto"/>
            <w:tcBorders>
              <w:top w:val="nil"/>
              <w:left w:val="nil"/>
              <w:bottom w:val="nil"/>
              <w:right w:val="nil"/>
            </w:tcBorders>
          </w:tcPr>
          <w:p w14:paraId="04CE2B5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0.0099</w:t>
            </w:r>
          </w:p>
        </w:tc>
        <w:tc>
          <w:tcPr>
            <w:tcW w:w="0" w:type="auto"/>
            <w:tcBorders>
              <w:top w:val="nil"/>
              <w:left w:val="nil"/>
              <w:bottom w:val="nil"/>
              <w:right w:val="nil"/>
            </w:tcBorders>
          </w:tcPr>
          <w:p w14:paraId="74609F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-0.0167</w:t>
            </w:r>
          </w:p>
        </w:tc>
        <w:tc>
          <w:tcPr>
            <w:tcW w:w="0" w:type="auto"/>
            <w:tcBorders>
              <w:top w:val="nil"/>
              <w:left w:val="nil"/>
              <w:bottom w:val="nil"/>
              <w:right w:val="nil"/>
            </w:tcBorders>
          </w:tcPr>
          <w:p w14:paraId="39D348D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-0.0102</w:t>
            </w:r>
          </w:p>
        </w:tc>
      </w:tr>
      <w:tr w:rsidR="003E148C" w:rsidRPr="00BD2A98" w14:paraId="44F9C4A7" w14:textId="77777777" w:rsidTr="0026218B">
        <w:tc>
          <w:tcPr>
            <w:tcW w:w="0" w:type="auto"/>
            <w:tcBorders>
              <w:top w:val="nil"/>
              <w:left w:val="nil"/>
              <w:bottom w:val="nil"/>
              <w:right w:val="nil"/>
            </w:tcBorders>
          </w:tcPr>
          <w:p w14:paraId="2005C185"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17DDD4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(0.0161)</w:t>
            </w:r>
          </w:p>
        </w:tc>
        <w:tc>
          <w:tcPr>
            <w:tcW w:w="0" w:type="auto"/>
            <w:tcBorders>
              <w:top w:val="nil"/>
              <w:left w:val="nil"/>
              <w:bottom w:val="nil"/>
              <w:right w:val="nil"/>
            </w:tcBorders>
          </w:tcPr>
          <w:p w14:paraId="34401D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(0.0188)</w:t>
            </w:r>
          </w:p>
        </w:tc>
        <w:tc>
          <w:tcPr>
            <w:tcW w:w="0" w:type="auto"/>
            <w:tcBorders>
              <w:top w:val="nil"/>
              <w:left w:val="nil"/>
              <w:bottom w:val="nil"/>
              <w:right w:val="nil"/>
            </w:tcBorders>
          </w:tcPr>
          <w:p w14:paraId="1AAAA8E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(0.0166)</w:t>
            </w:r>
          </w:p>
        </w:tc>
        <w:tc>
          <w:tcPr>
            <w:tcW w:w="0" w:type="auto"/>
            <w:tcBorders>
              <w:top w:val="nil"/>
              <w:left w:val="nil"/>
              <w:bottom w:val="nil"/>
              <w:right w:val="nil"/>
            </w:tcBorders>
          </w:tcPr>
          <w:p w14:paraId="201E499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(0.0190)</w:t>
            </w:r>
          </w:p>
        </w:tc>
      </w:tr>
      <w:tr w:rsidR="003E148C" w:rsidRPr="00BD2A98" w14:paraId="5B9B06C9" w14:textId="77777777" w:rsidTr="0026218B">
        <w:tc>
          <w:tcPr>
            <w:tcW w:w="0" w:type="auto"/>
            <w:tcBorders>
              <w:top w:val="nil"/>
              <w:left w:val="nil"/>
              <w:bottom w:val="nil"/>
              <w:right w:val="nil"/>
            </w:tcBorders>
          </w:tcPr>
          <w:p w14:paraId="3CFA073F" w14:textId="77777777" w:rsidR="003E148C" w:rsidRPr="00BD2A98" w:rsidRDefault="003E148C" w:rsidP="0026218B">
            <w:pPr>
              <w:widowControl w:val="0"/>
              <w:autoSpaceDE w:val="0"/>
              <w:autoSpaceDN w:val="0"/>
              <w:adjustRightInd w:val="0"/>
              <w:rPr>
                <w:sz w:val="20"/>
                <w:szCs w:val="20"/>
              </w:rPr>
            </w:pPr>
            <w:r w:rsidRPr="00BD2A98">
              <w:rPr>
                <w:sz w:val="20"/>
                <w:szCs w:val="20"/>
              </w:rPr>
              <w:t>Workers (ln)</w:t>
            </w:r>
          </w:p>
        </w:tc>
        <w:tc>
          <w:tcPr>
            <w:tcW w:w="0" w:type="auto"/>
            <w:tcBorders>
              <w:top w:val="nil"/>
              <w:left w:val="nil"/>
              <w:bottom w:val="nil"/>
              <w:right w:val="nil"/>
            </w:tcBorders>
          </w:tcPr>
          <w:p w14:paraId="5EF4C7C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0.1949</w:t>
            </w:r>
          </w:p>
        </w:tc>
        <w:tc>
          <w:tcPr>
            <w:tcW w:w="0" w:type="auto"/>
            <w:tcBorders>
              <w:top w:val="nil"/>
              <w:left w:val="nil"/>
              <w:bottom w:val="nil"/>
              <w:right w:val="nil"/>
            </w:tcBorders>
          </w:tcPr>
          <w:p w14:paraId="6FA16A4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0.2004</w:t>
            </w:r>
          </w:p>
        </w:tc>
        <w:tc>
          <w:tcPr>
            <w:tcW w:w="0" w:type="auto"/>
            <w:tcBorders>
              <w:top w:val="nil"/>
              <w:left w:val="nil"/>
              <w:bottom w:val="nil"/>
              <w:right w:val="nil"/>
            </w:tcBorders>
          </w:tcPr>
          <w:p w14:paraId="1E77BE4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0.1212</w:t>
            </w:r>
          </w:p>
        </w:tc>
        <w:tc>
          <w:tcPr>
            <w:tcW w:w="0" w:type="auto"/>
            <w:tcBorders>
              <w:top w:val="nil"/>
              <w:left w:val="nil"/>
              <w:bottom w:val="nil"/>
              <w:right w:val="nil"/>
            </w:tcBorders>
          </w:tcPr>
          <w:p w14:paraId="72CA729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0.1114</w:t>
            </w:r>
          </w:p>
        </w:tc>
      </w:tr>
      <w:tr w:rsidR="003E148C" w:rsidRPr="00BD2A98" w14:paraId="72EC09B7" w14:textId="77777777" w:rsidTr="0026218B">
        <w:tc>
          <w:tcPr>
            <w:tcW w:w="0" w:type="auto"/>
            <w:tcBorders>
              <w:top w:val="nil"/>
              <w:left w:val="nil"/>
              <w:bottom w:val="nil"/>
              <w:right w:val="nil"/>
            </w:tcBorders>
          </w:tcPr>
          <w:p w14:paraId="656037A4"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37437AA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(0.0062)</w:t>
            </w:r>
          </w:p>
        </w:tc>
        <w:tc>
          <w:tcPr>
            <w:tcW w:w="0" w:type="auto"/>
            <w:tcBorders>
              <w:top w:val="nil"/>
              <w:left w:val="nil"/>
              <w:bottom w:val="nil"/>
              <w:right w:val="nil"/>
            </w:tcBorders>
          </w:tcPr>
          <w:p w14:paraId="32C4231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(0.0049)</w:t>
            </w:r>
          </w:p>
        </w:tc>
        <w:tc>
          <w:tcPr>
            <w:tcW w:w="0" w:type="auto"/>
            <w:tcBorders>
              <w:top w:val="nil"/>
              <w:left w:val="nil"/>
              <w:bottom w:val="nil"/>
              <w:right w:val="nil"/>
            </w:tcBorders>
          </w:tcPr>
          <w:p w14:paraId="29840B5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(0.0125)</w:t>
            </w:r>
          </w:p>
        </w:tc>
        <w:tc>
          <w:tcPr>
            <w:tcW w:w="0" w:type="auto"/>
            <w:tcBorders>
              <w:top w:val="nil"/>
              <w:left w:val="nil"/>
              <w:bottom w:val="nil"/>
              <w:right w:val="nil"/>
            </w:tcBorders>
          </w:tcPr>
          <w:p w14:paraId="49B2FEF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(0.0147)</w:t>
            </w:r>
          </w:p>
        </w:tc>
      </w:tr>
      <w:tr w:rsidR="003E148C" w:rsidRPr="00BD2A98" w14:paraId="3C4D0396" w14:textId="77777777" w:rsidTr="0026218B">
        <w:tc>
          <w:tcPr>
            <w:tcW w:w="0" w:type="auto"/>
            <w:tcBorders>
              <w:top w:val="nil"/>
              <w:left w:val="nil"/>
              <w:bottom w:val="nil"/>
              <w:right w:val="nil"/>
            </w:tcBorders>
          </w:tcPr>
          <w:p w14:paraId="643DB654" w14:textId="77777777" w:rsidR="003E148C" w:rsidRPr="00BD2A98" w:rsidRDefault="003E148C" w:rsidP="0026218B">
            <w:pPr>
              <w:widowControl w:val="0"/>
              <w:autoSpaceDE w:val="0"/>
              <w:autoSpaceDN w:val="0"/>
              <w:adjustRightInd w:val="0"/>
              <w:rPr>
                <w:sz w:val="20"/>
                <w:szCs w:val="20"/>
              </w:rPr>
            </w:pPr>
            <w:r w:rsidRPr="00BD2A98">
              <w:rPr>
                <w:sz w:val="20"/>
                <w:szCs w:val="20"/>
              </w:rPr>
              <w:t>Constant</w:t>
            </w:r>
          </w:p>
        </w:tc>
        <w:tc>
          <w:tcPr>
            <w:tcW w:w="0" w:type="auto"/>
            <w:tcBorders>
              <w:top w:val="nil"/>
              <w:left w:val="nil"/>
              <w:bottom w:val="nil"/>
              <w:right w:val="nil"/>
            </w:tcBorders>
          </w:tcPr>
          <w:p w14:paraId="2E88904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-0.7750</w:t>
            </w:r>
          </w:p>
        </w:tc>
        <w:tc>
          <w:tcPr>
            <w:tcW w:w="0" w:type="auto"/>
            <w:tcBorders>
              <w:top w:val="nil"/>
              <w:left w:val="nil"/>
              <w:bottom w:val="nil"/>
              <w:right w:val="nil"/>
            </w:tcBorders>
          </w:tcPr>
          <w:p w14:paraId="4814C75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-1.3048</w:t>
            </w:r>
          </w:p>
        </w:tc>
        <w:tc>
          <w:tcPr>
            <w:tcW w:w="0" w:type="auto"/>
            <w:tcBorders>
              <w:top w:val="nil"/>
              <w:left w:val="nil"/>
              <w:bottom w:val="nil"/>
              <w:right w:val="nil"/>
            </w:tcBorders>
          </w:tcPr>
          <w:p w14:paraId="6031427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-0.9158</w:t>
            </w:r>
          </w:p>
        </w:tc>
        <w:tc>
          <w:tcPr>
            <w:tcW w:w="0" w:type="auto"/>
            <w:tcBorders>
              <w:top w:val="nil"/>
              <w:left w:val="nil"/>
              <w:bottom w:val="nil"/>
              <w:right w:val="nil"/>
            </w:tcBorders>
          </w:tcPr>
          <w:p w14:paraId="5CD040A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-0.8735</w:t>
            </w:r>
          </w:p>
        </w:tc>
      </w:tr>
      <w:tr w:rsidR="003E148C" w:rsidRPr="00BD2A98" w14:paraId="23516986" w14:textId="77777777" w:rsidTr="0026218B">
        <w:tc>
          <w:tcPr>
            <w:tcW w:w="0" w:type="auto"/>
            <w:tcBorders>
              <w:top w:val="nil"/>
              <w:left w:val="nil"/>
              <w:bottom w:val="nil"/>
              <w:right w:val="nil"/>
            </w:tcBorders>
          </w:tcPr>
          <w:p w14:paraId="718F5ED1"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2435632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(0.0463)</w:t>
            </w:r>
          </w:p>
        </w:tc>
        <w:tc>
          <w:tcPr>
            <w:tcW w:w="0" w:type="auto"/>
            <w:tcBorders>
              <w:top w:val="nil"/>
              <w:left w:val="nil"/>
              <w:bottom w:val="nil"/>
              <w:right w:val="nil"/>
            </w:tcBorders>
          </w:tcPr>
          <w:p w14:paraId="2F297FF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(0.0826)</w:t>
            </w:r>
          </w:p>
        </w:tc>
        <w:tc>
          <w:tcPr>
            <w:tcW w:w="0" w:type="auto"/>
            <w:tcBorders>
              <w:top w:val="nil"/>
              <w:left w:val="nil"/>
              <w:bottom w:val="nil"/>
              <w:right w:val="nil"/>
            </w:tcBorders>
          </w:tcPr>
          <w:p w14:paraId="661E4A4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(0.1002)</w:t>
            </w:r>
          </w:p>
        </w:tc>
        <w:tc>
          <w:tcPr>
            <w:tcW w:w="0" w:type="auto"/>
            <w:tcBorders>
              <w:top w:val="nil"/>
              <w:left w:val="nil"/>
              <w:bottom w:val="nil"/>
              <w:right w:val="nil"/>
            </w:tcBorders>
          </w:tcPr>
          <w:p w14:paraId="33140D5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(0.1070)</w:t>
            </w:r>
          </w:p>
        </w:tc>
      </w:tr>
      <w:tr w:rsidR="003E148C" w:rsidRPr="00BD2A98" w14:paraId="25E35621" w14:textId="77777777" w:rsidTr="0026218B">
        <w:tc>
          <w:tcPr>
            <w:tcW w:w="0" w:type="auto"/>
            <w:tcBorders>
              <w:top w:val="nil"/>
              <w:left w:val="nil"/>
              <w:bottom w:val="nil"/>
              <w:right w:val="nil"/>
            </w:tcBorders>
          </w:tcPr>
          <w:p w14:paraId="054A1120" w14:textId="77777777" w:rsidR="003E148C" w:rsidRPr="00BD2A98" w:rsidRDefault="003E148C" w:rsidP="0026218B">
            <w:pPr>
              <w:widowControl w:val="0"/>
              <w:autoSpaceDE w:val="0"/>
              <w:autoSpaceDN w:val="0"/>
              <w:adjustRightInd w:val="0"/>
              <w:rPr>
                <w:sz w:val="20"/>
                <w:szCs w:val="20"/>
              </w:rPr>
            </w:pPr>
            <w:r w:rsidRPr="00BD2A98">
              <w:rPr>
                <w:sz w:val="20"/>
                <w:szCs w:val="20"/>
              </w:rPr>
              <w:t xml:space="preserve">R2 </w:t>
            </w:r>
          </w:p>
        </w:tc>
        <w:tc>
          <w:tcPr>
            <w:tcW w:w="0" w:type="auto"/>
            <w:tcBorders>
              <w:top w:val="nil"/>
              <w:left w:val="nil"/>
              <w:bottom w:val="nil"/>
              <w:right w:val="nil"/>
            </w:tcBorders>
          </w:tcPr>
          <w:p w14:paraId="057FAB2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w:t>
            </w:r>
          </w:p>
        </w:tc>
        <w:tc>
          <w:tcPr>
            <w:tcW w:w="0" w:type="auto"/>
            <w:tcBorders>
              <w:top w:val="nil"/>
              <w:left w:val="nil"/>
              <w:bottom w:val="nil"/>
              <w:right w:val="nil"/>
            </w:tcBorders>
          </w:tcPr>
          <w:p w14:paraId="0DD4D4C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0.54</w:t>
            </w:r>
          </w:p>
        </w:tc>
        <w:tc>
          <w:tcPr>
            <w:tcW w:w="0" w:type="auto"/>
            <w:tcBorders>
              <w:top w:val="nil"/>
              <w:left w:val="nil"/>
              <w:bottom w:val="nil"/>
              <w:right w:val="nil"/>
            </w:tcBorders>
          </w:tcPr>
          <w:p w14:paraId="38F47EB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0.60</w:t>
            </w:r>
          </w:p>
        </w:tc>
        <w:tc>
          <w:tcPr>
            <w:tcW w:w="0" w:type="auto"/>
            <w:tcBorders>
              <w:top w:val="nil"/>
              <w:left w:val="nil"/>
              <w:bottom w:val="nil"/>
              <w:right w:val="nil"/>
            </w:tcBorders>
          </w:tcPr>
          <w:p w14:paraId="16ADD57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0.63</w:t>
            </w:r>
          </w:p>
        </w:tc>
      </w:tr>
      <w:tr w:rsidR="003E148C" w:rsidRPr="00BD2A98" w14:paraId="16320A6C" w14:textId="77777777" w:rsidTr="0026218B">
        <w:tc>
          <w:tcPr>
            <w:tcW w:w="0" w:type="auto"/>
            <w:tcBorders>
              <w:top w:val="nil"/>
              <w:left w:val="nil"/>
              <w:bottom w:val="nil"/>
              <w:right w:val="nil"/>
            </w:tcBorders>
          </w:tcPr>
          <w:p w14:paraId="1D6BFB4B" w14:textId="77777777" w:rsidR="003E148C" w:rsidRPr="00BD2A98" w:rsidRDefault="003E148C" w:rsidP="0026218B">
            <w:pPr>
              <w:widowControl w:val="0"/>
              <w:autoSpaceDE w:val="0"/>
              <w:autoSpaceDN w:val="0"/>
              <w:adjustRightInd w:val="0"/>
              <w:rPr>
                <w:sz w:val="20"/>
                <w:szCs w:val="20"/>
              </w:rPr>
            </w:pPr>
            <w:r w:rsidRPr="00BD2A98">
              <w:rPr>
                <w:sz w:val="20"/>
                <w:szCs w:val="20"/>
              </w:rPr>
              <w:t>N</w:t>
            </w:r>
          </w:p>
        </w:tc>
        <w:tc>
          <w:tcPr>
            <w:tcW w:w="0" w:type="auto"/>
            <w:tcBorders>
              <w:top w:val="nil"/>
              <w:left w:val="nil"/>
              <w:bottom w:val="nil"/>
              <w:right w:val="nil"/>
            </w:tcBorders>
          </w:tcPr>
          <w:p w14:paraId="529434C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19,977,543</w:t>
            </w:r>
          </w:p>
        </w:tc>
        <w:tc>
          <w:tcPr>
            <w:tcW w:w="0" w:type="auto"/>
            <w:tcBorders>
              <w:top w:val="nil"/>
              <w:left w:val="nil"/>
              <w:bottom w:val="nil"/>
              <w:right w:val="nil"/>
            </w:tcBorders>
          </w:tcPr>
          <w:p w14:paraId="1AB9898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18,878,984</w:t>
            </w:r>
          </w:p>
        </w:tc>
        <w:tc>
          <w:tcPr>
            <w:tcW w:w="0" w:type="auto"/>
            <w:tcBorders>
              <w:top w:val="nil"/>
              <w:left w:val="nil"/>
              <w:bottom w:val="nil"/>
              <w:right w:val="nil"/>
            </w:tcBorders>
          </w:tcPr>
          <w:p w14:paraId="5ADE456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18,800,218</w:t>
            </w:r>
          </w:p>
        </w:tc>
        <w:tc>
          <w:tcPr>
            <w:tcW w:w="0" w:type="auto"/>
            <w:tcBorders>
              <w:top w:val="nil"/>
              <w:left w:val="nil"/>
              <w:bottom w:val="nil"/>
              <w:right w:val="nil"/>
            </w:tcBorders>
          </w:tcPr>
          <w:p w14:paraId="1C196B3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16,951,500</w:t>
            </w:r>
          </w:p>
        </w:tc>
      </w:tr>
      <w:tr w:rsidR="003E148C" w:rsidRPr="00BD2A98" w14:paraId="71B59B70" w14:textId="77777777" w:rsidTr="0026218B">
        <w:tc>
          <w:tcPr>
            <w:tcW w:w="0" w:type="auto"/>
            <w:tcBorders>
              <w:top w:val="nil"/>
              <w:left w:val="nil"/>
              <w:bottom w:val="nil"/>
              <w:right w:val="nil"/>
            </w:tcBorders>
          </w:tcPr>
          <w:p w14:paraId="18C69FFD" w14:textId="77777777" w:rsidR="003E148C" w:rsidRPr="00BD2A98" w:rsidRDefault="003E148C" w:rsidP="0026218B">
            <w:pPr>
              <w:widowControl w:val="0"/>
              <w:autoSpaceDE w:val="0"/>
              <w:autoSpaceDN w:val="0"/>
              <w:adjustRightInd w:val="0"/>
              <w:rPr>
                <w:sz w:val="20"/>
                <w:szCs w:val="20"/>
              </w:rPr>
            </w:pPr>
            <w:r w:rsidRPr="00BD2A98">
              <w:rPr>
                <w:sz w:val="20"/>
                <w:szCs w:val="20"/>
              </w:rPr>
              <w:t>Occupation FE</w:t>
            </w:r>
          </w:p>
        </w:tc>
        <w:tc>
          <w:tcPr>
            <w:tcW w:w="0" w:type="auto"/>
            <w:tcBorders>
              <w:top w:val="nil"/>
              <w:left w:val="nil"/>
              <w:bottom w:val="nil"/>
              <w:right w:val="nil"/>
            </w:tcBorders>
          </w:tcPr>
          <w:p w14:paraId="16F45CB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3795AD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04400CF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283E1B9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43F19A83" w14:textId="77777777" w:rsidTr="0026218B">
        <w:tc>
          <w:tcPr>
            <w:tcW w:w="0" w:type="auto"/>
            <w:tcBorders>
              <w:top w:val="nil"/>
              <w:left w:val="nil"/>
              <w:right w:val="nil"/>
            </w:tcBorders>
          </w:tcPr>
          <w:p w14:paraId="5F19163D" w14:textId="77777777" w:rsidR="003E148C" w:rsidRPr="00BD2A98" w:rsidRDefault="003E148C" w:rsidP="0026218B">
            <w:pPr>
              <w:widowControl w:val="0"/>
              <w:autoSpaceDE w:val="0"/>
              <w:autoSpaceDN w:val="0"/>
              <w:adjustRightInd w:val="0"/>
              <w:rPr>
                <w:sz w:val="20"/>
                <w:szCs w:val="20"/>
              </w:rPr>
            </w:pPr>
            <w:r w:rsidRPr="00BD2A98">
              <w:rPr>
                <w:sz w:val="20"/>
                <w:szCs w:val="20"/>
              </w:rPr>
              <w:t>Year FE</w:t>
            </w:r>
          </w:p>
        </w:tc>
        <w:tc>
          <w:tcPr>
            <w:tcW w:w="0" w:type="auto"/>
            <w:tcBorders>
              <w:top w:val="nil"/>
              <w:left w:val="nil"/>
              <w:right w:val="nil"/>
            </w:tcBorders>
          </w:tcPr>
          <w:p w14:paraId="60771A6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tcPr>
          <w:p w14:paraId="543D692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tcPr>
          <w:p w14:paraId="52F8587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tcPr>
          <w:p w14:paraId="1C6759E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2A13CF55" w14:textId="77777777" w:rsidTr="0026218B">
        <w:tc>
          <w:tcPr>
            <w:tcW w:w="0" w:type="auto"/>
            <w:tcBorders>
              <w:top w:val="nil"/>
              <w:left w:val="nil"/>
              <w:bottom w:val="nil"/>
              <w:right w:val="nil"/>
            </w:tcBorders>
          </w:tcPr>
          <w:p w14:paraId="26C15D05" w14:textId="43122445" w:rsidR="003E148C" w:rsidRPr="00BD2A98" w:rsidRDefault="004358A2" w:rsidP="0026218B">
            <w:pPr>
              <w:widowControl w:val="0"/>
              <w:autoSpaceDE w:val="0"/>
              <w:autoSpaceDN w:val="0"/>
              <w:adjustRightInd w:val="0"/>
              <w:rPr>
                <w:sz w:val="20"/>
                <w:szCs w:val="20"/>
              </w:rPr>
            </w:pPr>
            <w:r>
              <w:rPr>
                <w:sz w:val="20"/>
                <w:szCs w:val="20"/>
              </w:rPr>
              <w:t>Municipality</w:t>
            </w:r>
            <w:r w:rsidR="003E148C" w:rsidRPr="00BD2A98">
              <w:rPr>
                <w:sz w:val="20"/>
                <w:szCs w:val="20"/>
              </w:rPr>
              <w:t xml:space="preserve"> FE</w:t>
            </w:r>
          </w:p>
        </w:tc>
        <w:tc>
          <w:tcPr>
            <w:tcW w:w="0" w:type="auto"/>
            <w:tcBorders>
              <w:top w:val="nil"/>
              <w:left w:val="nil"/>
              <w:bottom w:val="nil"/>
              <w:right w:val="nil"/>
            </w:tcBorders>
          </w:tcPr>
          <w:p w14:paraId="631A62F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0653183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3CD3B25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206DA9B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56A89DC4" w14:textId="77777777" w:rsidTr="0026218B">
        <w:tc>
          <w:tcPr>
            <w:tcW w:w="0" w:type="auto"/>
            <w:tcBorders>
              <w:top w:val="nil"/>
              <w:left w:val="nil"/>
              <w:bottom w:val="nil"/>
              <w:right w:val="nil"/>
            </w:tcBorders>
          </w:tcPr>
          <w:p w14:paraId="5505B629" w14:textId="77777777" w:rsidR="003E148C" w:rsidRPr="00BD2A98" w:rsidRDefault="003E148C" w:rsidP="0026218B">
            <w:pPr>
              <w:widowControl w:val="0"/>
              <w:autoSpaceDE w:val="0"/>
              <w:autoSpaceDN w:val="0"/>
              <w:adjustRightInd w:val="0"/>
              <w:rPr>
                <w:sz w:val="20"/>
                <w:szCs w:val="20"/>
              </w:rPr>
            </w:pPr>
            <w:r w:rsidRPr="00BD2A98">
              <w:rPr>
                <w:sz w:val="20"/>
                <w:szCs w:val="20"/>
              </w:rPr>
              <w:t>Worker FE</w:t>
            </w:r>
          </w:p>
        </w:tc>
        <w:tc>
          <w:tcPr>
            <w:tcW w:w="0" w:type="auto"/>
            <w:tcBorders>
              <w:top w:val="nil"/>
              <w:left w:val="nil"/>
              <w:bottom w:val="nil"/>
              <w:right w:val="nil"/>
            </w:tcBorders>
          </w:tcPr>
          <w:p w14:paraId="572A2B45"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07CAD0E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0ABC274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6F3B729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071F3E0D" w14:textId="77777777" w:rsidTr="0026218B">
        <w:tc>
          <w:tcPr>
            <w:tcW w:w="0" w:type="auto"/>
            <w:tcBorders>
              <w:top w:val="nil"/>
              <w:left w:val="nil"/>
              <w:right w:val="nil"/>
            </w:tcBorders>
          </w:tcPr>
          <w:p w14:paraId="1DB952FA" w14:textId="77777777" w:rsidR="003E148C" w:rsidRPr="00BD2A98" w:rsidRDefault="003E148C" w:rsidP="0026218B">
            <w:pPr>
              <w:widowControl w:val="0"/>
              <w:autoSpaceDE w:val="0"/>
              <w:autoSpaceDN w:val="0"/>
              <w:adjustRightInd w:val="0"/>
              <w:rPr>
                <w:sz w:val="20"/>
                <w:szCs w:val="20"/>
              </w:rPr>
            </w:pPr>
            <w:r w:rsidRPr="00BD2A98">
              <w:rPr>
                <w:sz w:val="20"/>
                <w:szCs w:val="20"/>
              </w:rPr>
              <w:t>Firm FE</w:t>
            </w:r>
          </w:p>
        </w:tc>
        <w:tc>
          <w:tcPr>
            <w:tcW w:w="0" w:type="auto"/>
            <w:tcBorders>
              <w:top w:val="nil"/>
              <w:left w:val="nil"/>
              <w:right w:val="nil"/>
            </w:tcBorders>
          </w:tcPr>
          <w:p w14:paraId="69B11470"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right w:val="nil"/>
            </w:tcBorders>
          </w:tcPr>
          <w:p w14:paraId="496A01C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right w:val="nil"/>
            </w:tcBorders>
          </w:tcPr>
          <w:p w14:paraId="02D3EBA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tcPr>
          <w:p w14:paraId="1703C81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12ECE5CB" w14:textId="77777777" w:rsidTr="0026218B">
        <w:tc>
          <w:tcPr>
            <w:tcW w:w="0" w:type="auto"/>
            <w:tcBorders>
              <w:top w:val="nil"/>
              <w:left w:val="nil"/>
              <w:bottom w:val="single" w:sz="4" w:space="0" w:color="auto"/>
              <w:right w:val="nil"/>
            </w:tcBorders>
          </w:tcPr>
          <w:p w14:paraId="549C253B" w14:textId="77777777" w:rsidR="003E148C" w:rsidRPr="00BD2A98" w:rsidRDefault="003E148C" w:rsidP="0026218B">
            <w:pPr>
              <w:widowControl w:val="0"/>
              <w:autoSpaceDE w:val="0"/>
              <w:autoSpaceDN w:val="0"/>
              <w:adjustRightInd w:val="0"/>
              <w:rPr>
                <w:sz w:val="20"/>
                <w:szCs w:val="20"/>
              </w:rPr>
            </w:pPr>
            <w:r w:rsidRPr="00BD2A98">
              <w:rPr>
                <w:sz w:val="20"/>
                <w:szCs w:val="20"/>
              </w:rPr>
              <w:t>Worker&amp;Firm FE</w:t>
            </w:r>
          </w:p>
        </w:tc>
        <w:tc>
          <w:tcPr>
            <w:tcW w:w="0" w:type="auto"/>
            <w:tcBorders>
              <w:top w:val="nil"/>
              <w:left w:val="nil"/>
              <w:bottom w:val="single" w:sz="4" w:space="0" w:color="auto"/>
              <w:right w:val="nil"/>
            </w:tcBorders>
          </w:tcPr>
          <w:p w14:paraId="054D1E3B"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7A8D7015"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1F11CDBE"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090EAC1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F93F29" w14:paraId="3F5E1F35" w14:textId="77777777" w:rsidTr="0026218B">
        <w:tblPrEx>
          <w:tblCellMar>
            <w:left w:w="70" w:type="dxa"/>
            <w:right w:w="70" w:type="dxa"/>
          </w:tblCellMar>
          <w:tblLook w:val="04A0" w:firstRow="1" w:lastRow="0" w:firstColumn="1" w:lastColumn="0" w:noHBand="0" w:noVBand="1"/>
        </w:tblPrEx>
        <w:trPr>
          <w:trHeight w:val="20"/>
        </w:trPr>
        <w:tc>
          <w:tcPr>
            <w:tcW w:w="0" w:type="auto"/>
            <w:gridSpan w:val="2"/>
            <w:tcBorders>
              <w:top w:val="nil"/>
              <w:left w:val="nil"/>
              <w:bottom w:val="nil"/>
              <w:right w:val="nil"/>
            </w:tcBorders>
            <w:shd w:val="clear" w:color="auto" w:fill="auto"/>
            <w:noWrap/>
            <w:vAlign w:val="bottom"/>
            <w:hideMark/>
          </w:tcPr>
          <w:p w14:paraId="253864C1" w14:textId="77777777" w:rsidR="003E148C" w:rsidRPr="00F93F29" w:rsidRDefault="003E148C" w:rsidP="0026218B">
            <w:pPr>
              <w:rPr>
                <w:sz w:val="16"/>
                <w:szCs w:val="16"/>
                <w:lang w:eastAsia="pt-PT"/>
              </w:rPr>
            </w:pPr>
            <w:r w:rsidRPr="002C306D">
              <w:rPr>
                <w:sz w:val="20"/>
                <w:szCs w:val="20"/>
                <w:lang w:eastAsia="pt-PT"/>
              </w:rPr>
              <w:t>Robust standard errors clustered by municipality in brackets</w:t>
            </w:r>
          </w:p>
        </w:tc>
        <w:tc>
          <w:tcPr>
            <w:tcW w:w="0" w:type="auto"/>
            <w:tcBorders>
              <w:top w:val="nil"/>
              <w:left w:val="nil"/>
              <w:bottom w:val="nil"/>
              <w:right w:val="nil"/>
            </w:tcBorders>
            <w:shd w:val="clear" w:color="auto" w:fill="auto"/>
            <w:noWrap/>
            <w:vAlign w:val="bottom"/>
            <w:hideMark/>
          </w:tcPr>
          <w:p w14:paraId="7F7E08F1" w14:textId="77777777" w:rsidR="003E148C" w:rsidRPr="00F93F29" w:rsidRDefault="003E148C" w:rsidP="0026218B">
            <w:pPr>
              <w:rPr>
                <w:sz w:val="16"/>
                <w:szCs w:val="16"/>
                <w:lang w:eastAsia="pt-PT"/>
              </w:rPr>
            </w:pPr>
          </w:p>
        </w:tc>
        <w:tc>
          <w:tcPr>
            <w:tcW w:w="0" w:type="auto"/>
            <w:tcBorders>
              <w:top w:val="nil"/>
              <w:left w:val="nil"/>
              <w:bottom w:val="nil"/>
              <w:right w:val="nil"/>
            </w:tcBorders>
            <w:shd w:val="clear" w:color="auto" w:fill="auto"/>
            <w:noWrap/>
            <w:vAlign w:val="bottom"/>
            <w:hideMark/>
          </w:tcPr>
          <w:p w14:paraId="2129F4AC" w14:textId="77777777" w:rsidR="003E148C" w:rsidRPr="00F93F29" w:rsidRDefault="003E148C" w:rsidP="0026218B">
            <w:pPr>
              <w:rPr>
                <w:sz w:val="16"/>
                <w:szCs w:val="16"/>
                <w:lang w:eastAsia="pt-PT"/>
              </w:rPr>
            </w:pPr>
          </w:p>
        </w:tc>
        <w:tc>
          <w:tcPr>
            <w:tcW w:w="0" w:type="auto"/>
            <w:tcBorders>
              <w:top w:val="nil"/>
              <w:left w:val="nil"/>
              <w:bottom w:val="nil"/>
              <w:right w:val="nil"/>
            </w:tcBorders>
            <w:shd w:val="clear" w:color="auto" w:fill="auto"/>
            <w:noWrap/>
            <w:vAlign w:val="bottom"/>
            <w:hideMark/>
          </w:tcPr>
          <w:p w14:paraId="619C2C58" w14:textId="77777777" w:rsidR="003E148C" w:rsidRPr="00F93F29" w:rsidRDefault="003E148C" w:rsidP="0026218B">
            <w:pPr>
              <w:rPr>
                <w:sz w:val="16"/>
                <w:szCs w:val="16"/>
                <w:lang w:eastAsia="pt-PT"/>
              </w:rPr>
            </w:pPr>
          </w:p>
        </w:tc>
      </w:tr>
    </w:tbl>
    <w:p w14:paraId="18E01C08" w14:textId="77777777" w:rsidR="003E148C" w:rsidRDefault="003E148C" w:rsidP="003E148C">
      <w:pPr>
        <w:rPr>
          <w:sz w:val="20"/>
          <w:szCs w:val="20"/>
        </w:rPr>
      </w:pPr>
    </w:p>
    <w:p w14:paraId="68A02855" w14:textId="77777777" w:rsidR="003E148C" w:rsidRDefault="003E148C" w:rsidP="003E148C">
      <w:pPr>
        <w:rPr>
          <w:sz w:val="20"/>
          <w:szCs w:val="20"/>
        </w:rPr>
      </w:pPr>
      <w:r>
        <w:rPr>
          <w:sz w:val="20"/>
          <w:szCs w:val="20"/>
        </w:rPr>
        <w:br w:type="page"/>
      </w:r>
    </w:p>
    <w:p w14:paraId="63384561" w14:textId="77777777" w:rsidR="003E148C" w:rsidRDefault="003E148C" w:rsidP="003E148C">
      <w:pPr>
        <w:rPr>
          <w:b/>
          <w:sz w:val="22"/>
          <w:szCs w:val="22"/>
        </w:rPr>
      </w:pPr>
      <w:r w:rsidRPr="00E94742">
        <w:rPr>
          <w:b/>
          <w:sz w:val="22"/>
          <w:szCs w:val="22"/>
        </w:rPr>
        <w:t>Table A5. Effect of the reform on wage by gender: state-owned versus private firm</w:t>
      </w:r>
    </w:p>
    <w:p w14:paraId="00CA87CA" w14:textId="77777777" w:rsidR="003E148C" w:rsidRPr="00E94742" w:rsidRDefault="003E148C" w:rsidP="003E148C">
      <w:pPr>
        <w:rPr>
          <w:b/>
          <w:sz w:val="22"/>
          <w:szCs w:val="22"/>
        </w:rPr>
      </w:pPr>
    </w:p>
    <w:tbl>
      <w:tblPr>
        <w:tblW w:w="0" w:type="auto"/>
        <w:tblCellMar>
          <w:left w:w="14" w:type="dxa"/>
          <w:right w:w="14" w:type="dxa"/>
        </w:tblCellMar>
        <w:tblLook w:val="0000" w:firstRow="0" w:lastRow="0" w:firstColumn="0" w:lastColumn="0" w:noHBand="0" w:noVBand="0"/>
      </w:tblPr>
      <w:tblGrid>
        <w:gridCol w:w="3689"/>
        <w:gridCol w:w="1152"/>
        <w:gridCol w:w="1152"/>
        <w:gridCol w:w="1152"/>
        <w:gridCol w:w="1152"/>
      </w:tblGrid>
      <w:tr w:rsidR="003E148C" w:rsidRPr="008328ED" w14:paraId="6A86461F" w14:textId="77777777" w:rsidTr="0026218B">
        <w:tc>
          <w:tcPr>
            <w:tcW w:w="0" w:type="auto"/>
            <w:tcBorders>
              <w:top w:val="single" w:sz="6" w:space="0" w:color="auto"/>
              <w:left w:val="nil"/>
              <w:bottom w:val="nil"/>
              <w:right w:val="nil"/>
            </w:tcBorders>
          </w:tcPr>
          <w:p w14:paraId="74C7F2EC" w14:textId="77777777" w:rsidR="003E148C" w:rsidRPr="00BD2A98" w:rsidRDefault="003E148C" w:rsidP="0026218B">
            <w:pPr>
              <w:widowControl w:val="0"/>
              <w:autoSpaceDE w:val="0"/>
              <w:autoSpaceDN w:val="0"/>
              <w:adjustRightInd w:val="0"/>
              <w:jc w:val="center"/>
              <w:rPr>
                <w:sz w:val="20"/>
                <w:szCs w:val="20"/>
              </w:rPr>
            </w:pPr>
          </w:p>
        </w:tc>
        <w:tc>
          <w:tcPr>
            <w:tcW w:w="1152" w:type="dxa"/>
            <w:tcBorders>
              <w:top w:val="single" w:sz="6" w:space="0" w:color="auto"/>
              <w:left w:val="nil"/>
              <w:bottom w:val="nil"/>
              <w:right w:val="nil"/>
            </w:tcBorders>
          </w:tcPr>
          <w:p w14:paraId="35BF3DD3"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1</w:t>
            </w:r>
          </w:p>
        </w:tc>
        <w:tc>
          <w:tcPr>
            <w:tcW w:w="1152" w:type="dxa"/>
            <w:tcBorders>
              <w:top w:val="single" w:sz="6" w:space="0" w:color="auto"/>
              <w:left w:val="nil"/>
              <w:bottom w:val="nil"/>
              <w:right w:val="nil"/>
            </w:tcBorders>
          </w:tcPr>
          <w:p w14:paraId="04B390DC"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2</w:t>
            </w:r>
          </w:p>
        </w:tc>
        <w:tc>
          <w:tcPr>
            <w:tcW w:w="1152" w:type="dxa"/>
            <w:tcBorders>
              <w:top w:val="single" w:sz="6" w:space="0" w:color="auto"/>
              <w:left w:val="nil"/>
              <w:bottom w:val="nil"/>
              <w:right w:val="nil"/>
            </w:tcBorders>
          </w:tcPr>
          <w:p w14:paraId="77C90D27"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3</w:t>
            </w:r>
          </w:p>
        </w:tc>
        <w:tc>
          <w:tcPr>
            <w:tcW w:w="1152" w:type="dxa"/>
            <w:tcBorders>
              <w:top w:val="single" w:sz="6" w:space="0" w:color="auto"/>
              <w:left w:val="nil"/>
              <w:bottom w:val="nil"/>
              <w:right w:val="nil"/>
            </w:tcBorders>
          </w:tcPr>
          <w:p w14:paraId="770A8B13"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4</w:t>
            </w:r>
          </w:p>
        </w:tc>
      </w:tr>
      <w:tr w:rsidR="003E148C" w:rsidRPr="00BD2A98" w14:paraId="6980B0B8" w14:textId="77777777" w:rsidTr="0026218B">
        <w:tc>
          <w:tcPr>
            <w:tcW w:w="0" w:type="auto"/>
            <w:tcBorders>
              <w:top w:val="single" w:sz="6" w:space="0" w:color="auto"/>
              <w:left w:val="nil"/>
              <w:bottom w:val="nil"/>
              <w:right w:val="nil"/>
            </w:tcBorders>
          </w:tcPr>
          <w:p w14:paraId="3C3CF498"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w:t>
            </w:r>
          </w:p>
        </w:tc>
        <w:tc>
          <w:tcPr>
            <w:tcW w:w="1152" w:type="dxa"/>
            <w:tcBorders>
              <w:top w:val="single" w:sz="6" w:space="0" w:color="auto"/>
              <w:left w:val="nil"/>
              <w:bottom w:val="nil"/>
              <w:right w:val="nil"/>
            </w:tcBorders>
          </w:tcPr>
          <w:p w14:paraId="0980433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-0.0100</w:t>
            </w:r>
          </w:p>
        </w:tc>
        <w:tc>
          <w:tcPr>
            <w:tcW w:w="1152" w:type="dxa"/>
            <w:tcBorders>
              <w:top w:val="single" w:sz="6" w:space="0" w:color="auto"/>
              <w:left w:val="nil"/>
              <w:bottom w:val="nil"/>
              <w:right w:val="nil"/>
            </w:tcBorders>
          </w:tcPr>
          <w:p w14:paraId="189E455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0.0081</w:t>
            </w:r>
          </w:p>
        </w:tc>
        <w:tc>
          <w:tcPr>
            <w:tcW w:w="1152" w:type="dxa"/>
            <w:tcBorders>
              <w:top w:val="single" w:sz="6" w:space="0" w:color="auto"/>
              <w:left w:val="nil"/>
              <w:bottom w:val="nil"/>
              <w:right w:val="nil"/>
            </w:tcBorders>
          </w:tcPr>
          <w:p w14:paraId="0AD7816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0.0064</w:t>
            </w:r>
          </w:p>
        </w:tc>
        <w:tc>
          <w:tcPr>
            <w:tcW w:w="1152" w:type="dxa"/>
            <w:tcBorders>
              <w:top w:val="single" w:sz="6" w:space="0" w:color="auto"/>
              <w:left w:val="nil"/>
              <w:bottom w:val="nil"/>
              <w:right w:val="nil"/>
            </w:tcBorders>
          </w:tcPr>
          <w:p w14:paraId="088B77D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0.0060</w:t>
            </w:r>
          </w:p>
        </w:tc>
      </w:tr>
      <w:tr w:rsidR="003E148C" w:rsidRPr="00BD2A98" w14:paraId="69B129D5" w14:textId="77777777" w:rsidTr="0026218B">
        <w:tc>
          <w:tcPr>
            <w:tcW w:w="0" w:type="auto"/>
            <w:tcBorders>
              <w:top w:val="nil"/>
              <w:left w:val="nil"/>
              <w:bottom w:val="nil"/>
              <w:right w:val="nil"/>
            </w:tcBorders>
          </w:tcPr>
          <w:p w14:paraId="09085F3C"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13A32D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(0.0038)</w:t>
            </w:r>
          </w:p>
        </w:tc>
        <w:tc>
          <w:tcPr>
            <w:tcW w:w="1152" w:type="dxa"/>
            <w:tcBorders>
              <w:top w:val="nil"/>
              <w:left w:val="nil"/>
              <w:bottom w:val="nil"/>
              <w:right w:val="nil"/>
            </w:tcBorders>
          </w:tcPr>
          <w:p w14:paraId="50BD958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(0.0031)</w:t>
            </w:r>
          </w:p>
        </w:tc>
        <w:tc>
          <w:tcPr>
            <w:tcW w:w="1152" w:type="dxa"/>
            <w:tcBorders>
              <w:top w:val="nil"/>
              <w:left w:val="nil"/>
              <w:bottom w:val="nil"/>
              <w:right w:val="nil"/>
            </w:tcBorders>
          </w:tcPr>
          <w:p w14:paraId="141F69E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(0.0030)</w:t>
            </w:r>
          </w:p>
        </w:tc>
        <w:tc>
          <w:tcPr>
            <w:tcW w:w="1152" w:type="dxa"/>
            <w:tcBorders>
              <w:top w:val="nil"/>
              <w:left w:val="nil"/>
              <w:bottom w:val="nil"/>
              <w:right w:val="nil"/>
            </w:tcBorders>
          </w:tcPr>
          <w:p w14:paraId="142EFD1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(0.0031)</w:t>
            </w:r>
          </w:p>
        </w:tc>
      </w:tr>
      <w:tr w:rsidR="003E148C" w:rsidRPr="00BD2A98" w14:paraId="6B540ABA" w14:textId="77777777" w:rsidTr="0026218B">
        <w:tc>
          <w:tcPr>
            <w:tcW w:w="0" w:type="auto"/>
            <w:tcBorders>
              <w:top w:val="nil"/>
              <w:left w:val="nil"/>
              <w:bottom w:val="nil"/>
              <w:right w:val="nil"/>
            </w:tcBorders>
          </w:tcPr>
          <w:p w14:paraId="4C9ECA96" w14:textId="77777777" w:rsidR="003E148C" w:rsidRPr="00BD2A98" w:rsidRDefault="003E148C" w:rsidP="0026218B">
            <w:pPr>
              <w:widowControl w:val="0"/>
              <w:autoSpaceDE w:val="0"/>
              <w:autoSpaceDN w:val="0"/>
              <w:adjustRightInd w:val="0"/>
              <w:rPr>
                <w:sz w:val="20"/>
                <w:szCs w:val="20"/>
              </w:rPr>
            </w:pPr>
            <w:r w:rsidRPr="00BD2A98">
              <w:rPr>
                <w:sz w:val="20"/>
                <w:szCs w:val="20"/>
              </w:rPr>
              <w:t>Female</w:t>
            </w:r>
          </w:p>
        </w:tc>
        <w:tc>
          <w:tcPr>
            <w:tcW w:w="1152" w:type="dxa"/>
            <w:tcBorders>
              <w:top w:val="nil"/>
              <w:left w:val="nil"/>
              <w:bottom w:val="nil"/>
              <w:right w:val="nil"/>
            </w:tcBorders>
          </w:tcPr>
          <w:p w14:paraId="02CEC02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-0.1970</w:t>
            </w:r>
          </w:p>
        </w:tc>
        <w:tc>
          <w:tcPr>
            <w:tcW w:w="1152" w:type="dxa"/>
            <w:tcBorders>
              <w:top w:val="nil"/>
              <w:left w:val="nil"/>
              <w:bottom w:val="nil"/>
              <w:right w:val="nil"/>
            </w:tcBorders>
          </w:tcPr>
          <w:p w14:paraId="50AE3B9C"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4731A64B"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56C554D3"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5309C4E6" w14:textId="77777777" w:rsidTr="0026218B">
        <w:tc>
          <w:tcPr>
            <w:tcW w:w="0" w:type="auto"/>
            <w:tcBorders>
              <w:top w:val="nil"/>
              <w:left w:val="nil"/>
              <w:bottom w:val="nil"/>
              <w:right w:val="nil"/>
            </w:tcBorders>
          </w:tcPr>
          <w:p w14:paraId="122C66E0"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4C73690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(0.0056)</w:t>
            </w:r>
          </w:p>
        </w:tc>
        <w:tc>
          <w:tcPr>
            <w:tcW w:w="1152" w:type="dxa"/>
            <w:tcBorders>
              <w:top w:val="nil"/>
              <w:left w:val="nil"/>
              <w:bottom w:val="nil"/>
              <w:right w:val="nil"/>
            </w:tcBorders>
          </w:tcPr>
          <w:p w14:paraId="0291209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149BFBA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3F12E5E1"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24468D7D" w14:textId="77777777" w:rsidTr="0026218B">
        <w:tc>
          <w:tcPr>
            <w:tcW w:w="0" w:type="auto"/>
            <w:tcBorders>
              <w:top w:val="nil"/>
              <w:left w:val="nil"/>
              <w:bottom w:val="nil"/>
              <w:right w:val="nil"/>
            </w:tcBorders>
          </w:tcPr>
          <w:p w14:paraId="38D3956E"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deregulation*Female</w:t>
            </w:r>
          </w:p>
        </w:tc>
        <w:tc>
          <w:tcPr>
            <w:tcW w:w="1152" w:type="dxa"/>
            <w:tcBorders>
              <w:top w:val="nil"/>
              <w:left w:val="nil"/>
              <w:bottom w:val="nil"/>
              <w:right w:val="nil"/>
            </w:tcBorders>
          </w:tcPr>
          <w:p w14:paraId="281869B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0.0060</w:t>
            </w:r>
          </w:p>
        </w:tc>
        <w:tc>
          <w:tcPr>
            <w:tcW w:w="1152" w:type="dxa"/>
            <w:tcBorders>
              <w:top w:val="nil"/>
              <w:left w:val="nil"/>
              <w:bottom w:val="nil"/>
              <w:right w:val="nil"/>
            </w:tcBorders>
          </w:tcPr>
          <w:p w14:paraId="4B9B5EC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-0.0097</w:t>
            </w:r>
          </w:p>
        </w:tc>
        <w:tc>
          <w:tcPr>
            <w:tcW w:w="1152" w:type="dxa"/>
            <w:tcBorders>
              <w:top w:val="nil"/>
              <w:left w:val="nil"/>
              <w:bottom w:val="nil"/>
              <w:right w:val="nil"/>
            </w:tcBorders>
          </w:tcPr>
          <w:p w14:paraId="228FC9F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-0.0064</w:t>
            </w:r>
          </w:p>
        </w:tc>
        <w:tc>
          <w:tcPr>
            <w:tcW w:w="1152" w:type="dxa"/>
            <w:tcBorders>
              <w:top w:val="nil"/>
              <w:left w:val="nil"/>
              <w:bottom w:val="nil"/>
              <w:right w:val="nil"/>
            </w:tcBorders>
          </w:tcPr>
          <w:p w14:paraId="0143E22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-0.0043</w:t>
            </w:r>
          </w:p>
        </w:tc>
      </w:tr>
      <w:tr w:rsidR="003E148C" w:rsidRPr="00BD2A98" w14:paraId="07D9BEE3" w14:textId="77777777" w:rsidTr="0026218B">
        <w:tc>
          <w:tcPr>
            <w:tcW w:w="0" w:type="auto"/>
            <w:tcBorders>
              <w:top w:val="nil"/>
              <w:left w:val="nil"/>
              <w:bottom w:val="nil"/>
              <w:right w:val="nil"/>
            </w:tcBorders>
          </w:tcPr>
          <w:p w14:paraId="41AEC02A"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680EE2B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(0.0044)</w:t>
            </w:r>
          </w:p>
        </w:tc>
        <w:tc>
          <w:tcPr>
            <w:tcW w:w="1152" w:type="dxa"/>
            <w:tcBorders>
              <w:top w:val="nil"/>
              <w:left w:val="nil"/>
              <w:bottom w:val="nil"/>
              <w:right w:val="nil"/>
            </w:tcBorders>
          </w:tcPr>
          <w:p w14:paraId="1E1D35C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(0.0015)</w:t>
            </w:r>
          </w:p>
        </w:tc>
        <w:tc>
          <w:tcPr>
            <w:tcW w:w="1152" w:type="dxa"/>
            <w:tcBorders>
              <w:top w:val="nil"/>
              <w:left w:val="nil"/>
              <w:bottom w:val="nil"/>
              <w:right w:val="nil"/>
            </w:tcBorders>
          </w:tcPr>
          <w:p w14:paraId="61A56B0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(0.0013)</w:t>
            </w:r>
          </w:p>
        </w:tc>
        <w:tc>
          <w:tcPr>
            <w:tcW w:w="1152" w:type="dxa"/>
            <w:tcBorders>
              <w:top w:val="nil"/>
              <w:left w:val="nil"/>
              <w:bottom w:val="nil"/>
              <w:right w:val="nil"/>
            </w:tcBorders>
          </w:tcPr>
          <w:p w14:paraId="220729C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(0.0014)</w:t>
            </w:r>
          </w:p>
        </w:tc>
      </w:tr>
      <w:tr w:rsidR="003E148C" w:rsidRPr="00BD2A98" w14:paraId="6F4EA328" w14:textId="77777777" w:rsidTr="0026218B">
        <w:tc>
          <w:tcPr>
            <w:tcW w:w="0" w:type="auto"/>
            <w:tcBorders>
              <w:top w:val="nil"/>
              <w:left w:val="nil"/>
              <w:bottom w:val="nil"/>
              <w:right w:val="nil"/>
            </w:tcBorders>
          </w:tcPr>
          <w:p w14:paraId="477CC1E9" w14:textId="77777777" w:rsidR="003E148C" w:rsidRPr="00BD2A98" w:rsidRDefault="003E148C" w:rsidP="0026218B">
            <w:pPr>
              <w:widowControl w:val="0"/>
              <w:autoSpaceDE w:val="0"/>
              <w:autoSpaceDN w:val="0"/>
              <w:adjustRightInd w:val="0"/>
              <w:rPr>
                <w:sz w:val="20"/>
                <w:szCs w:val="20"/>
              </w:rPr>
            </w:pPr>
            <w:r w:rsidRPr="00BD2A98">
              <w:rPr>
                <w:sz w:val="20"/>
                <w:szCs w:val="20"/>
              </w:rPr>
              <w:t>State owned</w:t>
            </w:r>
            <w:r>
              <w:rPr>
                <w:sz w:val="20"/>
                <w:szCs w:val="20"/>
              </w:rPr>
              <w:t xml:space="preserve"> firm</w:t>
            </w:r>
          </w:p>
        </w:tc>
        <w:tc>
          <w:tcPr>
            <w:tcW w:w="1152" w:type="dxa"/>
            <w:tcBorders>
              <w:top w:val="nil"/>
              <w:left w:val="nil"/>
              <w:bottom w:val="nil"/>
              <w:right w:val="nil"/>
            </w:tcBorders>
          </w:tcPr>
          <w:p w14:paraId="1827F15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0.0493</w:t>
            </w:r>
          </w:p>
        </w:tc>
        <w:tc>
          <w:tcPr>
            <w:tcW w:w="1152" w:type="dxa"/>
            <w:tcBorders>
              <w:top w:val="nil"/>
              <w:left w:val="nil"/>
              <w:bottom w:val="nil"/>
              <w:right w:val="nil"/>
            </w:tcBorders>
          </w:tcPr>
          <w:p w14:paraId="4F63884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3870D40E"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5B83EE02"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296EDEBD" w14:textId="77777777" w:rsidTr="0026218B">
        <w:tc>
          <w:tcPr>
            <w:tcW w:w="0" w:type="auto"/>
            <w:tcBorders>
              <w:top w:val="nil"/>
              <w:left w:val="nil"/>
              <w:bottom w:val="nil"/>
              <w:right w:val="nil"/>
            </w:tcBorders>
          </w:tcPr>
          <w:p w14:paraId="36D62CF8"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5187EE4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(0.0397)</w:t>
            </w:r>
          </w:p>
        </w:tc>
        <w:tc>
          <w:tcPr>
            <w:tcW w:w="1152" w:type="dxa"/>
            <w:tcBorders>
              <w:top w:val="nil"/>
              <w:left w:val="nil"/>
              <w:bottom w:val="nil"/>
              <w:right w:val="nil"/>
            </w:tcBorders>
          </w:tcPr>
          <w:p w14:paraId="66CBE40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36F75455"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496B036A"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10ED136B" w14:textId="77777777" w:rsidTr="0026218B">
        <w:tc>
          <w:tcPr>
            <w:tcW w:w="0" w:type="auto"/>
            <w:tcBorders>
              <w:top w:val="nil"/>
              <w:left w:val="nil"/>
              <w:bottom w:val="nil"/>
              <w:right w:val="nil"/>
            </w:tcBorders>
          </w:tcPr>
          <w:p w14:paraId="1D63BB59"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deregulation*State owned</w:t>
            </w:r>
            <w:r>
              <w:rPr>
                <w:sz w:val="20"/>
                <w:szCs w:val="20"/>
              </w:rPr>
              <w:t xml:space="preserve"> firm</w:t>
            </w:r>
          </w:p>
        </w:tc>
        <w:tc>
          <w:tcPr>
            <w:tcW w:w="1152" w:type="dxa"/>
            <w:tcBorders>
              <w:top w:val="nil"/>
              <w:left w:val="nil"/>
              <w:bottom w:val="nil"/>
              <w:right w:val="nil"/>
            </w:tcBorders>
          </w:tcPr>
          <w:p w14:paraId="161712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0.0948</w:t>
            </w:r>
          </w:p>
        </w:tc>
        <w:tc>
          <w:tcPr>
            <w:tcW w:w="1152" w:type="dxa"/>
            <w:tcBorders>
              <w:top w:val="nil"/>
              <w:left w:val="nil"/>
              <w:bottom w:val="nil"/>
              <w:right w:val="nil"/>
            </w:tcBorders>
          </w:tcPr>
          <w:p w14:paraId="0E1F832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0.0154</w:t>
            </w:r>
          </w:p>
        </w:tc>
        <w:tc>
          <w:tcPr>
            <w:tcW w:w="1152" w:type="dxa"/>
            <w:tcBorders>
              <w:top w:val="nil"/>
              <w:left w:val="nil"/>
              <w:bottom w:val="nil"/>
              <w:right w:val="nil"/>
            </w:tcBorders>
          </w:tcPr>
          <w:p w14:paraId="69F7897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0.0168</w:t>
            </w:r>
          </w:p>
        </w:tc>
        <w:tc>
          <w:tcPr>
            <w:tcW w:w="1152" w:type="dxa"/>
            <w:tcBorders>
              <w:top w:val="nil"/>
              <w:left w:val="nil"/>
              <w:bottom w:val="nil"/>
              <w:right w:val="nil"/>
            </w:tcBorders>
          </w:tcPr>
          <w:p w14:paraId="5860B42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0.0161</w:t>
            </w:r>
          </w:p>
        </w:tc>
      </w:tr>
      <w:tr w:rsidR="003E148C" w:rsidRPr="00BD2A98" w14:paraId="333BA918" w14:textId="77777777" w:rsidTr="0026218B">
        <w:tc>
          <w:tcPr>
            <w:tcW w:w="0" w:type="auto"/>
            <w:tcBorders>
              <w:top w:val="nil"/>
              <w:left w:val="nil"/>
              <w:bottom w:val="nil"/>
              <w:right w:val="nil"/>
            </w:tcBorders>
          </w:tcPr>
          <w:p w14:paraId="720EA704"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372A38A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(0.0161)</w:t>
            </w:r>
          </w:p>
        </w:tc>
        <w:tc>
          <w:tcPr>
            <w:tcW w:w="1152" w:type="dxa"/>
            <w:tcBorders>
              <w:top w:val="nil"/>
              <w:left w:val="nil"/>
              <w:bottom w:val="nil"/>
              <w:right w:val="nil"/>
            </w:tcBorders>
          </w:tcPr>
          <w:p w14:paraId="69CCC77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(0.0053)</w:t>
            </w:r>
          </w:p>
        </w:tc>
        <w:tc>
          <w:tcPr>
            <w:tcW w:w="1152" w:type="dxa"/>
            <w:tcBorders>
              <w:top w:val="nil"/>
              <w:left w:val="nil"/>
              <w:bottom w:val="nil"/>
              <w:right w:val="nil"/>
            </w:tcBorders>
          </w:tcPr>
          <w:p w14:paraId="700D2E2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(0.0054)</w:t>
            </w:r>
          </w:p>
        </w:tc>
        <w:tc>
          <w:tcPr>
            <w:tcW w:w="1152" w:type="dxa"/>
            <w:tcBorders>
              <w:top w:val="nil"/>
              <w:left w:val="nil"/>
              <w:bottom w:val="nil"/>
              <w:right w:val="nil"/>
            </w:tcBorders>
          </w:tcPr>
          <w:p w14:paraId="44B01C5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(0.0053)</w:t>
            </w:r>
          </w:p>
        </w:tc>
      </w:tr>
      <w:tr w:rsidR="003E148C" w:rsidRPr="00BD2A98" w14:paraId="16BDD765" w14:textId="77777777" w:rsidTr="0026218B">
        <w:tc>
          <w:tcPr>
            <w:tcW w:w="0" w:type="auto"/>
            <w:tcBorders>
              <w:top w:val="nil"/>
              <w:left w:val="nil"/>
              <w:bottom w:val="nil"/>
              <w:right w:val="nil"/>
            </w:tcBorders>
          </w:tcPr>
          <w:p w14:paraId="12D2CAC0" w14:textId="77777777" w:rsidR="003E148C" w:rsidRPr="00BD2A98" w:rsidRDefault="003E148C" w:rsidP="0026218B">
            <w:pPr>
              <w:widowControl w:val="0"/>
              <w:autoSpaceDE w:val="0"/>
              <w:autoSpaceDN w:val="0"/>
              <w:adjustRightInd w:val="0"/>
              <w:rPr>
                <w:sz w:val="20"/>
                <w:szCs w:val="20"/>
              </w:rPr>
            </w:pPr>
            <w:r w:rsidRPr="00BD2A98">
              <w:rPr>
                <w:sz w:val="20"/>
                <w:szCs w:val="20"/>
              </w:rPr>
              <w:t>Female*State owned</w:t>
            </w:r>
            <w:r>
              <w:rPr>
                <w:sz w:val="20"/>
                <w:szCs w:val="20"/>
              </w:rPr>
              <w:t xml:space="preserve"> firm</w:t>
            </w:r>
          </w:p>
        </w:tc>
        <w:tc>
          <w:tcPr>
            <w:tcW w:w="1152" w:type="dxa"/>
            <w:tcBorders>
              <w:top w:val="nil"/>
              <w:left w:val="nil"/>
              <w:bottom w:val="nil"/>
              <w:right w:val="nil"/>
            </w:tcBorders>
          </w:tcPr>
          <w:p w14:paraId="3BB8D0B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0.1599</w:t>
            </w:r>
          </w:p>
        </w:tc>
        <w:tc>
          <w:tcPr>
            <w:tcW w:w="1152" w:type="dxa"/>
            <w:tcBorders>
              <w:top w:val="nil"/>
              <w:left w:val="nil"/>
              <w:bottom w:val="nil"/>
              <w:right w:val="nil"/>
            </w:tcBorders>
          </w:tcPr>
          <w:p w14:paraId="3C2CA3D9"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179696B9"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0720F759"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05A1D2E1" w14:textId="77777777" w:rsidTr="0026218B">
        <w:tc>
          <w:tcPr>
            <w:tcW w:w="0" w:type="auto"/>
            <w:tcBorders>
              <w:top w:val="nil"/>
              <w:left w:val="nil"/>
              <w:bottom w:val="nil"/>
              <w:right w:val="nil"/>
            </w:tcBorders>
          </w:tcPr>
          <w:p w14:paraId="0BFCEACD"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00C87B4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(0.0147)</w:t>
            </w:r>
          </w:p>
        </w:tc>
        <w:tc>
          <w:tcPr>
            <w:tcW w:w="1152" w:type="dxa"/>
            <w:tcBorders>
              <w:top w:val="nil"/>
              <w:left w:val="nil"/>
              <w:bottom w:val="nil"/>
              <w:right w:val="nil"/>
            </w:tcBorders>
          </w:tcPr>
          <w:p w14:paraId="262E7DEE"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60A1E83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3E5608F1"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20D4291C" w14:textId="77777777" w:rsidTr="0026218B">
        <w:tc>
          <w:tcPr>
            <w:tcW w:w="0" w:type="auto"/>
            <w:tcBorders>
              <w:top w:val="nil"/>
              <w:left w:val="nil"/>
              <w:bottom w:val="nil"/>
              <w:right w:val="nil"/>
            </w:tcBorders>
          </w:tcPr>
          <w:p w14:paraId="2C23C699"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deregulation*Female*State owned</w:t>
            </w:r>
            <w:r>
              <w:rPr>
                <w:sz w:val="20"/>
                <w:szCs w:val="20"/>
              </w:rPr>
              <w:t xml:space="preserve"> firm</w:t>
            </w:r>
          </w:p>
        </w:tc>
        <w:tc>
          <w:tcPr>
            <w:tcW w:w="1152" w:type="dxa"/>
            <w:tcBorders>
              <w:top w:val="nil"/>
              <w:left w:val="nil"/>
              <w:bottom w:val="nil"/>
              <w:right w:val="nil"/>
            </w:tcBorders>
          </w:tcPr>
          <w:p w14:paraId="7386B2A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0.0129</w:t>
            </w:r>
          </w:p>
        </w:tc>
        <w:tc>
          <w:tcPr>
            <w:tcW w:w="1152" w:type="dxa"/>
            <w:tcBorders>
              <w:top w:val="nil"/>
              <w:left w:val="nil"/>
              <w:bottom w:val="nil"/>
              <w:right w:val="nil"/>
            </w:tcBorders>
          </w:tcPr>
          <w:p w14:paraId="118066B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0.0401</w:t>
            </w:r>
          </w:p>
        </w:tc>
        <w:tc>
          <w:tcPr>
            <w:tcW w:w="1152" w:type="dxa"/>
            <w:tcBorders>
              <w:top w:val="nil"/>
              <w:left w:val="nil"/>
              <w:bottom w:val="nil"/>
              <w:right w:val="nil"/>
            </w:tcBorders>
          </w:tcPr>
          <w:p w14:paraId="05F06CC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0.0347</w:t>
            </w:r>
          </w:p>
        </w:tc>
        <w:tc>
          <w:tcPr>
            <w:tcW w:w="1152" w:type="dxa"/>
            <w:tcBorders>
              <w:top w:val="nil"/>
              <w:left w:val="nil"/>
              <w:bottom w:val="nil"/>
              <w:right w:val="nil"/>
            </w:tcBorders>
          </w:tcPr>
          <w:p w14:paraId="738A6F1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0.0313</w:t>
            </w:r>
          </w:p>
        </w:tc>
      </w:tr>
      <w:tr w:rsidR="003E148C" w:rsidRPr="00BD2A98" w14:paraId="2DD6ED81" w14:textId="77777777" w:rsidTr="0026218B">
        <w:tc>
          <w:tcPr>
            <w:tcW w:w="0" w:type="auto"/>
            <w:tcBorders>
              <w:top w:val="nil"/>
              <w:left w:val="nil"/>
              <w:bottom w:val="nil"/>
              <w:right w:val="nil"/>
            </w:tcBorders>
          </w:tcPr>
          <w:p w14:paraId="0639DEBB"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7522715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(0.0122)</w:t>
            </w:r>
          </w:p>
        </w:tc>
        <w:tc>
          <w:tcPr>
            <w:tcW w:w="1152" w:type="dxa"/>
            <w:tcBorders>
              <w:top w:val="nil"/>
              <w:left w:val="nil"/>
              <w:bottom w:val="nil"/>
              <w:right w:val="nil"/>
            </w:tcBorders>
          </w:tcPr>
          <w:p w14:paraId="456211E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(0.0087)</w:t>
            </w:r>
          </w:p>
        </w:tc>
        <w:tc>
          <w:tcPr>
            <w:tcW w:w="1152" w:type="dxa"/>
            <w:tcBorders>
              <w:top w:val="nil"/>
              <w:left w:val="nil"/>
              <w:bottom w:val="nil"/>
              <w:right w:val="nil"/>
            </w:tcBorders>
          </w:tcPr>
          <w:p w14:paraId="5E55D74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(0.0093)</w:t>
            </w:r>
          </w:p>
        </w:tc>
        <w:tc>
          <w:tcPr>
            <w:tcW w:w="1152" w:type="dxa"/>
            <w:tcBorders>
              <w:top w:val="nil"/>
              <w:left w:val="nil"/>
              <w:bottom w:val="nil"/>
              <w:right w:val="nil"/>
            </w:tcBorders>
          </w:tcPr>
          <w:p w14:paraId="1E2FE0F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(0.0095)</w:t>
            </w:r>
          </w:p>
        </w:tc>
      </w:tr>
      <w:tr w:rsidR="003E148C" w:rsidRPr="00BD2A98" w14:paraId="6EF4F609" w14:textId="77777777" w:rsidTr="0026218B">
        <w:tc>
          <w:tcPr>
            <w:tcW w:w="0" w:type="auto"/>
            <w:tcBorders>
              <w:top w:val="nil"/>
              <w:left w:val="nil"/>
              <w:bottom w:val="nil"/>
              <w:right w:val="nil"/>
            </w:tcBorders>
          </w:tcPr>
          <w:p w14:paraId="29622C0E" w14:textId="77777777" w:rsidR="003E148C" w:rsidRPr="00BD2A98" w:rsidRDefault="003E148C" w:rsidP="0026218B">
            <w:pPr>
              <w:widowControl w:val="0"/>
              <w:autoSpaceDE w:val="0"/>
              <w:autoSpaceDN w:val="0"/>
              <w:adjustRightInd w:val="0"/>
              <w:rPr>
                <w:sz w:val="20"/>
                <w:szCs w:val="20"/>
              </w:rPr>
            </w:pPr>
            <w:r w:rsidRPr="00BD2A98">
              <w:rPr>
                <w:sz w:val="20"/>
                <w:szCs w:val="20"/>
              </w:rPr>
              <w:t>Age</w:t>
            </w:r>
          </w:p>
        </w:tc>
        <w:tc>
          <w:tcPr>
            <w:tcW w:w="1152" w:type="dxa"/>
            <w:tcBorders>
              <w:top w:val="nil"/>
              <w:left w:val="nil"/>
              <w:bottom w:val="nil"/>
              <w:right w:val="nil"/>
            </w:tcBorders>
          </w:tcPr>
          <w:p w14:paraId="3640E5C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0.0292</w:t>
            </w:r>
          </w:p>
        </w:tc>
        <w:tc>
          <w:tcPr>
            <w:tcW w:w="1152" w:type="dxa"/>
            <w:tcBorders>
              <w:top w:val="nil"/>
              <w:left w:val="nil"/>
              <w:bottom w:val="nil"/>
              <w:right w:val="nil"/>
            </w:tcBorders>
          </w:tcPr>
          <w:p w14:paraId="72BC1B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0.0277</w:t>
            </w:r>
          </w:p>
        </w:tc>
        <w:tc>
          <w:tcPr>
            <w:tcW w:w="1152" w:type="dxa"/>
            <w:tcBorders>
              <w:top w:val="nil"/>
              <w:left w:val="nil"/>
              <w:bottom w:val="nil"/>
              <w:right w:val="nil"/>
            </w:tcBorders>
          </w:tcPr>
          <w:p w14:paraId="3579A74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0.0249</w:t>
            </w:r>
          </w:p>
        </w:tc>
        <w:tc>
          <w:tcPr>
            <w:tcW w:w="1152" w:type="dxa"/>
            <w:tcBorders>
              <w:top w:val="nil"/>
              <w:left w:val="nil"/>
              <w:bottom w:val="nil"/>
              <w:right w:val="nil"/>
            </w:tcBorders>
          </w:tcPr>
          <w:p w14:paraId="1713D59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0.0245</w:t>
            </w:r>
          </w:p>
        </w:tc>
      </w:tr>
      <w:tr w:rsidR="003E148C" w:rsidRPr="00BD2A98" w14:paraId="2B005A97" w14:textId="77777777" w:rsidTr="0026218B">
        <w:tc>
          <w:tcPr>
            <w:tcW w:w="0" w:type="auto"/>
            <w:tcBorders>
              <w:top w:val="nil"/>
              <w:left w:val="nil"/>
              <w:bottom w:val="nil"/>
              <w:right w:val="nil"/>
            </w:tcBorders>
          </w:tcPr>
          <w:p w14:paraId="468FB9B8"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12D4AAD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(0.0019)</w:t>
            </w:r>
          </w:p>
        </w:tc>
        <w:tc>
          <w:tcPr>
            <w:tcW w:w="1152" w:type="dxa"/>
            <w:tcBorders>
              <w:top w:val="nil"/>
              <w:left w:val="nil"/>
              <w:bottom w:val="nil"/>
              <w:right w:val="nil"/>
            </w:tcBorders>
          </w:tcPr>
          <w:p w14:paraId="03AA387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c>
          <w:tcPr>
            <w:tcW w:w="1152" w:type="dxa"/>
            <w:tcBorders>
              <w:top w:val="nil"/>
              <w:left w:val="nil"/>
              <w:bottom w:val="nil"/>
              <w:right w:val="nil"/>
            </w:tcBorders>
          </w:tcPr>
          <w:p w14:paraId="344528F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1152" w:type="dxa"/>
            <w:tcBorders>
              <w:top w:val="nil"/>
              <w:left w:val="nil"/>
              <w:bottom w:val="nil"/>
              <w:right w:val="nil"/>
            </w:tcBorders>
          </w:tcPr>
          <w:p w14:paraId="5C4054C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r>
      <w:tr w:rsidR="003E148C" w:rsidRPr="00BD2A98" w14:paraId="32B3235D" w14:textId="77777777" w:rsidTr="0026218B">
        <w:tc>
          <w:tcPr>
            <w:tcW w:w="0" w:type="auto"/>
            <w:tcBorders>
              <w:top w:val="nil"/>
              <w:left w:val="nil"/>
              <w:bottom w:val="nil"/>
              <w:right w:val="nil"/>
            </w:tcBorders>
          </w:tcPr>
          <w:p w14:paraId="47A00A9A" w14:textId="77777777" w:rsidR="003E148C" w:rsidRPr="00BD2A98" w:rsidRDefault="003E148C" w:rsidP="0026218B">
            <w:pPr>
              <w:widowControl w:val="0"/>
              <w:autoSpaceDE w:val="0"/>
              <w:autoSpaceDN w:val="0"/>
              <w:adjustRightInd w:val="0"/>
              <w:rPr>
                <w:sz w:val="20"/>
                <w:szCs w:val="20"/>
              </w:rPr>
            </w:pPr>
            <w:r w:rsidRPr="00BD2A98">
              <w:rPr>
                <w:sz w:val="20"/>
                <w:szCs w:val="20"/>
              </w:rPr>
              <w:t>Age squared</w:t>
            </w:r>
          </w:p>
        </w:tc>
        <w:tc>
          <w:tcPr>
            <w:tcW w:w="1152" w:type="dxa"/>
            <w:tcBorders>
              <w:top w:val="nil"/>
              <w:left w:val="nil"/>
              <w:bottom w:val="nil"/>
              <w:right w:val="nil"/>
            </w:tcBorders>
          </w:tcPr>
          <w:p w14:paraId="61C3952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tcPr>
          <w:p w14:paraId="273EDA6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tcPr>
          <w:p w14:paraId="314C9ED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tcPr>
          <w:p w14:paraId="6375A12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r>
      <w:tr w:rsidR="003E148C" w:rsidRPr="00BD2A98" w14:paraId="2C1E17B9" w14:textId="77777777" w:rsidTr="0026218B">
        <w:tc>
          <w:tcPr>
            <w:tcW w:w="0" w:type="auto"/>
            <w:tcBorders>
              <w:top w:val="nil"/>
              <w:left w:val="nil"/>
              <w:bottom w:val="nil"/>
              <w:right w:val="nil"/>
            </w:tcBorders>
          </w:tcPr>
          <w:p w14:paraId="1D607F5A"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1A026DF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tcPr>
          <w:p w14:paraId="6A42A25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tcPr>
          <w:p w14:paraId="195B6B4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tcPr>
          <w:p w14:paraId="632F640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r>
      <w:tr w:rsidR="003E148C" w:rsidRPr="00BD2A98" w14:paraId="410577DD" w14:textId="77777777" w:rsidTr="0026218B">
        <w:tc>
          <w:tcPr>
            <w:tcW w:w="0" w:type="auto"/>
            <w:tcBorders>
              <w:top w:val="nil"/>
              <w:left w:val="nil"/>
              <w:bottom w:val="nil"/>
              <w:right w:val="nil"/>
            </w:tcBorders>
          </w:tcPr>
          <w:p w14:paraId="1980D53F" w14:textId="77777777" w:rsidR="003E148C" w:rsidRPr="00BD2A98" w:rsidRDefault="003E148C" w:rsidP="0026218B">
            <w:pPr>
              <w:widowControl w:val="0"/>
              <w:autoSpaceDE w:val="0"/>
              <w:autoSpaceDN w:val="0"/>
              <w:adjustRightInd w:val="0"/>
              <w:rPr>
                <w:sz w:val="20"/>
                <w:szCs w:val="20"/>
              </w:rPr>
            </w:pPr>
            <w:r w:rsidRPr="00BD2A98">
              <w:rPr>
                <w:sz w:val="20"/>
                <w:szCs w:val="20"/>
              </w:rPr>
              <w:t>Mid education</w:t>
            </w:r>
          </w:p>
        </w:tc>
        <w:tc>
          <w:tcPr>
            <w:tcW w:w="1152" w:type="dxa"/>
            <w:tcBorders>
              <w:top w:val="nil"/>
              <w:left w:val="nil"/>
              <w:bottom w:val="nil"/>
              <w:right w:val="nil"/>
            </w:tcBorders>
          </w:tcPr>
          <w:p w14:paraId="7E819ED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0.1249</w:t>
            </w:r>
          </w:p>
        </w:tc>
        <w:tc>
          <w:tcPr>
            <w:tcW w:w="1152" w:type="dxa"/>
            <w:tcBorders>
              <w:top w:val="nil"/>
              <w:left w:val="nil"/>
              <w:bottom w:val="nil"/>
              <w:right w:val="nil"/>
            </w:tcBorders>
          </w:tcPr>
          <w:p w14:paraId="4DB766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0.0063</w:t>
            </w:r>
          </w:p>
        </w:tc>
        <w:tc>
          <w:tcPr>
            <w:tcW w:w="1152" w:type="dxa"/>
            <w:tcBorders>
              <w:top w:val="nil"/>
              <w:left w:val="nil"/>
              <w:bottom w:val="nil"/>
              <w:right w:val="nil"/>
            </w:tcBorders>
          </w:tcPr>
          <w:p w14:paraId="0FE38ED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0.0012</w:t>
            </w:r>
          </w:p>
        </w:tc>
        <w:tc>
          <w:tcPr>
            <w:tcW w:w="1152" w:type="dxa"/>
            <w:tcBorders>
              <w:top w:val="nil"/>
              <w:left w:val="nil"/>
              <w:bottom w:val="nil"/>
              <w:right w:val="nil"/>
            </w:tcBorders>
          </w:tcPr>
          <w:p w14:paraId="27ECC31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-0.0005</w:t>
            </w:r>
          </w:p>
        </w:tc>
      </w:tr>
      <w:tr w:rsidR="003E148C" w:rsidRPr="00BD2A98" w14:paraId="1C7E46AB" w14:textId="77777777" w:rsidTr="0026218B">
        <w:tc>
          <w:tcPr>
            <w:tcW w:w="0" w:type="auto"/>
            <w:tcBorders>
              <w:top w:val="nil"/>
              <w:left w:val="nil"/>
              <w:bottom w:val="nil"/>
              <w:right w:val="nil"/>
            </w:tcBorders>
          </w:tcPr>
          <w:p w14:paraId="09D434B4"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CF6819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(0.0122)</w:t>
            </w:r>
          </w:p>
        </w:tc>
        <w:tc>
          <w:tcPr>
            <w:tcW w:w="1152" w:type="dxa"/>
            <w:tcBorders>
              <w:top w:val="nil"/>
              <w:left w:val="nil"/>
              <w:bottom w:val="nil"/>
              <w:right w:val="nil"/>
            </w:tcBorders>
          </w:tcPr>
          <w:p w14:paraId="07D600B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(0.0010)</w:t>
            </w:r>
          </w:p>
        </w:tc>
        <w:tc>
          <w:tcPr>
            <w:tcW w:w="1152" w:type="dxa"/>
            <w:tcBorders>
              <w:top w:val="nil"/>
              <w:left w:val="nil"/>
              <w:bottom w:val="nil"/>
              <w:right w:val="nil"/>
            </w:tcBorders>
          </w:tcPr>
          <w:p w14:paraId="37E5CF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(0.0006)</w:t>
            </w:r>
          </w:p>
        </w:tc>
        <w:tc>
          <w:tcPr>
            <w:tcW w:w="1152" w:type="dxa"/>
            <w:tcBorders>
              <w:top w:val="nil"/>
              <w:left w:val="nil"/>
              <w:bottom w:val="nil"/>
              <w:right w:val="nil"/>
            </w:tcBorders>
          </w:tcPr>
          <w:p w14:paraId="0655969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(0.0010)</w:t>
            </w:r>
          </w:p>
        </w:tc>
      </w:tr>
      <w:tr w:rsidR="003E148C" w:rsidRPr="00BD2A98" w14:paraId="522C82A3" w14:textId="77777777" w:rsidTr="0026218B">
        <w:tc>
          <w:tcPr>
            <w:tcW w:w="0" w:type="auto"/>
            <w:tcBorders>
              <w:top w:val="nil"/>
              <w:left w:val="nil"/>
              <w:bottom w:val="nil"/>
              <w:right w:val="nil"/>
            </w:tcBorders>
          </w:tcPr>
          <w:p w14:paraId="3369C99E" w14:textId="77777777" w:rsidR="003E148C" w:rsidRPr="00BD2A98" w:rsidRDefault="003E148C" w:rsidP="0026218B">
            <w:pPr>
              <w:widowControl w:val="0"/>
              <w:autoSpaceDE w:val="0"/>
              <w:autoSpaceDN w:val="0"/>
              <w:adjustRightInd w:val="0"/>
              <w:rPr>
                <w:sz w:val="20"/>
                <w:szCs w:val="20"/>
              </w:rPr>
            </w:pPr>
            <w:r w:rsidRPr="00BD2A98">
              <w:rPr>
                <w:sz w:val="20"/>
                <w:szCs w:val="20"/>
              </w:rPr>
              <w:t>High education</w:t>
            </w:r>
          </w:p>
        </w:tc>
        <w:tc>
          <w:tcPr>
            <w:tcW w:w="1152" w:type="dxa"/>
            <w:tcBorders>
              <w:top w:val="nil"/>
              <w:left w:val="nil"/>
              <w:bottom w:val="nil"/>
              <w:right w:val="nil"/>
            </w:tcBorders>
          </w:tcPr>
          <w:p w14:paraId="7C686E6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0.3963</w:t>
            </w:r>
          </w:p>
        </w:tc>
        <w:tc>
          <w:tcPr>
            <w:tcW w:w="1152" w:type="dxa"/>
            <w:tcBorders>
              <w:top w:val="nil"/>
              <w:left w:val="nil"/>
              <w:bottom w:val="nil"/>
              <w:right w:val="nil"/>
            </w:tcBorders>
          </w:tcPr>
          <w:p w14:paraId="4D60C54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0.1036</w:t>
            </w:r>
          </w:p>
        </w:tc>
        <w:tc>
          <w:tcPr>
            <w:tcW w:w="1152" w:type="dxa"/>
            <w:tcBorders>
              <w:top w:val="nil"/>
              <w:left w:val="nil"/>
              <w:bottom w:val="nil"/>
              <w:right w:val="nil"/>
            </w:tcBorders>
          </w:tcPr>
          <w:p w14:paraId="147E114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0.0721</w:t>
            </w:r>
          </w:p>
        </w:tc>
        <w:tc>
          <w:tcPr>
            <w:tcW w:w="1152" w:type="dxa"/>
            <w:tcBorders>
              <w:top w:val="nil"/>
              <w:left w:val="nil"/>
              <w:bottom w:val="nil"/>
              <w:right w:val="nil"/>
            </w:tcBorders>
          </w:tcPr>
          <w:p w14:paraId="4369F01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0.0505</w:t>
            </w:r>
          </w:p>
        </w:tc>
      </w:tr>
      <w:tr w:rsidR="003E148C" w:rsidRPr="00BD2A98" w14:paraId="0E066D6B" w14:textId="77777777" w:rsidTr="0026218B">
        <w:tc>
          <w:tcPr>
            <w:tcW w:w="0" w:type="auto"/>
            <w:tcBorders>
              <w:top w:val="nil"/>
              <w:left w:val="nil"/>
              <w:bottom w:val="nil"/>
              <w:right w:val="nil"/>
            </w:tcBorders>
          </w:tcPr>
          <w:p w14:paraId="109C90B8"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61688C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(0.0112)</w:t>
            </w:r>
          </w:p>
        </w:tc>
        <w:tc>
          <w:tcPr>
            <w:tcW w:w="1152" w:type="dxa"/>
            <w:tcBorders>
              <w:top w:val="nil"/>
              <w:left w:val="nil"/>
              <w:bottom w:val="nil"/>
              <w:right w:val="nil"/>
            </w:tcBorders>
          </w:tcPr>
          <w:p w14:paraId="02EBAA0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c>
          <w:tcPr>
            <w:tcW w:w="1152" w:type="dxa"/>
            <w:tcBorders>
              <w:top w:val="nil"/>
              <w:left w:val="nil"/>
              <w:bottom w:val="nil"/>
              <w:right w:val="nil"/>
            </w:tcBorders>
          </w:tcPr>
          <w:p w14:paraId="25E62B4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(0.0049)</w:t>
            </w:r>
          </w:p>
        </w:tc>
        <w:tc>
          <w:tcPr>
            <w:tcW w:w="1152" w:type="dxa"/>
            <w:tcBorders>
              <w:top w:val="nil"/>
              <w:left w:val="nil"/>
              <w:bottom w:val="nil"/>
              <w:right w:val="nil"/>
            </w:tcBorders>
          </w:tcPr>
          <w:p w14:paraId="0A16214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(0.0024)</w:t>
            </w:r>
          </w:p>
        </w:tc>
      </w:tr>
      <w:tr w:rsidR="003E148C" w:rsidRPr="00BD2A98" w14:paraId="761EB719" w14:textId="77777777" w:rsidTr="0026218B">
        <w:tc>
          <w:tcPr>
            <w:tcW w:w="0" w:type="auto"/>
            <w:tcBorders>
              <w:top w:val="nil"/>
              <w:left w:val="nil"/>
              <w:bottom w:val="nil"/>
              <w:right w:val="nil"/>
            </w:tcBorders>
          </w:tcPr>
          <w:p w14:paraId="27A05B31" w14:textId="77777777" w:rsidR="003E148C" w:rsidRPr="00BD2A98" w:rsidRDefault="003E148C" w:rsidP="0026218B">
            <w:pPr>
              <w:widowControl w:val="0"/>
              <w:autoSpaceDE w:val="0"/>
              <w:autoSpaceDN w:val="0"/>
              <w:adjustRightInd w:val="0"/>
              <w:rPr>
                <w:sz w:val="20"/>
                <w:szCs w:val="20"/>
              </w:rPr>
            </w:pPr>
            <w:r w:rsidRPr="00BD2A98">
              <w:rPr>
                <w:sz w:val="20"/>
                <w:szCs w:val="20"/>
              </w:rPr>
              <w:t>Hours worked (ln)</w:t>
            </w:r>
          </w:p>
        </w:tc>
        <w:tc>
          <w:tcPr>
            <w:tcW w:w="1152" w:type="dxa"/>
            <w:tcBorders>
              <w:top w:val="nil"/>
              <w:left w:val="nil"/>
              <w:bottom w:val="nil"/>
              <w:right w:val="nil"/>
            </w:tcBorders>
          </w:tcPr>
          <w:p w14:paraId="4DD73EE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0.7025</w:t>
            </w:r>
          </w:p>
        </w:tc>
        <w:tc>
          <w:tcPr>
            <w:tcW w:w="1152" w:type="dxa"/>
            <w:tcBorders>
              <w:top w:val="nil"/>
              <w:left w:val="nil"/>
              <w:bottom w:val="nil"/>
              <w:right w:val="nil"/>
            </w:tcBorders>
          </w:tcPr>
          <w:p w14:paraId="5595883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0.8283</w:t>
            </w:r>
          </w:p>
        </w:tc>
        <w:tc>
          <w:tcPr>
            <w:tcW w:w="1152" w:type="dxa"/>
            <w:tcBorders>
              <w:top w:val="nil"/>
              <w:left w:val="nil"/>
              <w:bottom w:val="nil"/>
              <w:right w:val="nil"/>
            </w:tcBorders>
          </w:tcPr>
          <w:p w14:paraId="6497DE2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0.8519</w:t>
            </w:r>
          </w:p>
        </w:tc>
        <w:tc>
          <w:tcPr>
            <w:tcW w:w="1152" w:type="dxa"/>
            <w:tcBorders>
              <w:top w:val="nil"/>
              <w:left w:val="nil"/>
              <w:bottom w:val="nil"/>
              <w:right w:val="nil"/>
            </w:tcBorders>
          </w:tcPr>
          <w:p w14:paraId="31326A2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0.8198</w:t>
            </w:r>
          </w:p>
        </w:tc>
      </w:tr>
      <w:tr w:rsidR="003E148C" w:rsidRPr="00BD2A98" w14:paraId="3AAC5DD5" w14:textId="77777777" w:rsidTr="0026218B">
        <w:tc>
          <w:tcPr>
            <w:tcW w:w="0" w:type="auto"/>
            <w:tcBorders>
              <w:top w:val="nil"/>
              <w:left w:val="nil"/>
              <w:bottom w:val="nil"/>
              <w:right w:val="nil"/>
            </w:tcBorders>
          </w:tcPr>
          <w:p w14:paraId="136339FD"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60B454C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(0.0447)</w:t>
            </w:r>
          </w:p>
        </w:tc>
        <w:tc>
          <w:tcPr>
            <w:tcW w:w="1152" w:type="dxa"/>
            <w:tcBorders>
              <w:top w:val="nil"/>
              <w:left w:val="nil"/>
              <w:bottom w:val="nil"/>
              <w:right w:val="nil"/>
            </w:tcBorders>
          </w:tcPr>
          <w:p w14:paraId="01256D8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(0.0122)</w:t>
            </w:r>
          </w:p>
        </w:tc>
        <w:tc>
          <w:tcPr>
            <w:tcW w:w="1152" w:type="dxa"/>
            <w:tcBorders>
              <w:top w:val="nil"/>
              <w:left w:val="nil"/>
              <w:bottom w:val="nil"/>
              <w:right w:val="nil"/>
            </w:tcBorders>
          </w:tcPr>
          <w:p w14:paraId="13E6901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(0.0080)</w:t>
            </w:r>
          </w:p>
        </w:tc>
        <w:tc>
          <w:tcPr>
            <w:tcW w:w="1152" w:type="dxa"/>
            <w:tcBorders>
              <w:top w:val="nil"/>
              <w:left w:val="nil"/>
              <w:bottom w:val="nil"/>
              <w:right w:val="nil"/>
            </w:tcBorders>
          </w:tcPr>
          <w:p w14:paraId="0F33360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(0.0124)</w:t>
            </w:r>
          </w:p>
        </w:tc>
      </w:tr>
      <w:tr w:rsidR="003E148C" w:rsidRPr="00BD2A98" w14:paraId="78B643EE" w14:textId="77777777" w:rsidTr="0026218B">
        <w:tc>
          <w:tcPr>
            <w:tcW w:w="0" w:type="auto"/>
            <w:tcBorders>
              <w:top w:val="nil"/>
              <w:left w:val="nil"/>
              <w:bottom w:val="nil"/>
              <w:right w:val="nil"/>
            </w:tcBorders>
          </w:tcPr>
          <w:p w14:paraId="019887D1" w14:textId="77777777" w:rsidR="003E148C" w:rsidRPr="00BD2A98" w:rsidRDefault="003E148C" w:rsidP="0026218B">
            <w:pPr>
              <w:widowControl w:val="0"/>
              <w:autoSpaceDE w:val="0"/>
              <w:autoSpaceDN w:val="0"/>
              <w:adjustRightInd w:val="0"/>
              <w:rPr>
                <w:sz w:val="20"/>
                <w:szCs w:val="20"/>
              </w:rPr>
            </w:pPr>
            <w:r w:rsidRPr="00BD2A98">
              <w:rPr>
                <w:sz w:val="20"/>
                <w:szCs w:val="20"/>
              </w:rPr>
              <w:t>Long term contract</w:t>
            </w:r>
          </w:p>
        </w:tc>
        <w:tc>
          <w:tcPr>
            <w:tcW w:w="1152" w:type="dxa"/>
            <w:tcBorders>
              <w:top w:val="nil"/>
              <w:left w:val="nil"/>
              <w:bottom w:val="nil"/>
              <w:right w:val="nil"/>
            </w:tcBorders>
          </w:tcPr>
          <w:p w14:paraId="539F070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0.0987</w:t>
            </w:r>
          </w:p>
        </w:tc>
        <w:tc>
          <w:tcPr>
            <w:tcW w:w="1152" w:type="dxa"/>
            <w:tcBorders>
              <w:top w:val="nil"/>
              <w:left w:val="nil"/>
              <w:bottom w:val="nil"/>
              <w:right w:val="nil"/>
            </w:tcBorders>
          </w:tcPr>
          <w:p w14:paraId="16DDC14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0.0163</w:t>
            </w:r>
          </w:p>
        </w:tc>
        <w:tc>
          <w:tcPr>
            <w:tcW w:w="1152" w:type="dxa"/>
            <w:tcBorders>
              <w:top w:val="nil"/>
              <w:left w:val="nil"/>
              <w:bottom w:val="nil"/>
              <w:right w:val="nil"/>
            </w:tcBorders>
          </w:tcPr>
          <w:p w14:paraId="544BCFE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0.0213</w:t>
            </w:r>
          </w:p>
        </w:tc>
        <w:tc>
          <w:tcPr>
            <w:tcW w:w="1152" w:type="dxa"/>
            <w:tcBorders>
              <w:top w:val="nil"/>
              <w:left w:val="nil"/>
              <w:bottom w:val="nil"/>
              <w:right w:val="nil"/>
            </w:tcBorders>
          </w:tcPr>
          <w:p w14:paraId="7B72A87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0.0102</w:t>
            </w:r>
          </w:p>
        </w:tc>
      </w:tr>
      <w:tr w:rsidR="003E148C" w:rsidRPr="00BD2A98" w14:paraId="3E14C5A9" w14:textId="77777777" w:rsidTr="0026218B">
        <w:tc>
          <w:tcPr>
            <w:tcW w:w="0" w:type="auto"/>
            <w:tcBorders>
              <w:top w:val="nil"/>
              <w:left w:val="nil"/>
              <w:bottom w:val="nil"/>
              <w:right w:val="nil"/>
            </w:tcBorders>
          </w:tcPr>
          <w:p w14:paraId="03590C28"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0A34166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(0.0097)</w:t>
            </w:r>
          </w:p>
        </w:tc>
        <w:tc>
          <w:tcPr>
            <w:tcW w:w="1152" w:type="dxa"/>
            <w:tcBorders>
              <w:top w:val="nil"/>
              <w:left w:val="nil"/>
              <w:bottom w:val="nil"/>
              <w:right w:val="nil"/>
            </w:tcBorders>
          </w:tcPr>
          <w:p w14:paraId="0B4C25E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c>
          <w:tcPr>
            <w:tcW w:w="1152" w:type="dxa"/>
            <w:tcBorders>
              <w:top w:val="nil"/>
              <w:left w:val="nil"/>
              <w:bottom w:val="nil"/>
              <w:right w:val="nil"/>
            </w:tcBorders>
          </w:tcPr>
          <w:p w14:paraId="03575A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(0.0013)</w:t>
            </w:r>
          </w:p>
        </w:tc>
        <w:tc>
          <w:tcPr>
            <w:tcW w:w="1152" w:type="dxa"/>
            <w:tcBorders>
              <w:top w:val="nil"/>
              <w:left w:val="nil"/>
              <w:bottom w:val="nil"/>
              <w:right w:val="nil"/>
            </w:tcBorders>
          </w:tcPr>
          <w:p w14:paraId="492C285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(0.0009)</w:t>
            </w:r>
          </w:p>
        </w:tc>
      </w:tr>
      <w:tr w:rsidR="003E148C" w:rsidRPr="00BD2A98" w14:paraId="5AEFE058" w14:textId="77777777" w:rsidTr="0026218B">
        <w:tc>
          <w:tcPr>
            <w:tcW w:w="0" w:type="auto"/>
            <w:tcBorders>
              <w:top w:val="nil"/>
              <w:left w:val="nil"/>
              <w:bottom w:val="nil"/>
              <w:right w:val="nil"/>
            </w:tcBorders>
          </w:tcPr>
          <w:p w14:paraId="3DEFAA61" w14:textId="77777777" w:rsidR="003E148C" w:rsidRPr="00BD2A98" w:rsidRDefault="003E148C" w:rsidP="0026218B">
            <w:pPr>
              <w:widowControl w:val="0"/>
              <w:autoSpaceDE w:val="0"/>
              <w:autoSpaceDN w:val="0"/>
              <w:adjustRightInd w:val="0"/>
              <w:rPr>
                <w:sz w:val="20"/>
                <w:szCs w:val="20"/>
              </w:rPr>
            </w:pPr>
            <w:r w:rsidRPr="00BD2A98">
              <w:rPr>
                <w:sz w:val="20"/>
                <w:szCs w:val="20"/>
              </w:rPr>
              <w:t>Mid qualification</w:t>
            </w:r>
          </w:p>
        </w:tc>
        <w:tc>
          <w:tcPr>
            <w:tcW w:w="1152" w:type="dxa"/>
            <w:tcBorders>
              <w:top w:val="nil"/>
              <w:left w:val="nil"/>
              <w:bottom w:val="nil"/>
              <w:right w:val="nil"/>
            </w:tcBorders>
          </w:tcPr>
          <w:p w14:paraId="2E6817B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0.1262</w:t>
            </w:r>
          </w:p>
        </w:tc>
        <w:tc>
          <w:tcPr>
            <w:tcW w:w="1152" w:type="dxa"/>
            <w:tcBorders>
              <w:top w:val="nil"/>
              <w:left w:val="nil"/>
              <w:bottom w:val="nil"/>
              <w:right w:val="nil"/>
            </w:tcBorders>
          </w:tcPr>
          <w:p w14:paraId="6A6398F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0.0557</w:t>
            </w:r>
          </w:p>
        </w:tc>
        <w:tc>
          <w:tcPr>
            <w:tcW w:w="1152" w:type="dxa"/>
            <w:tcBorders>
              <w:top w:val="nil"/>
              <w:left w:val="nil"/>
              <w:bottom w:val="nil"/>
              <w:right w:val="nil"/>
            </w:tcBorders>
          </w:tcPr>
          <w:p w14:paraId="09EFCD0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0.0502</w:t>
            </w:r>
          </w:p>
        </w:tc>
        <w:tc>
          <w:tcPr>
            <w:tcW w:w="1152" w:type="dxa"/>
            <w:tcBorders>
              <w:top w:val="nil"/>
              <w:left w:val="nil"/>
              <w:bottom w:val="nil"/>
              <w:right w:val="nil"/>
            </w:tcBorders>
          </w:tcPr>
          <w:p w14:paraId="4F99D0E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0.0317</w:t>
            </w:r>
          </w:p>
        </w:tc>
      </w:tr>
      <w:tr w:rsidR="003E148C" w:rsidRPr="00BD2A98" w14:paraId="2B456CBB" w14:textId="77777777" w:rsidTr="0026218B">
        <w:tc>
          <w:tcPr>
            <w:tcW w:w="0" w:type="auto"/>
            <w:tcBorders>
              <w:top w:val="nil"/>
              <w:left w:val="nil"/>
              <w:bottom w:val="nil"/>
              <w:right w:val="nil"/>
            </w:tcBorders>
          </w:tcPr>
          <w:p w14:paraId="3F7E732D"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71154BB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(0.0044)</w:t>
            </w:r>
          </w:p>
        </w:tc>
        <w:tc>
          <w:tcPr>
            <w:tcW w:w="1152" w:type="dxa"/>
            <w:tcBorders>
              <w:top w:val="nil"/>
              <w:left w:val="nil"/>
              <w:bottom w:val="nil"/>
              <w:right w:val="nil"/>
            </w:tcBorders>
          </w:tcPr>
          <w:p w14:paraId="590627B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c>
          <w:tcPr>
            <w:tcW w:w="1152" w:type="dxa"/>
            <w:tcBorders>
              <w:top w:val="nil"/>
              <w:left w:val="nil"/>
              <w:bottom w:val="nil"/>
              <w:right w:val="nil"/>
            </w:tcBorders>
          </w:tcPr>
          <w:p w14:paraId="5C2F2E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1152" w:type="dxa"/>
            <w:tcBorders>
              <w:top w:val="nil"/>
              <w:left w:val="nil"/>
              <w:bottom w:val="nil"/>
              <w:right w:val="nil"/>
            </w:tcBorders>
          </w:tcPr>
          <w:p w14:paraId="1909E29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r>
      <w:tr w:rsidR="003E148C" w:rsidRPr="00BD2A98" w14:paraId="3CD54B86" w14:textId="77777777" w:rsidTr="0026218B">
        <w:tc>
          <w:tcPr>
            <w:tcW w:w="0" w:type="auto"/>
            <w:tcBorders>
              <w:top w:val="nil"/>
              <w:left w:val="nil"/>
              <w:bottom w:val="nil"/>
              <w:right w:val="nil"/>
            </w:tcBorders>
          </w:tcPr>
          <w:p w14:paraId="2169012D" w14:textId="77777777" w:rsidR="003E148C" w:rsidRPr="00BD2A98" w:rsidRDefault="003E148C" w:rsidP="0026218B">
            <w:pPr>
              <w:widowControl w:val="0"/>
              <w:autoSpaceDE w:val="0"/>
              <w:autoSpaceDN w:val="0"/>
              <w:adjustRightInd w:val="0"/>
              <w:rPr>
                <w:sz w:val="20"/>
                <w:szCs w:val="20"/>
              </w:rPr>
            </w:pPr>
            <w:r w:rsidRPr="00BD2A98">
              <w:rPr>
                <w:sz w:val="20"/>
                <w:szCs w:val="20"/>
              </w:rPr>
              <w:t>High qualification</w:t>
            </w:r>
          </w:p>
        </w:tc>
        <w:tc>
          <w:tcPr>
            <w:tcW w:w="1152" w:type="dxa"/>
            <w:tcBorders>
              <w:top w:val="nil"/>
              <w:left w:val="nil"/>
              <w:bottom w:val="nil"/>
              <w:right w:val="nil"/>
            </w:tcBorders>
          </w:tcPr>
          <w:p w14:paraId="545EDA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0.3830</w:t>
            </w:r>
          </w:p>
        </w:tc>
        <w:tc>
          <w:tcPr>
            <w:tcW w:w="1152" w:type="dxa"/>
            <w:tcBorders>
              <w:top w:val="nil"/>
              <w:left w:val="nil"/>
              <w:bottom w:val="nil"/>
              <w:right w:val="nil"/>
            </w:tcBorders>
          </w:tcPr>
          <w:p w14:paraId="55F1B22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0.1373</w:t>
            </w:r>
          </w:p>
        </w:tc>
        <w:tc>
          <w:tcPr>
            <w:tcW w:w="1152" w:type="dxa"/>
            <w:tcBorders>
              <w:top w:val="nil"/>
              <w:left w:val="nil"/>
              <w:bottom w:val="nil"/>
              <w:right w:val="nil"/>
            </w:tcBorders>
          </w:tcPr>
          <w:p w14:paraId="344C3E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0.1237</w:t>
            </w:r>
          </w:p>
        </w:tc>
        <w:tc>
          <w:tcPr>
            <w:tcW w:w="1152" w:type="dxa"/>
            <w:tcBorders>
              <w:top w:val="nil"/>
              <w:left w:val="nil"/>
              <w:bottom w:val="nil"/>
              <w:right w:val="nil"/>
            </w:tcBorders>
          </w:tcPr>
          <w:p w14:paraId="6C05FD5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0.0825</w:t>
            </w:r>
          </w:p>
        </w:tc>
      </w:tr>
      <w:tr w:rsidR="003E148C" w:rsidRPr="00BD2A98" w14:paraId="43D0E83E" w14:textId="77777777" w:rsidTr="0026218B">
        <w:tc>
          <w:tcPr>
            <w:tcW w:w="0" w:type="auto"/>
            <w:tcBorders>
              <w:top w:val="nil"/>
              <w:left w:val="nil"/>
              <w:bottom w:val="nil"/>
              <w:right w:val="nil"/>
            </w:tcBorders>
          </w:tcPr>
          <w:p w14:paraId="5DBF27D3"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0967A2D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(0.0056)</w:t>
            </w:r>
          </w:p>
        </w:tc>
        <w:tc>
          <w:tcPr>
            <w:tcW w:w="1152" w:type="dxa"/>
            <w:tcBorders>
              <w:top w:val="nil"/>
              <w:left w:val="nil"/>
              <w:bottom w:val="nil"/>
              <w:right w:val="nil"/>
            </w:tcBorders>
          </w:tcPr>
          <w:p w14:paraId="67DE0B9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(0.0024)</w:t>
            </w:r>
          </w:p>
        </w:tc>
        <w:tc>
          <w:tcPr>
            <w:tcW w:w="1152" w:type="dxa"/>
            <w:tcBorders>
              <w:top w:val="nil"/>
              <w:left w:val="nil"/>
              <w:bottom w:val="nil"/>
              <w:right w:val="nil"/>
            </w:tcBorders>
          </w:tcPr>
          <w:p w14:paraId="4C7037C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(0.0028)</w:t>
            </w:r>
          </w:p>
        </w:tc>
        <w:tc>
          <w:tcPr>
            <w:tcW w:w="1152" w:type="dxa"/>
            <w:tcBorders>
              <w:top w:val="nil"/>
              <w:left w:val="nil"/>
              <w:bottom w:val="nil"/>
              <w:right w:val="nil"/>
            </w:tcBorders>
          </w:tcPr>
          <w:p w14:paraId="08190B3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(0.0029)</w:t>
            </w:r>
          </w:p>
        </w:tc>
      </w:tr>
      <w:tr w:rsidR="003E148C" w:rsidRPr="00BD2A98" w14:paraId="5C57D276" w14:textId="77777777" w:rsidTr="0026218B">
        <w:tc>
          <w:tcPr>
            <w:tcW w:w="0" w:type="auto"/>
            <w:tcBorders>
              <w:top w:val="nil"/>
              <w:left w:val="nil"/>
              <w:bottom w:val="nil"/>
              <w:right w:val="nil"/>
            </w:tcBorders>
          </w:tcPr>
          <w:p w14:paraId="406A7E7F" w14:textId="77777777" w:rsidR="003E148C" w:rsidRPr="00BD2A98" w:rsidRDefault="003E148C" w:rsidP="0026218B">
            <w:pPr>
              <w:widowControl w:val="0"/>
              <w:autoSpaceDE w:val="0"/>
              <w:autoSpaceDN w:val="0"/>
              <w:adjustRightInd w:val="0"/>
              <w:rPr>
                <w:sz w:val="20"/>
                <w:szCs w:val="20"/>
              </w:rPr>
            </w:pPr>
            <w:r w:rsidRPr="00BD2A98">
              <w:rPr>
                <w:sz w:val="20"/>
                <w:szCs w:val="20"/>
              </w:rPr>
              <w:t>Workers (ln)</w:t>
            </w:r>
          </w:p>
        </w:tc>
        <w:tc>
          <w:tcPr>
            <w:tcW w:w="1152" w:type="dxa"/>
            <w:tcBorders>
              <w:top w:val="nil"/>
              <w:left w:val="nil"/>
              <w:bottom w:val="nil"/>
              <w:right w:val="nil"/>
            </w:tcBorders>
          </w:tcPr>
          <w:p w14:paraId="50839E2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0.0631</w:t>
            </w:r>
          </w:p>
        </w:tc>
        <w:tc>
          <w:tcPr>
            <w:tcW w:w="1152" w:type="dxa"/>
            <w:tcBorders>
              <w:top w:val="nil"/>
              <w:left w:val="nil"/>
              <w:bottom w:val="nil"/>
              <w:right w:val="nil"/>
            </w:tcBorders>
          </w:tcPr>
          <w:p w14:paraId="6457646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0.0300</w:t>
            </w:r>
          </w:p>
        </w:tc>
        <w:tc>
          <w:tcPr>
            <w:tcW w:w="1152" w:type="dxa"/>
            <w:tcBorders>
              <w:top w:val="nil"/>
              <w:left w:val="nil"/>
              <w:bottom w:val="nil"/>
              <w:right w:val="nil"/>
            </w:tcBorders>
          </w:tcPr>
          <w:p w14:paraId="07B4D27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0.0327</w:t>
            </w:r>
          </w:p>
        </w:tc>
        <w:tc>
          <w:tcPr>
            <w:tcW w:w="1152" w:type="dxa"/>
            <w:tcBorders>
              <w:top w:val="nil"/>
              <w:left w:val="nil"/>
              <w:bottom w:val="nil"/>
              <w:right w:val="nil"/>
            </w:tcBorders>
          </w:tcPr>
          <w:p w14:paraId="3EFBC8E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0.0416</w:t>
            </w:r>
          </w:p>
        </w:tc>
      </w:tr>
      <w:tr w:rsidR="003E148C" w:rsidRPr="00BD2A98" w14:paraId="41B16ADE" w14:textId="77777777" w:rsidTr="0026218B">
        <w:tc>
          <w:tcPr>
            <w:tcW w:w="0" w:type="auto"/>
            <w:tcBorders>
              <w:top w:val="nil"/>
              <w:left w:val="nil"/>
              <w:bottom w:val="nil"/>
              <w:right w:val="nil"/>
            </w:tcBorders>
          </w:tcPr>
          <w:p w14:paraId="3031D2B5"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026D3B6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(0.0015)</w:t>
            </w:r>
          </w:p>
        </w:tc>
        <w:tc>
          <w:tcPr>
            <w:tcW w:w="1152" w:type="dxa"/>
            <w:tcBorders>
              <w:top w:val="nil"/>
              <w:left w:val="nil"/>
              <w:bottom w:val="nil"/>
              <w:right w:val="nil"/>
            </w:tcBorders>
          </w:tcPr>
          <w:p w14:paraId="338D9DF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(0.0019)</w:t>
            </w:r>
          </w:p>
        </w:tc>
        <w:tc>
          <w:tcPr>
            <w:tcW w:w="1152" w:type="dxa"/>
            <w:tcBorders>
              <w:top w:val="nil"/>
              <w:left w:val="nil"/>
              <w:bottom w:val="nil"/>
              <w:right w:val="nil"/>
            </w:tcBorders>
          </w:tcPr>
          <w:p w14:paraId="5AF2C1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(0.0026)</w:t>
            </w:r>
          </w:p>
        </w:tc>
        <w:tc>
          <w:tcPr>
            <w:tcW w:w="1152" w:type="dxa"/>
            <w:tcBorders>
              <w:top w:val="nil"/>
              <w:left w:val="nil"/>
              <w:bottom w:val="nil"/>
              <w:right w:val="nil"/>
            </w:tcBorders>
          </w:tcPr>
          <w:p w14:paraId="2DE83E7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r>
      <w:tr w:rsidR="003E148C" w:rsidRPr="00BD2A98" w14:paraId="0C5999B1" w14:textId="77777777" w:rsidTr="0026218B">
        <w:tc>
          <w:tcPr>
            <w:tcW w:w="0" w:type="auto"/>
            <w:tcBorders>
              <w:top w:val="nil"/>
              <w:left w:val="nil"/>
              <w:bottom w:val="nil"/>
              <w:right w:val="nil"/>
            </w:tcBorders>
          </w:tcPr>
          <w:p w14:paraId="4E5DA85B" w14:textId="77777777" w:rsidR="003E148C" w:rsidRPr="00BD2A98" w:rsidRDefault="003E148C" w:rsidP="0026218B">
            <w:pPr>
              <w:widowControl w:val="0"/>
              <w:autoSpaceDE w:val="0"/>
              <w:autoSpaceDN w:val="0"/>
              <w:adjustRightInd w:val="0"/>
              <w:rPr>
                <w:sz w:val="20"/>
                <w:szCs w:val="20"/>
              </w:rPr>
            </w:pPr>
            <w:r w:rsidRPr="00BD2A98">
              <w:rPr>
                <w:sz w:val="20"/>
                <w:szCs w:val="20"/>
              </w:rPr>
              <w:t>Constant</w:t>
            </w:r>
          </w:p>
        </w:tc>
        <w:tc>
          <w:tcPr>
            <w:tcW w:w="1152" w:type="dxa"/>
            <w:tcBorders>
              <w:top w:val="nil"/>
              <w:left w:val="nil"/>
              <w:bottom w:val="nil"/>
              <w:right w:val="nil"/>
            </w:tcBorders>
          </w:tcPr>
          <w:p w14:paraId="7A107F8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2.2094</w:t>
            </w:r>
          </w:p>
        </w:tc>
        <w:tc>
          <w:tcPr>
            <w:tcW w:w="1152" w:type="dxa"/>
            <w:tcBorders>
              <w:top w:val="nil"/>
              <w:left w:val="nil"/>
              <w:bottom w:val="nil"/>
              <w:right w:val="nil"/>
            </w:tcBorders>
          </w:tcPr>
          <w:p w14:paraId="65F8468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1.6936</w:t>
            </w:r>
          </w:p>
        </w:tc>
        <w:tc>
          <w:tcPr>
            <w:tcW w:w="1152" w:type="dxa"/>
            <w:tcBorders>
              <w:top w:val="nil"/>
              <w:left w:val="nil"/>
              <w:bottom w:val="nil"/>
              <w:right w:val="nil"/>
            </w:tcBorders>
          </w:tcPr>
          <w:p w14:paraId="00B6EB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1.6438</w:t>
            </w:r>
          </w:p>
        </w:tc>
        <w:tc>
          <w:tcPr>
            <w:tcW w:w="1152" w:type="dxa"/>
            <w:tcBorders>
              <w:top w:val="nil"/>
              <w:left w:val="nil"/>
              <w:bottom w:val="nil"/>
              <w:right w:val="nil"/>
            </w:tcBorders>
          </w:tcPr>
          <w:p w14:paraId="0474B53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1.7893</w:t>
            </w:r>
          </w:p>
        </w:tc>
      </w:tr>
      <w:tr w:rsidR="003E148C" w:rsidRPr="00BD2A98" w14:paraId="7E70BDCA" w14:textId="77777777" w:rsidTr="0026218B">
        <w:tc>
          <w:tcPr>
            <w:tcW w:w="0" w:type="auto"/>
            <w:tcBorders>
              <w:top w:val="nil"/>
              <w:left w:val="nil"/>
              <w:bottom w:val="nil"/>
              <w:right w:val="nil"/>
            </w:tcBorders>
          </w:tcPr>
          <w:p w14:paraId="6469C092"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480D947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(0.2195)</w:t>
            </w:r>
          </w:p>
        </w:tc>
        <w:tc>
          <w:tcPr>
            <w:tcW w:w="1152" w:type="dxa"/>
            <w:tcBorders>
              <w:top w:val="nil"/>
              <w:left w:val="nil"/>
              <w:bottom w:val="nil"/>
              <w:right w:val="nil"/>
            </w:tcBorders>
          </w:tcPr>
          <w:p w14:paraId="4C06373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(0.0658)</w:t>
            </w:r>
          </w:p>
        </w:tc>
        <w:tc>
          <w:tcPr>
            <w:tcW w:w="1152" w:type="dxa"/>
            <w:tcBorders>
              <w:top w:val="nil"/>
              <w:left w:val="nil"/>
              <w:bottom w:val="nil"/>
              <w:right w:val="nil"/>
            </w:tcBorders>
          </w:tcPr>
          <w:p w14:paraId="2581B8A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(0.0369)</w:t>
            </w:r>
          </w:p>
        </w:tc>
        <w:tc>
          <w:tcPr>
            <w:tcW w:w="1152" w:type="dxa"/>
            <w:tcBorders>
              <w:top w:val="nil"/>
              <w:left w:val="nil"/>
              <w:bottom w:val="nil"/>
              <w:right w:val="nil"/>
            </w:tcBorders>
          </w:tcPr>
          <w:p w14:paraId="7C9515C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(0.0449)</w:t>
            </w:r>
          </w:p>
        </w:tc>
      </w:tr>
      <w:tr w:rsidR="003E148C" w:rsidRPr="00BD2A98" w14:paraId="74237A0D" w14:textId="77777777" w:rsidTr="0026218B">
        <w:tc>
          <w:tcPr>
            <w:tcW w:w="0" w:type="auto"/>
            <w:tcBorders>
              <w:top w:val="nil"/>
              <w:left w:val="nil"/>
              <w:bottom w:val="nil"/>
              <w:right w:val="nil"/>
            </w:tcBorders>
          </w:tcPr>
          <w:p w14:paraId="462DFA93" w14:textId="77777777" w:rsidR="003E148C" w:rsidRPr="00BD2A98" w:rsidRDefault="003E148C" w:rsidP="0026218B">
            <w:pPr>
              <w:widowControl w:val="0"/>
              <w:autoSpaceDE w:val="0"/>
              <w:autoSpaceDN w:val="0"/>
              <w:adjustRightInd w:val="0"/>
              <w:rPr>
                <w:sz w:val="20"/>
                <w:szCs w:val="20"/>
              </w:rPr>
            </w:pPr>
            <w:r w:rsidRPr="00BD2A98">
              <w:rPr>
                <w:sz w:val="20"/>
                <w:szCs w:val="20"/>
              </w:rPr>
              <w:t xml:space="preserve">R2 </w:t>
            </w:r>
          </w:p>
        </w:tc>
        <w:tc>
          <w:tcPr>
            <w:tcW w:w="1152" w:type="dxa"/>
            <w:tcBorders>
              <w:top w:val="nil"/>
              <w:left w:val="nil"/>
              <w:bottom w:val="nil"/>
              <w:right w:val="nil"/>
            </w:tcBorders>
          </w:tcPr>
          <w:p w14:paraId="6CF2AD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0.66</w:t>
            </w:r>
          </w:p>
        </w:tc>
        <w:tc>
          <w:tcPr>
            <w:tcW w:w="1152" w:type="dxa"/>
            <w:tcBorders>
              <w:top w:val="nil"/>
              <w:left w:val="nil"/>
              <w:bottom w:val="nil"/>
              <w:right w:val="nil"/>
            </w:tcBorders>
          </w:tcPr>
          <w:p w14:paraId="34F8AD0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0.93</w:t>
            </w:r>
          </w:p>
        </w:tc>
        <w:tc>
          <w:tcPr>
            <w:tcW w:w="1152" w:type="dxa"/>
            <w:tcBorders>
              <w:top w:val="nil"/>
              <w:left w:val="nil"/>
              <w:bottom w:val="nil"/>
              <w:right w:val="nil"/>
            </w:tcBorders>
          </w:tcPr>
          <w:p w14:paraId="43129F0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c>
          <w:tcPr>
            <w:tcW w:w="1152" w:type="dxa"/>
            <w:tcBorders>
              <w:top w:val="nil"/>
              <w:left w:val="nil"/>
              <w:bottom w:val="nil"/>
              <w:right w:val="nil"/>
            </w:tcBorders>
          </w:tcPr>
          <w:p w14:paraId="3C6B1C2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r>
      <w:tr w:rsidR="003E148C" w:rsidRPr="00BD2A98" w14:paraId="389E0865" w14:textId="77777777" w:rsidTr="0026218B">
        <w:tc>
          <w:tcPr>
            <w:tcW w:w="0" w:type="auto"/>
            <w:tcBorders>
              <w:top w:val="nil"/>
              <w:left w:val="nil"/>
              <w:bottom w:val="nil"/>
              <w:right w:val="nil"/>
            </w:tcBorders>
          </w:tcPr>
          <w:p w14:paraId="100E30EC" w14:textId="77777777" w:rsidR="003E148C" w:rsidRPr="00BD2A98" w:rsidRDefault="003E148C" w:rsidP="0026218B">
            <w:pPr>
              <w:widowControl w:val="0"/>
              <w:autoSpaceDE w:val="0"/>
              <w:autoSpaceDN w:val="0"/>
              <w:adjustRightInd w:val="0"/>
              <w:rPr>
                <w:sz w:val="20"/>
                <w:szCs w:val="20"/>
              </w:rPr>
            </w:pPr>
            <w:r w:rsidRPr="00BD2A98">
              <w:rPr>
                <w:i/>
                <w:iCs/>
                <w:sz w:val="20"/>
                <w:szCs w:val="20"/>
              </w:rPr>
              <w:t>N</w:t>
            </w:r>
          </w:p>
        </w:tc>
        <w:tc>
          <w:tcPr>
            <w:tcW w:w="1152" w:type="dxa"/>
            <w:tcBorders>
              <w:top w:val="nil"/>
              <w:left w:val="nil"/>
              <w:bottom w:val="nil"/>
              <w:right w:val="nil"/>
            </w:tcBorders>
          </w:tcPr>
          <w:p w14:paraId="0B778C4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19,330,720</w:t>
            </w:r>
          </w:p>
        </w:tc>
        <w:tc>
          <w:tcPr>
            <w:tcW w:w="1152" w:type="dxa"/>
            <w:tcBorders>
              <w:top w:val="nil"/>
              <w:left w:val="nil"/>
              <w:bottom w:val="nil"/>
              <w:right w:val="nil"/>
            </w:tcBorders>
          </w:tcPr>
          <w:p w14:paraId="044E332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18,237,603</w:t>
            </w:r>
          </w:p>
        </w:tc>
        <w:tc>
          <w:tcPr>
            <w:tcW w:w="1152" w:type="dxa"/>
            <w:tcBorders>
              <w:top w:val="nil"/>
              <w:left w:val="nil"/>
              <w:bottom w:val="nil"/>
              <w:right w:val="nil"/>
            </w:tcBorders>
          </w:tcPr>
          <w:p w14:paraId="470D161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18,158,177</w:t>
            </w:r>
          </w:p>
        </w:tc>
        <w:tc>
          <w:tcPr>
            <w:tcW w:w="1152" w:type="dxa"/>
            <w:tcBorders>
              <w:top w:val="nil"/>
              <w:left w:val="nil"/>
              <w:bottom w:val="nil"/>
              <w:right w:val="nil"/>
            </w:tcBorders>
          </w:tcPr>
          <w:p w14:paraId="5C154FA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16,367,142</w:t>
            </w:r>
          </w:p>
        </w:tc>
      </w:tr>
      <w:tr w:rsidR="003E148C" w:rsidRPr="00BD2A98" w14:paraId="7C0D00E4" w14:textId="77777777" w:rsidTr="0026218B">
        <w:tc>
          <w:tcPr>
            <w:tcW w:w="0" w:type="auto"/>
            <w:tcBorders>
              <w:top w:val="nil"/>
              <w:left w:val="nil"/>
              <w:bottom w:val="nil"/>
              <w:right w:val="nil"/>
            </w:tcBorders>
          </w:tcPr>
          <w:p w14:paraId="21B4EA27" w14:textId="77777777" w:rsidR="003E148C" w:rsidRPr="00BD2A98" w:rsidRDefault="003E148C" w:rsidP="0026218B">
            <w:pPr>
              <w:widowControl w:val="0"/>
              <w:autoSpaceDE w:val="0"/>
              <w:autoSpaceDN w:val="0"/>
              <w:adjustRightInd w:val="0"/>
              <w:rPr>
                <w:iCs/>
                <w:sz w:val="20"/>
                <w:szCs w:val="20"/>
              </w:rPr>
            </w:pPr>
            <w:r w:rsidRPr="00BD2A98">
              <w:rPr>
                <w:iCs/>
                <w:sz w:val="20"/>
                <w:szCs w:val="20"/>
              </w:rPr>
              <w:t>Occupation</w:t>
            </w:r>
          </w:p>
        </w:tc>
        <w:tc>
          <w:tcPr>
            <w:tcW w:w="1152" w:type="dxa"/>
            <w:tcBorders>
              <w:top w:val="nil"/>
              <w:left w:val="nil"/>
              <w:bottom w:val="nil"/>
              <w:right w:val="nil"/>
            </w:tcBorders>
          </w:tcPr>
          <w:p w14:paraId="34879D6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51AD697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04B3717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7314B26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17CE203B" w14:textId="77777777" w:rsidTr="0026218B">
        <w:tc>
          <w:tcPr>
            <w:tcW w:w="0" w:type="auto"/>
            <w:tcBorders>
              <w:top w:val="nil"/>
              <w:left w:val="nil"/>
              <w:bottom w:val="nil"/>
              <w:right w:val="nil"/>
            </w:tcBorders>
          </w:tcPr>
          <w:p w14:paraId="19E82530" w14:textId="77777777" w:rsidR="003E148C" w:rsidRPr="00BD2A98" w:rsidRDefault="003E148C" w:rsidP="0026218B">
            <w:pPr>
              <w:widowControl w:val="0"/>
              <w:autoSpaceDE w:val="0"/>
              <w:autoSpaceDN w:val="0"/>
              <w:adjustRightInd w:val="0"/>
              <w:rPr>
                <w:sz w:val="20"/>
                <w:szCs w:val="20"/>
              </w:rPr>
            </w:pPr>
            <w:r w:rsidRPr="00BD2A98">
              <w:rPr>
                <w:sz w:val="20"/>
                <w:szCs w:val="20"/>
              </w:rPr>
              <w:t>Year FE</w:t>
            </w:r>
          </w:p>
        </w:tc>
        <w:tc>
          <w:tcPr>
            <w:tcW w:w="1152" w:type="dxa"/>
            <w:tcBorders>
              <w:top w:val="nil"/>
              <w:left w:val="nil"/>
              <w:bottom w:val="nil"/>
              <w:right w:val="nil"/>
            </w:tcBorders>
          </w:tcPr>
          <w:p w14:paraId="79E76DB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3E69DA8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7DF24CD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537A59A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63F795F2" w14:textId="77777777" w:rsidTr="0026218B">
        <w:tc>
          <w:tcPr>
            <w:tcW w:w="0" w:type="auto"/>
            <w:tcBorders>
              <w:top w:val="nil"/>
              <w:left w:val="nil"/>
              <w:bottom w:val="nil"/>
              <w:right w:val="nil"/>
            </w:tcBorders>
          </w:tcPr>
          <w:p w14:paraId="59B732A0" w14:textId="2A063E2A" w:rsidR="003E148C" w:rsidRPr="00BD2A98" w:rsidRDefault="004358A2" w:rsidP="0026218B">
            <w:pPr>
              <w:widowControl w:val="0"/>
              <w:autoSpaceDE w:val="0"/>
              <w:autoSpaceDN w:val="0"/>
              <w:adjustRightInd w:val="0"/>
              <w:rPr>
                <w:sz w:val="20"/>
                <w:szCs w:val="20"/>
              </w:rPr>
            </w:pPr>
            <w:r>
              <w:rPr>
                <w:sz w:val="20"/>
                <w:szCs w:val="20"/>
              </w:rPr>
              <w:t>Municipality</w:t>
            </w:r>
            <w:r w:rsidR="003E148C" w:rsidRPr="00BD2A98">
              <w:rPr>
                <w:sz w:val="20"/>
                <w:szCs w:val="20"/>
              </w:rPr>
              <w:t xml:space="preserve"> FE</w:t>
            </w:r>
          </w:p>
        </w:tc>
        <w:tc>
          <w:tcPr>
            <w:tcW w:w="1152" w:type="dxa"/>
            <w:tcBorders>
              <w:top w:val="nil"/>
              <w:left w:val="nil"/>
              <w:bottom w:val="nil"/>
              <w:right w:val="nil"/>
            </w:tcBorders>
          </w:tcPr>
          <w:p w14:paraId="641E10F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707EDD8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4E065F0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6578BD0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70ABE6A0" w14:textId="77777777" w:rsidTr="0026218B">
        <w:tc>
          <w:tcPr>
            <w:tcW w:w="0" w:type="auto"/>
            <w:tcBorders>
              <w:top w:val="nil"/>
              <w:left w:val="nil"/>
              <w:bottom w:val="nil"/>
              <w:right w:val="nil"/>
            </w:tcBorders>
          </w:tcPr>
          <w:p w14:paraId="2C4042CD" w14:textId="77777777" w:rsidR="003E148C" w:rsidRPr="00BD2A98" w:rsidRDefault="003E148C" w:rsidP="0026218B">
            <w:pPr>
              <w:widowControl w:val="0"/>
              <w:autoSpaceDE w:val="0"/>
              <w:autoSpaceDN w:val="0"/>
              <w:adjustRightInd w:val="0"/>
              <w:rPr>
                <w:sz w:val="20"/>
                <w:szCs w:val="20"/>
              </w:rPr>
            </w:pPr>
            <w:r w:rsidRPr="00BD2A98">
              <w:rPr>
                <w:sz w:val="20"/>
                <w:szCs w:val="20"/>
              </w:rPr>
              <w:t>Worker FE</w:t>
            </w:r>
          </w:p>
        </w:tc>
        <w:tc>
          <w:tcPr>
            <w:tcW w:w="1152" w:type="dxa"/>
            <w:tcBorders>
              <w:top w:val="nil"/>
              <w:left w:val="nil"/>
              <w:bottom w:val="nil"/>
              <w:right w:val="nil"/>
            </w:tcBorders>
          </w:tcPr>
          <w:p w14:paraId="384F7CC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5C73A58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5BA1285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50949F3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279C7A88" w14:textId="77777777" w:rsidTr="0026218B">
        <w:tc>
          <w:tcPr>
            <w:tcW w:w="0" w:type="auto"/>
            <w:tcBorders>
              <w:top w:val="nil"/>
              <w:left w:val="nil"/>
              <w:bottom w:val="nil"/>
              <w:right w:val="nil"/>
            </w:tcBorders>
          </w:tcPr>
          <w:p w14:paraId="0DBB8170" w14:textId="77777777" w:rsidR="003E148C" w:rsidRPr="00BD2A98" w:rsidRDefault="003E148C" w:rsidP="0026218B">
            <w:pPr>
              <w:widowControl w:val="0"/>
              <w:autoSpaceDE w:val="0"/>
              <w:autoSpaceDN w:val="0"/>
              <w:adjustRightInd w:val="0"/>
              <w:rPr>
                <w:sz w:val="20"/>
                <w:szCs w:val="20"/>
              </w:rPr>
            </w:pPr>
            <w:r w:rsidRPr="00BD2A98">
              <w:rPr>
                <w:sz w:val="20"/>
                <w:szCs w:val="20"/>
              </w:rPr>
              <w:t>Firm FE</w:t>
            </w:r>
          </w:p>
        </w:tc>
        <w:tc>
          <w:tcPr>
            <w:tcW w:w="1152" w:type="dxa"/>
            <w:tcBorders>
              <w:top w:val="nil"/>
              <w:left w:val="nil"/>
              <w:bottom w:val="nil"/>
              <w:right w:val="nil"/>
            </w:tcBorders>
          </w:tcPr>
          <w:p w14:paraId="6D615C28"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4B196CC2"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296E1CA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004D114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6187D59F" w14:textId="77777777" w:rsidTr="0026218B">
        <w:tc>
          <w:tcPr>
            <w:tcW w:w="0" w:type="auto"/>
            <w:tcBorders>
              <w:top w:val="nil"/>
              <w:left w:val="nil"/>
              <w:bottom w:val="single" w:sz="6" w:space="0" w:color="auto"/>
              <w:right w:val="nil"/>
            </w:tcBorders>
          </w:tcPr>
          <w:p w14:paraId="39156D8E" w14:textId="77777777" w:rsidR="003E148C" w:rsidRPr="00BD2A98" w:rsidRDefault="003E148C" w:rsidP="0026218B">
            <w:pPr>
              <w:widowControl w:val="0"/>
              <w:autoSpaceDE w:val="0"/>
              <w:autoSpaceDN w:val="0"/>
              <w:adjustRightInd w:val="0"/>
              <w:rPr>
                <w:sz w:val="20"/>
                <w:szCs w:val="20"/>
              </w:rPr>
            </w:pPr>
            <w:r w:rsidRPr="00BD2A98">
              <w:rPr>
                <w:sz w:val="20"/>
                <w:szCs w:val="20"/>
              </w:rPr>
              <w:t>Worker &amp; Firm FE</w:t>
            </w:r>
          </w:p>
        </w:tc>
        <w:tc>
          <w:tcPr>
            <w:tcW w:w="1152" w:type="dxa"/>
            <w:tcBorders>
              <w:top w:val="nil"/>
              <w:left w:val="nil"/>
              <w:bottom w:val="single" w:sz="6" w:space="0" w:color="auto"/>
              <w:right w:val="nil"/>
            </w:tcBorders>
          </w:tcPr>
          <w:p w14:paraId="0618A0A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79D7E5C1"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6A961B11"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1B99420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F93F29" w14:paraId="31C0E7F6" w14:textId="77777777" w:rsidTr="0026218B">
        <w:tblPrEx>
          <w:tblCellMar>
            <w:left w:w="70" w:type="dxa"/>
            <w:right w:w="70" w:type="dxa"/>
          </w:tblCellMar>
          <w:tblLook w:val="04A0" w:firstRow="1" w:lastRow="0" w:firstColumn="1" w:lastColumn="0" w:noHBand="0" w:noVBand="1"/>
        </w:tblPrEx>
        <w:trPr>
          <w:trHeight w:val="20"/>
        </w:trPr>
        <w:tc>
          <w:tcPr>
            <w:tcW w:w="1152" w:type="dxa"/>
            <w:gridSpan w:val="5"/>
            <w:tcBorders>
              <w:top w:val="nil"/>
              <w:left w:val="nil"/>
              <w:bottom w:val="nil"/>
              <w:right w:val="nil"/>
            </w:tcBorders>
            <w:shd w:val="clear" w:color="auto" w:fill="auto"/>
            <w:noWrap/>
            <w:vAlign w:val="bottom"/>
            <w:hideMark/>
          </w:tcPr>
          <w:p w14:paraId="331B19FE" w14:textId="77777777" w:rsidR="003E148C" w:rsidRPr="00F93F29" w:rsidRDefault="003E148C" w:rsidP="0026218B">
            <w:pPr>
              <w:rPr>
                <w:sz w:val="16"/>
                <w:szCs w:val="16"/>
                <w:lang w:eastAsia="pt-PT"/>
              </w:rPr>
            </w:pPr>
            <w:r w:rsidRPr="002C306D">
              <w:rPr>
                <w:sz w:val="20"/>
                <w:szCs w:val="20"/>
                <w:lang w:eastAsia="pt-PT"/>
              </w:rPr>
              <w:t>Robust standard errors clustered by municipality in brackets</w:t>
            </w:r>
          </w:p>
        </w:tc>
      </w:tr>
    </w:tbl>
    <w:p w14:paraId="508F952B" w14:textId="77777777" w:rsidR="003E148C" w:rsidRDefault="003E148C" w:rsidP="003E148C">
      <w:pPr>
        <w:pStyle w:val="TableCaption"/>
        <w:spacing w:line="240" w:lineRule="auto"/>
        <w:rPr>
          <w:b/>
        </w:rPr>
      </w:pPr>
      <w:r w:rsidRPr="00E94742">
        <w:rPr>
          <w:b/>
        </w:rPr>
        <w:br w:type="page"/>
      </w:r>
      <w:r w:rsidRPr="00865E6E">
        <w:rPr>
          <w:b/>
        </w:rPr>
        <w:t>Table A6</w:t>
      </w:r>
      <w:r w:rsidRPr="00E94742">
        <w:rPr>
          <w:b/>
        </w:rPr>
        <w:t xml:space="preserve">. Effect of the reform on wage </w:t>
      </w:r>
      <w:r>
        <w:rPr>
          <w:b/>
        </w:rPr>
        <w:t>– i</w:t>
      </w:r>
      <w:r w:rsidRPr="00601DC1">
        <w:rPr>
          <w:b/>
        </w:rPr>
        <w:t>ndustry gender pay-</w:t>
      </w:r>
      <w:r w:rsidRPr="00E94742">
        <w:rPr>
          <w:b/>
        </w:rPr>
        <w:t>gap</w:t>
      </w:r>
    </w:p>
    <w:p w14:paraId="2F5A736E" w14:textId="77777777" w:rsidR="003E148C" w:rsidRPr="00E94742" w:rsidRDefault="003E148C" w:rsidP="003E148C">
      <w:pPr>
        <w:pStyle w:val="TableCaption"/>
        <w:spacing w:line="240" w:lineRule="auto"/>
        <w:rPr>
          <w:b/>
        </w:rPr>
      </w:pPr>
    </w:p>
    <w:tbl>
      <w:tblPr>
        <w:tblW w:w="0" w:type="auto"/>
        <w:tblCellMar>
          <w:left w:w="14" w:type="dxa"/>
          <w:right w:w="14" w:type="dxa"/>
        </w:tblCellMar>
        <w:tblLook w:val="0000" w:firstRow="0" w:lastRow="0" w:firstColumn="0" w:lastColumn="0" w:noHBand="0" w:noVBand="0"/>
      </w:tblPr>
      <w:tblGrid>
        <w:gridCol w:w="3577"/>
        <w:gridCol w:w="1152"/>
        <w:gridCol w:w="1152"/>
        <w:gridCol w:w="1152"/>
        <w:gridCol w:w="1152"/>
      </w:tblGrid>
      <w:tr w:rsidR="003E148C" w:rsidRPr="008328ED" w14:paraId="5B9F4E35" w14:textId="77777777" w:rsidTr="0026218B">
        <w:tc>
          <w:tcPr>
            <w:tcW w:w="0" w:type="auto"/>
            <w:tcBorders>
              <w:top w:val="single" w:sz="6" w:space="0" w:color="auto"/>
              <w:left w:val="nil"/>
              <w:bottom w:val="nil"/>
              <w:right w:val="nil"/>
            </w:tcBorders>
          </w:tcPr>
          <w:p w14:paraId="3C0B1083" w14:textId="77777777" w:rsidR="003E148C" w:rsidRPr="00BD2A98" w:rsidRDefault="003E148C" w:rsidP="0026218B">
            <w:pPr>
              <w:widowControl w:val="0"/>
              <w:autoSpaceDE w:val="0"/>
              <w:autoSpaceDN w:val="0"/>
              <w:adjustRightInd w:val="0"/>
              <w:jc w:val="center"/>
              <w:rPr>
                <w:sz w:val="20"/>
                <w:szCs w:val="20"/>
              </w:rPr>
            </w:pPr>
          </w:p>
        </w:tc>
        <w:tc>
          <w:tcPr>
            <w:tcW w:w="1152" w:type="dxa"/>
            <w:tcBorders>
              <w:top w:val="single" w:sz="6" w:space="0" w:color="auto"/>
              <w:left w:val="nil"/>
              <w:bottom w:val="nil"/>
              <w:right w:val="nil"/>
            </w:tcBorders>
          </w:tcPr>
          <w:p w14:paraId="0F854B5B"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1</w:t>
            </w:r>
          </w:p>
        </w:tc>
        <w:tc>
          <w:tcPr>
            <w:tcW w:w="1152" w:type="dxa"/>
            <w:tcBorders>
              <w:top w:val="single" w:sz="6" w:space="0" w:color="auto"/>
              <w:left w:val="nil"/>
              <w:bottom w:val="nil"/>
              <w:right w:val="nil"/>
            </w:tcBorders>
          </w:tcPr>
          <w:p w14:paraId="07A8ACC4"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2</w:t>
            </w:r>
          </w:p>
        </w:tc>
        <w:tc>
          <w:tcPr>
            <w:tcW w:w="1152" w:type="dxa"/>
            <w:tcBorders>
              <w:top w:val="single" w:sz="6" w:space="0" w:color="auto"/>
              <w:left w:val="nil"/>
              <w:bottom w:val="nil"/>
              <w:right w:val="nil"/>
            </w:tcBorders>
          </w:tcPr>
          <w:p w14:paraId="6CF89259"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3</w:t>
            </w:r>
          </w:p>
        </w:tc>
        <w:tc>
          <w:tcPr>
            <w:tcW w:w="1152" w:type="dxa"/>
            <w:tcBorders>
              <w:top w:val="single" w:sz="6" w:space="0" w:color="auto"/>
              <w:left w:val="nil"/>
              <w:bottom w:val="nil"/>
              <w:right w:val="nil"/>
            </w:tcBorders>
          </w:tcPr>
          <w:p w14:paraId="1713548C"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4</w:t>
            </w:r>
          </w:p>
        </w:tc>
      </w:tr>
      <w:tr w:rsidR="003E148C" w:rsidRPr="00BD2A98" w14:paraId="001A0C1B" w14:textId="77777777" w:rsidTr="0026218B">
        <w:tc>
          <w:tcPr>
            <w:tcW w:w="0" w:type="auto"/>
            <w:tcBorders>
              <w:top w:val="single" w:sz="6" w:space="0" w:color="auto"/>
              <w:left w:val="nil"/>
              <w:bottom w:val="nil"/>
              <w:right w:val="nil"/>
            </w:tcBorders>
          </w:tcPr>
          <w:p w14:paraId="09882ECF"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w:t>
            </w:r>
          </w:p>
        </w:tc>
        <w:tc>
          <w:tcPr>
            <w:tcW w:w="1152" w:type="dxa"/>
            <w:tcBorders>
              <w:top w:val="single" w:sz="6" w:space="0" w:color="auto"/>
              <w:left w:val="nil"/>
              <w:bottom w:val="nil"/>
              <w:right w:val="nil"/>
            </w:tcBorders>
          </w:tcPr>
          <w:p w14:paraId="48786FB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0.0102</w:t>
            </w:r>
          </w:p>
        </w:tc>
        <w:tc>
          <w:tcPr>
            <w:tcW w:w="1152" w:type="dxa"/>
            <w:tcBorders>
              <w:top w:val="single" w:sz="6" w:space="0" w:color="auto"/>
              <w:left w:val="nil"/>
              <w:bottom w:val="nil"/>
              <w:right w:val="nil"/>
            </w:tcBorders>
          </w:tcPr>
          <w:p w14:paraId="4F62F2B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0.0127</w:t>
            </w:r>
          </w:p>
        </w:tc>
        <w:tc>
          <w:tcPr>
            <w:tcW w:w="1152" w:type="dxa"/>
            <w:tcBorders>
              <w:top w:val="single" w:sz="6" w:space="0" w:color="auto"/>
              <w:left w:val="nil"/>
              <w:bottom w:val="nil"/>
              <w:right w:val="nil"/>
            </w:tcBorders>
          </w:tcPr>
          <w:p w14:paraId="2205F62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0.0108</w:t>
            </w:r>
          </w:p>
        </w:tc>
        <w:tc>
          <w:tcPr>
            <w:tcW w:w="1152" w:type="dxa"/>
            <w:tcBorders>
              <w:top w:val="single" w:sz="6" w:space="0" w:color="auto"/>
              <w:left w:val="nil"/>
              <w:bottom w:val="nil"/>
              <w:right w:val="nil"/>
            </w:tcBorders>
          </w:tcPr>
          <w:p w14:paraId="59C1EFD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0.0101</w:t>
            </w:r>
          </w:p>
        </w:tc>
      </w:tr>
      <w:tr w:rsidR="003E148C" w:rsidRPr="00BD2A98" w14:paraId="65C8328C" w14:textId="77777777" w:rsidTr="0026218B">
        <w:tc>
          <w:tcPr>
            <w:tcW w:w="0" w:type="auto"/>
            <w:tcBorders>
              <w:top w:val="nil"/>
              <w:left w:val="nil"/>
              <w:bottom w:val="nil"/>
              <w:right w:val="nil"/>
            </w:tcBorders>
          </w:tcPr>
          <w:p w14:paraId="024F1FDC"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3085E94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(0.0053)</w:t>
            </w:r>
          </w:p>
        </w:tc>
        <w:tc>
          <w:tcPr>
            <w:tcW w:w="1152" w:type="dxa"/>
            <w:tcBorders>
              <w:top w:val="nil"/>
              <w:left w:val="nil"/>
              <w:bottom w:val="nil"/>
              <w:right w:val="nil"/>
            </w:tcBorders>
          </w:tcPr>
          <w:p w14:paraId="1C5427E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c>
          <w:tcPr>
            <w:tcW w:w="1152" w:type="dxa"/>
            <w:tcBorders>
              <w:top w:val="nil"/>
              <w:left w:val="nil"/>
              <w:bottom w:val="nil"/>
              <w:right w:val="nil"/>
            </w:tcBorders>
          </w:tcPr>
          <w:p w14:paraId="638B5C9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c>
          <w:tcPr>
            <w:tcW w:w="1152" w:type="dxa"/>
            <w:tcBorders>
              <w:top w:val="nil"/>
              <w:left w:val="nil"/>
              <w:bottom w:val="nil"/>
              <w:right w:val="nil"/>
            </w:tcBorders>
          </w:tcPr>
          <w:p w14:paraId="746BC74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r>
      <w:tr w:rsidR="003E148C" w:rsidRPr="00BD2A98" w14:paraId="1040CAB1" w14:textId="77777777" w:rsidTr="0026218B">
        <w:tc>
          <w:tcPr>
            <w:tcW w:w="0" w:type="auto"/>
            <w:tcBorders>
              <w:top w:val="nil"/>
              <w:left w:val="nil"/>
              <w:bottom w:val="nil"/>
              <w:right w:val="nil"/>
            </w:tcBorders>
          </w:tcPr>
          <w:p w14:paraId="4C482390" w14:textId="77777777" w:rsidR="003E148C" w:rsidRPr="00BD2A98" w:rsidRDefault="003E148C" w:rsidP="0026218B">
            <w:pPr>
              <w:widowControl w:val="0"/>
              <w:autoSpaceDE w:val="0"/>
              <w:autoSpaceDN w:val="0"/>
              <w:adjustRightInd w:val="0"/>
              <w:rPr>
                <w:sz w:val="20"/>
                <w:szCs w:val="20"/>
              </w:rPr>
            </w:pPr>
            <w:r w:rsidRPr="00BD2A98">
              <w:rPr>
                <w:sz w:val="20"/>
                <w:szCs w:val="20"/>
              </w:rPr>
              <w:t>Female</w:t>
            </w:r>
          </w:p>
        </w:tc>
        <w:tc>
          <w:tcPr>
            <w:tcW w:w="1152" w:type="dxa"/>
            <w:tcBorders>
              <w:top w:val="nil"/>
              <w:left w:val="nil"/>
              <w:bottom w:val="nil"/>
              <w:right w:val="nil"/>
            </w:tcBorders>
          </w:tcPr>
          <w:p w14:paraId="06892B1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-0.1518</w:t>
            </w:r>
          </w:p>
        </w:tc>
        <w:tc>
          <w:tcPr>
            <w:tcW w:w="1152" w:type="dxa"/>
            <w:tcBorders>
              <w:top w:val="nil"/>
              <w:left w:val="nil"/>
              <w:bottom w:val="nil"/>
              <w:right w:val="nil"/>
            </w:tcBorders>
          </w:tcPr>
          <w:p w14:paraId="5746309F"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3AC430DC"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13932D62"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42280451" w14:textId="77777777" w:rsidTr="0026218B">
        <w:tc>
          <w:tcPr>
            <w:tcW w:w="0" w:type="auto"/>
            <w:tcBorders>
              <w:top w:val="nil"/>
              <w:left w:val="nil"/>
              <w:bottom w:val="nil"/>
              <w:right w:val="nil"/>
            </w:tcBorders>
          </w:tcPr>
          <w:p w14:paraId="20ACA3B9"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1A11A54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(0.0050)</w:t>
            </w:r>
          </w:p>
        </w:tc>
        <w:tc>
          <w:tcPr>
            <w:tcW w:w="1152" w:type="dxa"/>
            <w:tcBorders>
              <w:top w:val="nil"/>
              <w:left w:val="nil"/>
              <w:bottom w:val="nil"/>
              <w:right w:val="nil"/>
            </w:tcBorders>
          </w:tcPr>
          <w:p w14:paraId="31FD9F88"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69DDF3FA"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02E5BA48"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3F41FDE5" w14:textId="77777777" w:rsidTr="0026218B">
        <w:tc>
          <w:tcPr>
            <w:tcW w:w="0" w:type="auto"/>
            <w:tcBorders>
              <w:top w:val="nil"/>
              <w:left w:val="nil"/>
              <w:bottom w:val="nil"/>
              <w:right w:val="nil"/>
            </w:tcBorders>
          </w:tcPr>
          <w:p w14:paraId="143A7F0F"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deregulation*Female</w:t>
            </w:r>
          </w:p>
        </w:tc>
        <w:tc>
          <w:tcPr>
            <w:tcW w:w="1152" w:type="dxa"/>
            <w:tcBorders>
              <w:top w:val="nil"/>
              <w:left w:val="nil"/>
              <w:bottom w:val="nil"/>
              <w:right w:val="nil"/>
            </w:tcBorders>
          </w:tcPr>
          <w:p w14:paraId="23290E9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-0.0033</w:t>
            </w:r>
          </w:p>
        </w:tc>
        <w:tc>
          <w:tcPr>
            <w:tcW w:w="1152" w:type="dxa"/>
            <w:tcBorders>
              <w:top w:val="nil"/>
              <w:left w:val="nil"/>
              <w:bottom w:val="nil"/>
              <w:right w:val="nil"/>
            </w:tcBorders>
          </w:tcPr>
          <w:p w14:paraId="7921437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0.0027</w:t>
            </w:r>
          </w:p>
        </w:tc>
        <w:tc>
          <w:tcPr>
            <w:tcW w:w="1152" w:type="dxa"/>
            <w:tcBorders>
              <w:top w:val="nil"/>
              <w:left w:val="nil"/>
              <w:bottom w:val="nil"/>
              <w:right w:val="nil"/>
            </w:tcBorders>
          </w:tcPr>
          <w:p w14:paraId="0C2533A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0.0038</w:t>
            </w:r>
          </w:p>
        </w:tc>
        <w:tc>
          <w:tcPr>
            <w:tcW w:w="1152" w:type="dxa"/>
            <w:tcBorders>
              <w:top w:val="nil"/>
              <w:left w:val="nil"/>
              <w:bottom w:val="nil"/>
              <w:right w:val="nil"/>
            </w:tcBorders>
          </w:tcPr>
          <w:p w14:paraId="0A3C1D7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0.0075</w:t>
            </w:r>
          </w:p>
        </w:tc>
      </w:tr>
      <w:tr w:rsidR="003E148C" w:rsidRPr="00BD2A98" w14:paraId="016CDA72" w14:textId="77777777" w:rsidTr="0026218B">
        <w:tc>
          <w:tcPr>
            <w:tcW w:w="0" w:type="auto"/>
            <w:tcBorders>
              <w:top w:val="nil"/>
              <w:left w:val="nil"/>
              <w:bottom w:val="nil"/>
              <w:right w:val="nil"/>
            </w:tcBorders>
          </w:tcPr>
          <w:p w14:paraId="61B61A79"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2227D7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(0.0042)</w:t>
            </w:r>
          </w:p>
        </w:tc>
        <w:tc>
          <w:tcPr>
            <w:tcW w:w="1152" w:type="dxa"/>
            <w:tcBorders>
              <w:top w:val="nil"/>
              <w:left w:val="nil"/>
              <w:bottom w:val="nil"/>
              <w:right w:val="nil"/>
            </w:tcBorders>
          </w:tcPr>
          <w:p w14:paraId="2033C1C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1152" w:type="dxa"/>
            <w:tcBorders>
              <w:top w:val="nil"/>
              <w:left w:val="nil"/>
              <w:bottom w:val="nil"/>
              <w:right w:val="nil"/>
            </w:tcBorders>
          </w:tcPr>
          <w:p w14:paraId="7C9CD13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(0.0015)</w:t>
            </w:r>
          </w:p>
        </w:tc>
        <w:tc>
          <w:tcPr>
            <w:tcW w:w="1152" w:type="dxa"/>
            <w:tcBorders>
              <w:top w:val="nil"/>
              <w:left w:val="nil"/>
              <w:bottom w:val="nil"/>
              <w:right w:val="nil"/>
            </w:tcBorders>
          </w:tcPr>
          <w:p w14:paraId="27123AF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r>
      <w:tr w:rsidR="003E148C" w:rsidRPr="00BD2A98" w14:paraId="72FDBADC" w14:textId="77777777" w:rsidTr="0026218B">
        <w:tc>
          <w:tcPr>
            <w:tcW w:w="0" w:type="auto"/>
            <w:tcBorders>
              <w:top w:val="nil"/>
              <w:left w:val="nil"/>
              <w:bottom w:val="nil"/>
              <w:right w:val="nil"/>
            </w:tcBorders>
          </w:tcPr>
          <w:p w14:paraId="4804EA2E" w14:textId="77777777" w:rsidR="003E148C" w:rsidRPr="00BD2A98" w:rsidRDefault="003E148C" w:rsidP="0026218B">
            <w:pPr>
              <w:widowControl w:val="0"/>
              <w:autoSpaceDE w:val="0"/>
              <w:autoSpaceDN w:val="0"/>
              <w:adjustRightInd w:val="0"/>
              <w:rPr>
                <w:sz w:val="20"/>
                <w:szCs w:val="20"/>
              </w:rPr>
            </w:pPr>
            <w:r w:rsidRPr="00BD2A98">
              <w:rPr>
                <w:sz w:val="20"/>
                <w:szCs w:val="20"/>
              </w:rPr>
              <w:t>Gender pay gap</w:t>
            </w:r>
          </w:p>
        </w:tc>
        <w:tc>
          <w:tcPr>
            <w:tcW w:w="1152" w:type="dxa"/>
            <w:tcBorders>
              <w:top w:val="nil"/>
              <w:left w:val="nil"/>
              <w:bottom w:val="nil"/>
              <w:right w:val="nil"/>
            </w:tcBorders>
          </w:tcPr>
          <w:p w14:paraId="7F98CB5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0.1063</w:t>
            </w:r>
          </w:p>
        </w:tc>
        <w:tc>
          <w:tcPr>
            <w:tcW w:w="1152" w:type="dxa"/>
            <w:tcBorders>
              <w:top w:val="nil"/>
              <w:left w:val="nil"/>
              <w:bottom w:val="nil"/>
              <w:right w:val="nil"/>
            </w:tcBorders>
          </w:tcPr>
          <w:p w14:paraId="23BDABB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0.0265</w:t>
            </w:r>
          </w:p>
        </w:tc>
        <w:tc>
          <w:tcPr>
            <w:tcW w:w="1152" w:type="dxa"/>
            <w:tcBorders>
              <w:top w:val="nil"/>
              <w:left w:val="nil"/>
              <w:bottom w:val="nil"/>
              <w:right w:val="nil"/>
            </w:tcBorders>
          </w:tcPr>
          <w:p w14:paraId="3E72312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0.0051</w:t>
            </w:r>
          </w:p>
        </w:tc>
        <w:tc>
          <w:tcPr>
            <w:tcW w:w="1152" w:type="dxa"/>
            <w:tcBorders>
              <w:top w:val="nil"/>
              <w:left w:val="nil"/>
              <w:bottom w:val="nil"/>
              <w:right w:val="nil"/>
            </w:tcBorders>
          </w:tcPr>
          <w:p w14:paraId="3DD36CB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-0.0120</w:t>
            </w:r>
          </w:p>
        </w:tc>
      </w:tr>
      <w:tr w:rsidR="003E148C" w:rsidRPr="00BD2A98" w14:paraId="63644716" w14:textId="77777777" w:rsidTr="0026218B">
        <w:tc>
          <w:tcPr>
            <w:tcW w:w="0" w:type="auto"/>
            <w:tcBorders>
              <w:top w:val="nil"/>
              <w:left w:val="nil"/>
              <w:bottom w:val="nil"/>
              <w:right w:val="nil"/>
            </w:tcBorders>
          </w:tcPr>
          <w:p w14:paraId="0AF66DBB"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ADC505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(0.0250)</w:t>
            </w:r>
          </w:p>
        </w:tc>
        <w:tc>
          <w:tcPr>
            <w:tcW w:w="1152" w:type="dxa"/>
            <w:tcBorders>
              <w:top w:val="nil"/>
              <w:left w:val="nil"/>
              <w:bottom w:val="nil"/>
              <w:right w:val="nil"/>
            </w:tcBorders>
          </w:tcPr>
          <w:p w14:paraId="6101DB7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(0.0105)</w:t>
            </w:r>
          </w:p>
        </w:tc>
        <w:tc>
          <w:tcPr>
            <w:tcW w:w="1152" w:type="dxa"/>
            <w:tcBorders>
              <w:top w:val="nil"/>
              <w:left w:val="nil"/>
              <w:bottom w:val="nil"/>
              <w:right w:val="nil"/>
            </w:tcBorders>
          </w:tcPr>
          <w:p w14:paraId="1F4C316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(0.0084)</w:t>
            </w:r>
          </w:p>
        </w:tc>
        <w:tc>
          <w:tcPr>
            <w:tcW w:w="1152" w:type="dxa"/>
            <w:tcBorders>
              <w:top w:val="nil"/>
              <w:left w:val="nil"/>
              <w:bottom w:val="nil"/>
              <w:right w:val="nil"/>
            </w:tcBorders>
          </w:tcPr>
          <w:p w14:paraId="490F19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(0.0086)</w:t>
            </w:r>
          </w:p>
        </w:tc>
      </w:tr>
      <w:tr w:rsidR="003E148C" w:rsidRPr="00BD2A98" w14:paraId="46F506E1" w14:textId="77777777" w:rsidTr="0026218B">
        <w:tc>
          <w:tcPr>
            <w:tcW w:w="0" w:type="auto"/>
            <w:tcBorders>
              <w:top w:val="nil"/>
              <w:left w:val="nil"/>
              <w:bottom w:val="nil"/>
              <w:right w:val="nil"/>
            </w:tcBorders>
          </w:tcPr>
          <w:p w14:paraId="19080AD6"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deregulation*Gender pay gap</w:t>
            </w:r>
          </w:p>
        </w:tc>
        <w:tc>
          <w:tcPr>
            <w:tcW w:w="1152" w:type="dxa"/>
            <w:tcBorders>
              <w:top w:val="nil"/>
              <w:left w:val="nil"/>
              <w:bottom w:val="nil"/>
              <w:right w:val="nil"/>
            </w:tcBorders>
          </w:tcPr>
          <w:p w14:paraId="6494602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-0.1346</w:t>
            </w:r>
          </w:p>
        </w:tc>
        <w:tc>
          <w:tcPr>
            <w:tcW w:w="1152" w:type="dxa"/>
            <w:tcBorders>
              <w:top w:val="nil"/>
              <w:left w:val="nil"/>
              <w:bottom w:val="nil"/>
              <w:right w:val="nil"/>
            </w:tcBorders>
          </w:tcPr>
          <w:p w14:paraId="2B3A6D2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-0.0308</w:t>
            </w:r>
          </w:p>
        </w:tc>
        <w:tc>
          <w:tcPr>
            <w:tcW w:w="1152" w:type="dxa"/>
            <w:tcBorders>
              <w:top w:val="nil"/>
              <w:left w:val="nil"/>
              <w:bottom w:val="nil"/>
              <w:right w:val="nil"/>
            </w:tcBorders>
          </w:tcPr>
          <w:p w14:paraId="7B7B0E1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-0.0278</w:t>
            </w:r>
          </w:p>
        </w:tc>
        <w:tc>
          <w:tcPr>
            <w:tcW w:w="1152" w:type="dxa"/>
            <w:tcBorders>
              <w:top w:val="nil"/>
              <w:left w:val="nil"/>
              <w:bottom w:val="nil"/>
              <w:right w:val="nil"/>
            </w:tcBorders>
          </w:tcPr>
          <w:p w14:paraId="3AD98CA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-0.0267</w:t>
            </w:r>
          </w:p>
        </w:tc>
      </w:tr>
      <w:tr w:rsidR="003E148C" w:rsidRPr="00BD2A98" w14:paraId="5E0D7A68" w14:textId="77777777" w:rsidTr="0026218B">
        <w:tc>
          <w:tcPr>
            <w:tcW w:w="0" w:type="auto"/>
            <w:tcBorders>
              <w:top w:val="nil"/>
              <w:left w:val="nil"/>
              <w:bottom w:val="nil"/>
              <w:right w:val="nil"/>
            </w:tcBorders>
          </w:tcPr>
          <w:p w14:paraId="4115D262"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7D34E1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(0.0361)</w:t>
            </w:r>
          </w:p>
        </w:tc>
        <w:tc>
          <w:tcPr>
            <w:tcW w:w="1152" w:type="dxa"/>
            <w:tcBorders>
              <w:top w:val="nil"/>
              <w:left w:val="nil"/>
              <w:bottom w:val="nil"/>
              <w:right w:val="nil"/>
            </w:tcBorders>
          </w:tcPr>
          <w:p w14:paraId="70CE0EA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(0.0135)</w:t>
            </w:r>
          </w:p>
        </w:tc>
        <w:tc>
          <w:tcPr>
            <w:tcW w:w="1152" w:type="dxa"/>
            <w:tcBorders>
              <w:top w:val="nil"/>
              <w:left w:val="nil"/>
              <w:bottom w:val="nil"/>
              <w:right w:val="nil"/>
            </w:tcBorders>
          </w:tcPr>
          <w:p w14:paraId="2C143C6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(0.0138)</w:t>
            </w:r>
          </w:p>
        </w:tc>
        <w:tc>
          <w:tcPr>
            <w:tcW w:w="1152" w:type="dxa"/>
            <w:tcBorders>
              <w:top w:val="nil"/>
              <w:left w:val="nil"/>
              <w:bottom w:val="nil"/>
              <w:right w:val="nil"/>
            </w:tcBorders>
          </w:tcPr>
          <w:p w14:paraId="1F5D6C3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(0.0144)</w:t>
            </w:r>
          </w:p>
        </w:tc>
      </w:tr>
      <w:tr w:rsidR="003E148C" w:rsidRPr="00BD2A98" w14:paraId="2FCCA373" w14:textId="77777777" w:rsidTr="0026218B">
        <w:tc>
          <w:tcPr>
            <w:tcW w:w="0" w:type="auto"/>
            <w:tcBorders>
              <w:top w:val="nil"/>
              <w:left w:val="nil"/>
              <w:bottom w:val="nil"/>
              <w:right w:val="nil"/>
            </w:tcBorders>
          </w:tcPr>
          <w:p w14:paraId="461DCE5C" w14:textId="77777777" w:rsidR="003E148C" w:rsidRPr="00BD2A98" w:rsidRDefault="003E148C" w:rsidP="0026218B">
            <w:pPr>
              <w:widowControl w:val="0"/>
              <w:autoSpaceDE w:val="0"/>
              <w:autoSpaceDN w:val="0"/>
              <w:adjustRightInd w:val="0"/>
              <w:rPr>
                <w:sz w:val="20"/>
                <w:szCs w:val="20"/>
              </w:rPr>
            </w:pPr>
            <w:r w:rsidRPr="00BD2A98">
              <w:rPr>
                <w:sz w:val="20"/>
                <w:szCs w:val="20"/>
              </w:rPr>
              <w:t>Female* Gender pay gap</w:t>
            </w:r>
          </w:p>
        </w:tc>
        <w:tc>
          <w:tcPr>
            <w:tcW w:w="1152" w:type="dxa"/>
            <w:tcBorders>
              <w:top w:val="nil"/>
              <w:left w:val="nil"/>
              <w:bottom w:val="nil"/>
              <w:right w:val="nil"/>
            </w:tcBorders>
          </w:tcPr>
          <w:p w14:paraId="00826C7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-0.2376</w:t>
            </w:r>
          </w:p>
        </w:tc>
        <w:tc>
          <w:tcPr>
            <w:tcW w:w="1152" w:type="dxa"/>
            <w:tcBorders>
              <w:top w:val="nil"/>
              <w:left w:val="nil"/>
              <w:bottom w:val="nil"/>
              <w:right w:val="nil"/>
            </w:tcBorders>
          </w:tcPr>
          <w:p w14:paraId="2687472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-0.0621</w:t>
            </w:r>
          </w:p>
        </w:tc>
        <w:tc>
          <w:tcPr>
            <w:tcW w:w="1152" w:type="dxa"/>
            <w:tcBorders>
              <w:top w:val="nil"/>
              <w:left w:val="nil"/>
              <w:bottom w:val="nil"/>
              <w:right w:val="nil"/>
            </w:tcBorders>
          </w:tcPr>
          <w:p w14:paraId="2EC07E2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0.0189</w:t>
            </w:r>
          </w:p>
        </w:tc>
        <w:tc>
          <w:tcPr>
            <w:tcW w:w="1152" w:type="dxa"/>
            <w:tcBorders>
              <w:top w:val="nil"/>
              <w:left w:val="nil"/>
              <w:bottom w:val="nil"/>
              <w:right w:val="nil"/>
            </w:tcBorders>
          </w:tcPr>
          <w:p w14:paraId="29B56AB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0.0587</w:t>
            </w:r>
          </w:p>
        </w:tc>
      </w:tr>
      <w:tr w:rsidR="003E148C" w:rsidRPr="00BD2A98" w14:paraId="20FD33DD" w14:textId="77777777" w:rsidTr="0026218B">
        <w:tc>
          <w:tcPr>
            <w:tcW w:w="0" w:type="auto"/>
            <w:tcBorders>
              <w:top w:val="nil"/>
              <w:left w:val="nil"/>
              <w:bottom w:val="nil"/>
              <w:right w:val="nil"/>
            </w:tcBorders>
          </w:tcPr>
          <w:p w14:paraId="58A7393F"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24C0C8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(0.0197)</w:t>
            </w:r>
          </w:p>
        </w:tc>
        <w:tc>
          <w:tcPr>
            <w:tcW w:w="1152" w:type="dxa"/>
            <w:tcBorders>
              <w:top w:val="nil"/>
              <w:left w:val="nil"/>
              <w:bottom w:val="nil"/>
              <w:right w:val="nil"/>
            </w:tcBorders>
          </w:tcPr>
          <w:p w14:paraId="5A886E2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(0.0127)</w:t>
            </w:r>
          </w:p>
        </w:tc>
        <w:tc>
          <w:tcPr>
            <w:tcW w:w="1152" w:type="dxa"/>
            <w:tcBorders>
              <w:top w:val="nil"/>
              <w:left w:val="nil"/>
              <w:bottom w:val="nil"/>
              <w:right w:val="nil"/>
            </w:tcBorders>
          </w:tcPr>
          <w:p w14:paraId="3EF6BE5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(0.0090)</w:t>
            </w:r>
          </w:p>
        </w:tc>
        <w:tc>
          <w:tcPr>
            <w:tcW w:w="1152" w:type="dxa"/>
            <w:tcBorders>
              <w:top w:val="nil"/>
              <w:left w:val="nil"/>
              <w:bottom w:val="nil"/>
              <w:right w:val="nil"/>
            </w:tcBorders>
          </w:tcPr>
          <w:p w14:paraId="1AF0BFD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(0.0154)</w:t>
            </w:r>
          </w:p>
        </w:tc>
      </w:tr>
      <w:tr w:rsidR="003E148C" w:rsidRPr="00BD2A98" w14:paraId="27C19D70" w14:textId="77777777" w:rsidTr="0026218B">
        <w:tc>
          <w:tcPr>
            <w:tcW w:w="0" w:type="auto"/>
            <w:tcBorders>
              <w:top w:val="nil"/>
              <w:left w:val="nil"/>
              <w:bottom w:val="nil"/>
              <w:right w:val="nil"/>
            </w:tcBorders>
          </w:tcPr>
          <w:p w14:paraId="2CBB7011"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deregulation*Female*Gender pay gap</w:t>
            </w:r>
          </w:p>
        </w:tc>
        <w:tc>
          <w:tcPr>
            <w:tcW w:w="1152" w:type="dxa"/>
            <w:tcBorders>
              <w:top w:val="nil"/>
              <w:left w:val="nil"/>
              <w:bottom w:val="nil"/>
              <w:right w:val="nil"/>
            </w:tcBorders>
          </w:tcPr>
          <w:p w14:paraId="2DC6FA4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0.0877</w:t>
            </w:r>
          </w:p>
        </w:tc>
        <w:tc>
          <w:tcPr>
            <w:tcW w:w="1152" w:type="dxa"/>
            <w:tcBorders>
              <w:top w:val="nil"/>
              <w:left w:val="nil"/>
              <w:bottom w:val="nil"/>
              <w:right w:val="nil"/>
            </w:tcBorders>
          </w:tcPr>
          <w:p w14:paraId="457CD8F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-0.0458</w:t>
            </w:r>
          </w:p>
        </w:tc>
        <w:tc>
          <w:tcPr>
            <w:tcW w:w="1152" w:type="dxa"/>
            <w:tcBorders>
              <w:top w:val="nil"/>
              <w:left w:val="nil"/>
              <w:bottom w:val="nil"/>
              <w:right w:val="nil"/>
            </w:tcBorders>
          </w:tcPr>
          <w:p w14:paraId="619CBE7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-0.0386</w:t>
            </w:r>
          </w:p>
        </w:tc>
        <w:tc>
          <w:tcPr>
            <w:tcW w:w="1152" w:type="dxa"/>
            <w:tcBorders>
              <w:top w:val="nil"/>
              <w:left w:val="nil"/>
              <w:bottom w:val="nil"/>
              <w:right w:val="nil"/>
            </w:tcBorders>
          </w:tcPr>
          <w:p w14:paraId="5543DEA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-0.0459</w:t>
            </w:r>
          </w:p>
        </w:tc>
      </w:tr>
      <w:tr w:rsidR="003E148C" w:rsidRPr="00BD2A98" w14:paraId="635A7A34" w14:textId="77777777" w:rsidTr="0026218B">
        <w:tc>
          <w:tcPr>
            <w:tcW w:w="0" w:type="auto"/>
            <w:tcBorders>
              <w:top w:val="nil"/>
              <w:left w:val="nil"/>
              <w:bottom w:val="nil"/>
              <w:right w:val="nil"/>
            </w:tcBorders>
          </w:tcPr>
          <w:p w14:paraId="49C19353"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23DB57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(0.0175)</w:t>
            </w:r>
          </w:p>
        </w:tc>
        <w:tc>
          <w:tcPr>
            <w:tcW w:w="1152" w:type="dxa"/>
            <w:tcBorders>
              <w:top w:val="nil"/>
              <w:left w:val="nil"/>
              <w:bottom w:val="nil"/>
              <w:right w:val="nil"/>
            </w:tcBorders>
          </w:tcPr>
          <w:p w14:paraId="34684A3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(0.0099)</w:t>
            </w:r>
          </w:p>
        </w:tc>
        <w:tc>
          <w:tcPr>
            <w:tcW w:w="1152" w:type="dxa"/>
            <w:tcBorders>
              <w:top w:val="nil"/>
              <w:left w:val="nil"/>
              <w:bottom w:val="nil"/>
              <w:right w:val="nil"/>
            </w:tcBorders>
          </w:tcPr>
          <w:p w14:paraId="1FF2DBB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(0.0077)</w:t>
            </w:r>
          </w:p>
        </w:tc>
        <w:tc>
          <w:tcPr>
            <w:tcW w:w="1152" w:type="dxa"/>
            <w:tcBorders>
              <w:top w:val="nil"/>
              <w:left w:val="nil"/>
              <w:bottom w:val="nil"/>
              <w:right w:val="nil"/>
            </w:tcBorders>
          </w:tcPr>
          <w:p w14:paraId="42E4EC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(0.0099)</w:t>
            </w:r>
          </w:p>
        </w:tc>
      </w:tr>
      <w:tr w:rsidR="003E148C" w:rsidRPr="00BD2A98" w14:paraId="4FCDB941" w14:textId="77777777" w:rsidTr="0026218B">
        <w:tc>
          <w:tcPr>
            <w:tcW w:w="0" w:type="auto"/>
            <w:tcBorders>
              <w:top w:val="nil"/>
              <w:left w:val="nil"/>
              <w:bottom w:val="nil"/>
              <w:right w:val="nil"/>
            </w:tcBorders>
          </w:tcPr>
          <w:p w14:paraId="210F068B" w14:textId="77777777" w:rsidR="003E148C" w:rsidRPr="00BD2A98" w:rsidRDefault="003E148C" w:rsidP="0026218B">
            <w:pPr>
              <w:widowControl w:val="0"/>
              <w:autoSpaceDE w:val="0"/>
              <w:autoSpaceDN w:val="0"/>
              <w:adjustRightInd w:val="0"/>
              <w:rPr>
                <w:sz w:val="20"/>
                <w:szCs w:val="20"/>
              </w:rPr>
            </w:pPr>
            <w:r w:rsidRPr="00BD2A98">
              <w:rPr>
                <w:sz w:val="20"/>
                <w:szCs w:val="20"/>
              </w:rPr>
              <w:t>Age</w:t>
            </w:r>
          </w:p>
        </w:tc>
        <w:tc>
          <w:tcPr>
            <w:tcW w:w="1152" w:type="dxa"/>
            <w:tcBorders>
              <w:top w:val="nil"/>
              <w:left w:val="nil"/>
              <w:bottom w:val="nil"/>
              <w:right w:val="nil"/>
            </w:tcBorders>
          </w:tcPr>
          <w:p w14:paraId="587ABA5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0.0294</w:t>
            </w:r>
          </w:p>
        </w:tc>
        <w:tc>
          <w:tcPr>
            <w:tcW w:w="1152" w:type="dxa"/>
            <w:tcBorders>
              <w:top w:val="nil"/>
              <w:left w:val="nil"/>
              <w:bottom w:val="nil"/>
              <w:right w:val="nil"/>
            </w:tcBorders>
          </w:tcPr>
          <w:p w14:paraId="774A9BA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0.0277</w:t>
            </w:r>
          </w:p>
        </w:tc>
        <w:tc>
          <w:tcPr>
            <w:tcW w:w="1152" w:type="dxa"/>
            <w:tcBorders>
              <w:top w:val="nil"/>
              <w:left w:val="nil"/>
              <w:bottom w:val="nil"/>
              <w:right w:val="nil"/>
            </w:tcBorders>
          </w:tcPr>
          <w:p w14:paraId="0441400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0.0249</w:t>
            </w:r>
          </w:p>
        </w:tc>
        <w:tc>
          <w:tcPr>
            <w:tcW w:w="1152" w:type="dxa"/>
            <w:tcBorders>
              <w:top w:val="nil"/>
              <w:left w:val="nil"/>
              <w:bottom w:val="nil"/>
              <w:right w:val="nil"/>
            </w:tcBorders>
          </w:tcPr>
          <w:p w14:paraId="56427D4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0.0245</w:t>
            </w:r>
          </w:p>
        </w:tc>
      </w:tr>
      <w:tr w:rsidR="003E148C" w:rsidRPr="00BD2A98" w14:paraId="593D203E" w14:textId="77777777" w:rsidTr="0026218B">
        <w:tc>
          <w:tcPr>
            <w:tcW w:w="0" w:type="auto"/>
            <w:tcBorders>
              <w:top w:val="nil"/>
              <w:left w:val="nil"/>
              <w:bottom w:val="nil"/>
              <w:right w:val="nil"/>
            </w:tcBorders>
          </w:tcPr>
          <w:p w14:paraId="2248DAFE"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6005F6B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(0.0019)</w:t>
            </w:r>
          </w:p>
        </w:tc>
        <w:tc>
          <w:tcPr>
            <w:tcW w:w="1152" w:type="dxa"/>
            <w:tcBorders>
              <w:top w:val="nil"/>
              <w:left w:val="nil"/>
              <w:bottom w:val="nil"/>
              <w:right w:val="nil"/>
            </w:tcBorders>
          </w:tcPr>
          <w:p w14:paraId="5FD6F6B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c>
          <w:tcPr>
            <w:tcW w:w="1152" w:type="dxa"/>
            <w:tcBorders>
              <w:top w:val="nil"/>
              <w:left w:val="nil"/>
              <w:bottom w:val="nil"/>
              <w:right w:val="nil"/>
            </w:tcBorders>
          </w:tcPr>
          <w:p w14:paraId="54C4A1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1152" w:type="dxa"/>
            <w:tcBorders>
              <w:top w:val="nil"/>
              <w:left w:val="nil"/>
              <w:bottom w:val="nil"/>
              <w:right w:val="nil"/>
            </w:tcBorders>
          </w:tcPr>
          <w:p w14:paraId="16691AF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r>
      <w:tr w:rsidR="003E148C" w:rsidRPr="00BD2A98" w14:paraId="0EF5E722" w14:textId="77777777" w:rsidTr="0026218B">
        <w:tc>
          <w:tcPr>
            <w:tcW w:w="0" w:type="auto"/>
            <w:tcBorders>
              <w:top w:val="nil"/>
              <w:left w:val="nil"/>
              <w:bottom w:val="nil"/>
              <w:right w:val="nil"/>
            </w:tcBorders>
          </w:tcPr>
          <w:p w14:paraId="190ADD8B" w14:textId="77777777" w:rsidR="003E148C" w:rsidRPr="00BD2A98" w:rsidRDefault="003E148C" w:rsidP="0026218B">
            <w:pPr>
              <w:widowControl w:val="0"/>
              <w:autoSpaceDE w:val="0"/>
              <w:autoSpaceDN w:val="0"/>
              <w:adjustRightInd w:val="0"/>
              <w:rPr>
                <w:sz w:val="20"/>
                <w:szCs w:val="20"/>
              </w:rPr>
            </w:pPr>
            <w:r w:rsidRPr="00BD2A98">
              <w:rPr>
                <w:sz w:val="20"/>
                <w:szCs w:val="20"/>
              </w:rPr>
              <w:t>Age squared</w:t>
            </w:r>
          </w:p>
        </w:tc>
        <w:tc>
          <w:tcPr>
            <w:tcW w:w="1152" w:type="dxa"/>
            <w:tcBorders>
              <w:top w:val="nil"/>
              <w:left w:val="nil"/>
              <w:bottom w:val="nil"/>
              <w:right w:val="nil"/>
            </w:tcBorders>
          </w:tcPr>
          <w:p w14:paraId="50E1CA0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tcPr>
          <w:p w14:paraId="010F5E2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tcPr>
          <w:p w14:paraId="459BFD8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1152" w:type="dxa"/>
            <w:tcBorders>
              <w:top w:val="nil"/>
              <w:left w:val="nil"/>
              <w:bottom w:val="nil"/>
              <w:right w:val="nil"/>
            </w:tcBorders>
          </w:tcPr>
          <w:p w14:paraId="0C5AB59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r>
      <w:tr w:rsidR="003E148C" w:rsidRPr="00BD2A98" w14:paraId="4735DE07" w14:textId="77777777" w:rsidTr="0026218B">
        <w:tc>
          <w:tcPr>
            <w:tcW w:w="0" w:type="auto"/>
            <w:tcBorders>
              <w:top w:val="nil"/>
              <w:left w:val="nil"/>
              <w:bottom w:val="nil"/>
              <w:right w:val="nil"/>
            </w:tcBorders>
          </w:tcPr>
          <w:p w14:paraId="0AB0C571"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3A933B7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tcPr>
          <w:p w14:paraId="3D5D460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tcPr>
          <w:p w14:paraId="3E53854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1152" w:type="dxa"/>
            <w:tcBorders>
              <w:top w:val="nil"/>
              <w:left w:val="nil"/>
              <w:bottom w:val="nil"/>
              <w:right w:val="nil"/>
            </w:tcBorders>
          </w:tcPr>
          <w:p w14:paraId="252CEAB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r>
      <w:tr w:rsidR="003E148C" w:rsidRPr="00BD2A98" w14:paraId="74A3BD0F" w14:textId="77777777" w:rsidTr="0026218B">
        <w:tc>
          <w:tcPr>
            <w:tcW w:w="0" w:type="auto"/>
            <w:tcBorders>
              <w:top w:val="nil"/>
              <w:left w:val="nil"/>
              <w:bottom w:val="nil"/>
              <w:right w:val="nil"/>
            </w:tcBorders>
          </w:tcPr>
          <w:p w14:paraId="78938111" w14:textId="77777777" w:rsidR="003E148C" w:rsidRPr="00BD2A98" w:rsidRDefault="003E148C" w:rsidP="0026218B">
            <w:pPr>
              <w:widowControl w:val="0"/>
              <w:autoSpaceDE w:val="0"/>
              <w:autoSpaceDN w:val="0"/>
              <w:adjustRightInd w:val="0"/>
              <w:rPr>
                <w:sz w:val="20"/>
                <w:szCs w:val="20"/>
              </w:rPr>
            </w:pPr>
            <w:r w:rsidRPr="00BD2A98">
              <w:rPr>
                <w:sz w:val="20"/>
                <w:szCs w:val="20"/>
              </w:rPr>
              <w:t>Mid education</w:t>
            </w:r>
          </w:p>
        </w:tc>
        <w:tc>
          <w:tcPr>
            <w:tcW w:w="1152" w:type="dxa"/>
            <w:tcBorders>
              <w:top w:val="nil"/>
              <w:left w:val="nil"/>
              <w:bottom w:val="nil"/>
              <w:right w:val="nil"/>
            </w:tcBorders>
          </w:tcPr>
          <w:p w14:paraId="4DCB50C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0.1237</w:t>
            </w:r>
          </w:p>
        </w:tc>
        <w:tc>
          <w:tcPr>
            <w:tcW w:w="1152" w:type="dxa"/>
            <w:tcBorders>
              <w:top w:val="nil"/>
              <w:left w:val="nil"/>
              <w:bottom w:val="nil"/>
              <w:right w:val="nil"/>
            </w:tcBorders>
          </w:tcPr>
          <w:p w14:paraId="0BE7AA6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0.0062</w:t>
            </w:r>
          </w:p>
        </w:tc>
        <w:tc>
          <w:tcPr>
            <w:tcW w:w="1152" w:type="dxa"/>
            <w:tcBorders>
              <w:top w:val="nil"/>
              <w:left w:val="nil"/>
              <w:bottom w:val="nil"/>
              <w:right w:val="nil"/>
            </w:tcBorders>
          </w:tcPr>
          <w:p w14:paraId="51811AC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0.0012</w:t>
            </w:r>
          </w:p>
        </w:tc>
        <w:tc>
          <w:tcPr>
            <w:tcW w:w="1152" w:type="dxa"/>
            <w:tcBorders>
              <w:top w:val="nil"/>
              <w:left w:val="nil"/>
              <w:bottom w:val="nil"/>
              <w:right w:val="nil"/>
            </w:tcBorders>
          </w:tcPr>
          <w:p w14:paraId="60ECB9E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-0.0005</w:t>
            </w:r>
          </w:p>
        </w:tc>
      </w:tr>
      <w:tr w:rsidR="003E148C" w:rsidRPr="00BD2A98" w14:paraId="33633074" w14:textId="77777777" w:rsidTr="0026218B">
        <w:tc>
          <w:tcPr>
            <w:tcW w:w="0" w:type="auto"/>
            <w:tcBorders>
              <w:top w:val="nil"/>
              <w:left w:val="nil"/>
              <w:bottom w:val="nil"/>
              <w:right w:val="nil"/>
            </w:tcBorders>
          </w:tcPr>
          <w:p w14:paraId="4898DDDD"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2B84330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(0.0128)</w:t>
            </w:r>
          </w:p>
        </w:tc>
        <w:tc>
          <w:tcPr>
            <w:tcW w:w="1152" w:type="dxa"/>
            <w:tcBorders>
              <w:top w:val="nil"/>
              <w:left w:val="nil"/>
              <w:bottom w:val="nil"/>
              <w:right w:val="nil"/>
            </w:tcBorders>
          </w:tcPr>
          <w:p w14:paraId="09A6D29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(0.0010)</w:t>
            </w:r>
          </w:p>
        </w:tc>
        <w:tc>
          <w:tcPr>
            <w:tcW w:w="1152" w:type="dxa"/>
            <w:tcBorders>
              <w:top w:val="nil"/>
              <w:left w:val="nil"/>
              <w:bottom w:val="nil"/>
              <w:right w:val="nil"/>
            </w:tcBorders>
          </w:tcPr>
          <w:p w14:paraId="5FEA8B8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(0.0006)</w:t>
            </w:r>
          </w:p>
        </w:tc>
        <w:tc>
          <w:tcPr>
            <w:tcW w:w="1152" w:type="dxa"/>
            <w:tcBorders>
              <w:top w:val="nil"/>
              <w:left w:val="nil"/>
              <w:bottom w:val="nil"/>
              <w:right w:val="nil"/>
            </w:tcBorders>
          </w:tcPr>
          <w:p w14:paraId="43F89B1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(0.0010)</w:t>
            </w:r>
          </w:p>
        </w:tc>
      </w:tr>
      <w:tr w:rsidR="003E148C" w:rsidRPr="00BD2A98" w14:paraId="044A5404" w14:textId="77777777" w:rsidTr="0026218B">
        <w:tc>
          <w:tcPr>
            <w:tcW w:w="0" w:type="auto"/>
            <w:tcBorders>
              <w:top w:val="nil"/>
              <w:left w:val="nil"/>
              <w:bottom w:val="nil"/>
              <w:right w:val="nil"/>
            </w:tcBorders>
          </w:tcPr>
          <w:p w14:paraId="7F469D37" w14:textId="77777777" w:rsidR="003E148C" w:rsidRPr="00BD2A98" w:rsidRDefault="003E148C" w:rsidP="0026218B">
            <w:pPr>
              <w:widowControl w:val="0"/>
              <w:autoSpaceDE w:val="0"/>
              <w:autoSpaceDN w:val="0"/>
              <w:adjustRightInd w:val="0"/>
              <w:rPr>
                <w:sz w:val="20"/>
                <w:szCs w:val="20"/>
              </w:rPr>
            </w:pPr>
            <w:r w:rsidRPr="00BD2A98">
              <w:rPr>
                <w:sz w:val="20"/>
                <w:szCs w:val="20"/>
              </w:rPr>
              <w:t>High education</w:t>
            </w:r>
          </w:p>
        </w:tc>
        <w:tc>
          <w:tcPr>
            <w:tcW w:w="1152" w:type="dxa"/>
            <w:tcBorders>
              <w:top w:val="nil"/>
              <w:left w:val="nil"/>
              <w:bottom w:val="nil"/>
              <w:right w:val="nil"/>
            </w:tcBorders>
          </w:tcPr>
          <w:p w14:paraId="530A475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0.3952</w:t>
            </w:r>
          </w:p>
        </w:tc>
        <w:tc>
          <w:tcPr>
            <w:tcW w:w="1152" w:type="dxa"/>
            <w:tcBorders>
              <w:top w:val="nil"/>
              <w:left w:val="nil"/>
              <w:bottom w:val="nil"/>
              <w:right w:val="nil"/>
            </w:tcBorders>
          </w:tcPr>
          <w:p w14:paraId="4C5F679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0.1036</w:t>
            </w:r>
          </w:p>
        </w:tc>
        <w:tc>
          <w:tcPr>
            <w:tcW w:w="1152" w:type="dxa"/>
            <w:tcBorders>
              <w:top w:val="nil"/>
              <w:left w:val="nil"/>
              <w:bottom w:val="nil"/>
              <w:right w:val="nil"/>
            </w:tcBorders>
          </w:tcPr>
          <w:p w14:paraId="0314D76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0.0721</w:t>
            </w:r>
          </w:p>
        </w:tc>
        <w:tc>
          <w:tcPr>
            <w:tcW w:w="1152" w:type="dxa"/>
            <w:tcBorders>
              <w:top w:val="nil"/>
              <w:left w:val="nil"/>
              <w:bottom w:val="nil"/>
              <w:right w:val="nil"/>
            </w:tcBorders>
          </w:tcPr>
          <w:p w14:paraId="519961D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0.0504</w:t>
            </w:r>
          </w:p>
        </w:tc>
      </w:tr>
      <w:tr w:rsidR="003E148C" w:rsidRPr="00BD2A98" w14:paraId="4F38D4E1" w14:textId="77777777" w:rsidTr="0026218B">
        <w:tc>
          <w:tcPr>
            <w:tcW w:w="0" w:type="auto"/>
            <w:tcBorders>
              <w:top w:val="nil"/>
              <w:left w:val="nil"/>
              <w:bottom w:val="nil"/>
              <w:right w:val="nil"/>
            </w:tcBorders>
          </w:tcPr>
          <w:p w14:paraId="3285D3B4"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5317675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(0.0116)</w:t>
            </w:r>
          </w:p>
        </w:tc>
        <w:tc>
          <w:tcPr>
            <w:tcW w:w="1152" w:type="dxa"/>
            <w:tcBorders>
              <w:top w:val="nil"/>
              <w:left w:val="nil"/>
              <w:bottom w:val="nil"/>
              <w:right w:val="nil"/>
            </w:tcBorders>
          </w:tcPr>
          <w:p w14:paraId="43E49BB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(0.0045)</w:t>
            </w:r>
          </w:p>
        </w:tc>
        <w:tc>
          <w:tcPr>
            <w:tcW w:w="1152" w:type="dxa"/>
            <w:tcBorders>
              <w:top w:val="nil"/>
              <w:left w:val="nil"/>
              <w:bottom w:val="nil"/>
              <w:right w:val="nil"/>
            </w:tcBorders>
          </w:tcPr>
          <w:p w14:paraId="3435D7C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(0.0049)</w:t>
            </w:r>
          </w:p>
        </w:tc>
        <w:tc>
          <w:tcPr>
            <w:tcW w:w="1152" w:type="dxa"/>
            <w:tcBorders>
              <w:top w:val="nil"/>
              <w:left w:val="nil"/>
              <w:bottom w:val="nil"/>
              <w:right w:val="nil"/>
            </w:tcBorders>
          </w:tcPr>
          <w:p w14:paraId="10A2C3A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(0.0024)</w:t>
            </w:r>
          </w:p>
        </w:tc>
      </w:tr>
      <w:tr w:rsidR="003E148C" w:rsidRPr="00BD2A98" w14:paraId="63C6D07C" w14:textId="77777777" w:rsidTr="0026218B">
        <w:tc>
          <w:tcPr>
            <w:tcW w:w="0" w:type="auto"/>
            <w:tcBorders>
              <w:top w:val="nil"/>
              <w:left w:val="nil"/>
              <w:bottom w:val="nil"/>
              <w:right w:val="nil"/>
            </w:tcBorders>
          </w:tcPr>
          <w:p w14:paraId="524B9534" w14:textId="77777777" w:rsidR="003E148C" w:rsidRPr="00BD2A98" w:rsidRDefault="003E148C" w:rsidP="0026218B">
            <w:pPr>
              <w:widowControl w:val="0"/>
              <w:autoSpaceDE w:val="0"/>
              <w:autoSpaceDN w:val="0"/>
              <w:adjustRightInd w:val="0"/>
              <w:rPr>
                <w:sz w:val="20"/>
                <w:szCs w:val="20"/>
              </w:rPr>
            </w:pPr>
            <w:r w:rsidRPr="00BD2A98">
              <w:rPr>
                <w:sz w:val="20"/>
                <w:szCs w:val="20"/>
              </w:rPr>
              <w:t>Hours worked (ln)</w:t>
            </w:r>
          </w:p>
        </w:tc>
        <w:tc>
          <w:tcPr>
            <w:tcW w:w="1152" w:type="dxa"/>
            <w:tcBorders>
              <w:top w:val="nil"/>
              <w:left w:val="nil"/>
              <w:bottom w:val="nil"/>
              <w:right w:val="nil"/>
            </w:tcBorders>
          </w:tcPr>
          <w:p w14:paraId="38A7C11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0.7024</w:t>
            </w:r>
          </w:p>
        </w:tc>
        <w:tc>
          <w:tcPr>
            <w:tcW w:w="1152" w:type="dxa"/>
            <w:tcBorders>
              <w:top w:val="nil"/>
              <w:left w:val="nil"/>
              <w:bottom w:val="nil"/>
              <w:right w:val="nil"/>
            </w:tcBorders>
          </w:tcPr>
          <w:p w14:paraId="16A730A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0.8282</w:t>
            </w:r>
          </w:p>
        </w:tc>
        <w:tc>
          <w:tcPr>
            <w:tcW w:w="1152" w:type="dxa"/>
            <w:tcBorders>
              <w:top w:val="nil"/>
              <w:left w:val="nil"/>
              <w:bottom w:val="nil"/>
              <w:right w:val="nil"/>
            </w:tcBorders>
          </w:tcPr>
          <w:p w14:paraId="2701367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0.8518</w:t>
            </w:r>
          </w:p>
        </w:tc>
        <w:tc>
          <w:tcPr>
            <w:tcW w:w="1152" w:type="dxa"/>
            <w:tcBorders>
              <w:top w:val="nil"/>
              <w:left w:val="nil"/>
              <w:bottom w:val="nil"/>
              <w:right w:val="nil"/>
            </w:tcBorders>
          </w:tcPr>
          <w:p w14:paraId="7493C3A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0.8197</w:t>
            </w:r>
          </w:p>
        </w:tc>
      </w:tr>
      <w:tr w:rsidR="003E148C" w:rsidRPr="00BD2A98" w14:paraId="266903F4" w14:textId="77777777" w:rsidTr="0026218B">
        <w:tc>
          <w:tcPr>
            <w:tcW w:w="0" w:type="auto"/>
            <w:tcBorders>
              <w:top w:val="nil"/>
              <w:left w:val="nil"/>
              <w:bottom w:val="nil"/>
              <w:right w:val="nil"/>
            </w:tcBorders>
          </w:tcPr>
          <w:p w14:paraId="5D392300"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74009DC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(0.0447)</w:t>
            </w:r>
          </w:p>
        </w:tc>
        <w:tc>
          <w:tcPr>
            <w:tcW w:w="1152" w:type="dxa"/>
            <w:tcBorders>
              <w:top w:val="nil"/>
              <w:left w:val="nil"/>
              <w:bottom w:val="nil"/>
              <w:right w:val="nil"/>
            </w:tcBorders>
          </w:tcPr>
          <w:p w14:paraId="56B2A36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(0.0123)</w:t>
            </w:r>
          </w:p>
        </w:tc>
        <w:tc>
          <w:tcPr>
            <w:tcW w:w="1152" w:type="dxa"/>
            <w:tcBorders>
              <w:top w:val="nil"/>
              <w:left w:val="nil"/>
              <w:bottom w:val="nil"/>
              <w:right w:val="nil"/>
            </w:tcBorders>
          </w:tcPr>
          <w:p w14:paraId="1E338FD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(0.0080)</w:t>
            </w:r>
          </w:p>
        </w:tc>
        <w:tc>
          <w:tcPr>
            <w:tcW w:w="1152" w:type="dxa"/>
            <w:tcBorders>
              <w:top w:val="nil"/>
              <w:left w:val="nil"/>
              <w:bottom w:val="nil"/>
              <w:right w:val="nil"/>
            </w:tcBorders>
          </w:tcPr>
          <w:p w14:paraId="3B221AC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(0.0124)</w:t>
            </w:r>
          </w:p>
        </w:tc>
      </w:tr>
      <w:tr w:rsidR="003E148C" w:rsidRPr="00BD2A98" w14:paraId="4112D3E1" w14:textId="77777777" w:rsidTr="0026218B">
        <w:tc>
          <w:tcPr>
            <w:tcW w:w="0" w:type="auto"/>
            <w:tcBorders>
              <w:top w:val="nil"/>
              <w:left w:val="nil"/>
              <w:bottom w:val="nil"/>
              <w:right w:val="nil"/>
            </w:tcBorders>
          </w:tcPr>
          <w:p w14:paraId="25C97711" w14:textId="77777777" w:rsidR="003E148C" w:rsidRPr="00BD2A98" w:rsidRDefault="003E148C" w:rsidP="0026218B">
            <w:pPr>
              <w:widowControl w:val="0"/>
              <w:autoSpaceDE w:val="0"/>
              <w:autoSpaceDN w:val="0"/>
              <w:adjustRightInd w:val="0"/>
              <w:rPr>
                <w:sz w:val="20"/>
                <w:szCs w:val="20"/>
              </w:rPr>
            </w:pPr>
            <w:r w:rsidRPr="00BD2A98">
              <w:rPr>
                <w:sz w:val="20"/>
                <w:szCs w:val="20"/>
              </w:rPr>
              <w:t>Long term contract</w:t>
            </w:r>
          </w:p>
        </w:tc>
        <w:tc>
          <w:tcPr>
            <w:tcW w:w="1152" w:type="dxa"/>
            <w:tcBorders>
              <w:top w:val="nil"/>
              <w:left w:val="nil"/>
              <w:bottom w:val="nil"/>
              <w:right w:val="nil"/>
            </w:tcBorders>
          </w:tcPr>
          <w:p w14:paraId="3CE98F5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0.0986</w:t>
            </w:r>
          </w:p>
        </w:tc>
        <w:tc>
          <w:tcPr>
            <w:tcW w:w="1152" w:type="dxa"/>
            <w:tcBorders>
              <w:top w:val="nil"/>
              <w:left w:val="nil"/>
              <w:bottom w:val="nil"/>
              <w:right w:val="nil"/>
            </w:tcBorders>
          </w:tcPr>
          <w:p w14:paraId="672C86A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0.0164</w:t>
            </w:r>
          </w:p>
        </w:tc>
        <w:tc>
          <w:tcPr>
            <w:tcW w:w="1152" w:type="dxa"/>
            <w:tcBorders>
              <w:top w:val="nil"/>
              <w:left w:val="nil"/>
              <w:bottom w:val="nil"/>
              <w:right w:val="nil"/>
            </w:tcBorders>
          </w:tcPr>
          <w:p w14:paraId="32364ED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0.0214</w:t>
            </w:r>
          </w:p>
        </w:tc>
        <w:tc>
          <w:tcPr>
            <w:tcW w:w="1152" w:type="dxa"/>
            <w:tcBorders>
              <w:top w:val="nil"/>
              <w:left w:val="nil"/>
              <w:bottom w:val="nil"/>
              <w:right w:val="nil"/>
            </w:tcBorders>
          </w:tcPr>
          <w:p w14:paraId="687A90D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0.0102</w:t>
            </w:r>
          </w:p>
        </w:tc>
      </w:tr>
      <w:tr w:rsidR="003E148C" w:rsidRPr="00BD2A98" w14:paraId="6F571406" w14:textId="77777777" w:rsidTr="0026218B">
        <w:tc>
          <w:tcPr>
            <w:tcW w:w="0" w:type="auto"/>
            <w:tcBorders>
              <w:top w:val="nil"/>
              <w:left w:val="nil"/>
              <w:bottom w:val="nil"/>
              <w:right w:val="nil"/>
            </w:tcBorders>
          </w:tcPr>
          <w:p w14:paraId="0A5747CB"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5169DD2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(0.0103)</w:t>
            </w:r>
          </w:p>
        </w:tc>
        <w:tc>
          <w:tcPr>
            <w:tcW w:w="1152" w:type="dxa"/>
            <w:tcBorders>
              <w:top w:val="nil"/>
              <w:left w:val="nil"/>
              <w:bottom w:val="nil"/>
              <w:right w:val="nil"/>
            </w:tcBorders>
          </w:tcPr>
          <w:p w14:paraId="655734E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c>
          <w:tcPr>
            <w:tcW w:w="1152" w:type="dxa"/>
            <w:tcBorders>
              <w:top w:val="nil"/>
              <w:left w:val="nil"/>
              <w:bottom w:val="nil"/>
              <w:right w:val="nil"/>
            </w:tcBorders>
          </w:tcPr>
          <w:p w14:paraId="5D948FA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(0.0013)</w:t>
            </w:r>
          </w:p>
        </w:tc>
        <w:tc>
          <w:tcPr>
            <w:tcW w:w="1152" w:type="dxa"/>
            <w:tcBorders>
              <w:top w:val="nil"/>
              <w:left w:val="nil"/>
              <w:bottom w:val="nil"/>
              <w:right w:val="nil"/>
            </w:tcBorders>
          </w:tcPr>
          <w:p w14:paraId="2757D36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(0.0009)</w:t>
            </w:r>
          </w:p>
        </w:tc>
      </w:tr>
      <w:tr w:rsidR="003E148C" w:rsidRPr="00BD2A98" w14:paraId="79AC0816" w14:textId="77777777" w:rsidTr="0026218B">
        <w:tc>
          <w:tcPr>
            <w:tcW w:w="0" w:type="auto"/>
            <w:tcBorders>
              <w:top w:val="nil"/>
              <w:left w:val="nil"/>
              <w:bottom w:val="nil"/>
              <w:right w:val="nil"/>
            </w:tcBorders>
          </w:tcPr>
          <w:p w14:paraId="7AA82E0D" w14:textId="77777777" w:rsidR="003E148C" w:rsidRPr="00BD2A98" w:rsidRDefault="003E148C" w:rsidP="0026218B">
            <w:pPr>
              <w:widowControl w:val="0"/>
              <w:autoSpaceDE w:val="0"/>
              <w:autoSpaceDN w:val="0"/>
              <w:adjustRightInd w:val="0"/>
              <w:rPr>
                <w:sz w:val="20"/>
                <w:szCs w:val="20"/>
              </w:rPr>
            </w:pPr>
            <w:r w:rsidRPr="00BD2A98">
              <w:rPr>
                <w:sz w:val="20"/>
                <w:szCs w:val="20"/>
              </w:rPr>
              <w:t>Mid qualification</w:t>
            </w:r>
          </w:p>
        </w:tc>
        <w:tc>
          <w:tcPr>
            <w:tcW w:w="1152" w:type="dxa"/>
            <w:tcBorders>
              <w:top w:val="nil"/>
              <w:left w:val="nil"/>
              <w:bottom w:val="nil"/>
              <w:right w:val="nil"/>
            </w:tcBorders>
          </w:tcPr>
          <w:p w14:paraId="20FB9CF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0.1270</w:t>
            </w:r>
          </w:p>
        </w:tc>
        <w:tc>
          <w:tcPr>
            <w:tcW w:w="1152" w:type="dxa"/>
            <w:tcBorders>
              <w:top w:val="nil"/>
              <w:left w:val="nil"/>
              <w:bottom w:val="nil"/>
              <w:right w:val="nil"/>
            </w:tcBorders>
          </w:tcPr>
          <w:p w14:paraId="6FC0728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0.0556</w:t>
            </w:r>
          </w:p>
        </w:tc>
        <w:tc>
          <w:tcPr>
            <w:tcW w:w="1152" w:type="dxa"/>
            <w:tcBorders>
              <w:top w:val="nil"/>
              <w:left w:val="nil"/>
              <w:bottom w:val="nil"/>
              <w:right w:val="nil"/>
            </w:tcBorders>
          </w:tcPr>
          <w:p w14:paraId="44F6D95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0.0501</w:t>
            </w:r>
          </w:p>
        </w:tc>
        <w:tc>
          <w:tcPr>
            <w:tcW w:w="1152" w:type="dxa"/>
            <w:tcBorders>
              <w:top w:val="nil"/>
              <w:left w:val="nil"/>
              <w:bottom w:val="nil"/>
              <w:right w:val="nil"/>
            </w:tcBorders>
          </w:tcPr>
          <w:p w14:paraId="4CFBF9D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0.0316</w:t>
            </w:r>
          </w:p>
        </w:tc>
      </w:tr>
      <w:tr w:rsidR="003E148C" w:rsidRPr="00BD2A98" w14:paraId="3D70E7C1" w14:textId="77777777" w:rsidTr="0026218B">
        <w:tc>
          <w:tcPr>
            <w:tcW w:w="0" w:type="auto"/>
            <w:tcBorders>
              <w:top w:val="nil"/>
              <w:left w:val="nil"/>
              <w:bottom w:val="nil"/>
              <w:right w:val="nil"/>
            </w:tcBorders>
          </w:tcPr>
          <w:p w14:paraId="57BF3E89"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5ECEE21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c>
          <w:tcPr>
            <w:tcW w:w="1152" w:type="dxa"/>
            <w:tcBorders>
              <w:top w:val="nil"/>
              <w:left w:val="nil"/>
              <w:bottom w:val="nil"/>
              <w:right w:val="nil"/>
            </w:tcBorders>
          </w:tcPr>
          <w:p w14:paraId="41C366E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(0.0019)</w:t>
            </w:r>
          </w:p>
        </w:tc>
        <w:tc>
          <w:tcPr>
            <w:tcW w:w="1152" w:type="dxa"/>
            <w:tcBorders>
              <w:top w:val="nil"/>
              <w:left w:val="nil"/>
              <w:bottom w:val="nil"/>
              <w:right w:val="nil"/>
            </w:tcBorders>
          </w:tcPr>
          <w:p w14:paraId="004FF67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1152" w:type="dxa"/>
            <w:tcBorders>
              <w:top w:val="nil"/>
              <w:left w:val="nil"/>
              <w:bottom w:val="nil"/>
              <w:right w:val="nil"/>
            </w:tcBorders>
          </w:tcPr>
          <w:p w14:paraId="16AE72A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r>
      <w:tr w:rsidR="003E148C" w:rsidRPr="00BD2A98" w14:paraId="15627699" w14:textId="77777777" w:rsidTr="0026218B">
        <w:tc>
          <w:tcPr>
            <w:tcW w:w="0" w:type="auto"/>
            <w:tcBorders>
              <w:top w:val="nil"/>
              <w:left w:val="nil"/>
              <w:bottom w:val="nil"/>
              <w:right w:val="nil"/>
            </w:tcBorders>
          </w:tcPr>
          <w:p w14:paraId="2F77A7B8" w14:textId="77777777" w:rsidR="003E148C" w:rsidRPr="00BD2A98" w:rsidRDefault="003E148C" w:rsidP="0026218B">
            <w:pPr>
              <w:widowControl w:val="0"/>
              <w:autoSpaceDE w:val="0"/>
              <w:autoSpaceDN w:val="0"/>
              <w:adjustRightInd w:val="0"/>
              <w:rPr>
                <w:sz w:val="20"/>
                <w:szCs w:val="20"/>
              </w:rPr>
            </w:pPr>
            <w:r w:rsidRPr="00BD2A98">
              <w:rPr>
                <w:sz w:val="20"/>
                <w:szCs w:val="20"/>
              </w:rPr>
              <w:t>High qualification</w:t>
            </w:r>
          </w:p>
        </w:tc>
        <w:tc>
          <w:tcPr>
            <w:tcW w:w="1152" w:type="dxa"/>
            <w:tcBorders>
              <w:top w:val="nil"/>
              <w:left w:val="nil"/>
              <w:bottom w:val="nil"/>
              <w:right w:val="nil"/>
            </w:tcBorders>
          </w:tcPr>
          <w:p w14:paraId="1C6A0A4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0.3839</w:t>
            </w:r>
          </w:p>
        </w:tc>
        <w:tc>
          <w:tcPr>
            <w:tcW w:w="1152" w:type="dxa"/>
            <w:tcBorders>
              <w:top w:val="nil"/>
              <w:left w:val="nil"/>
              <w:bottom w:val="nil"/>
              <w:right w:val="nil"/>
            </w:tcBorders>
          </w:tcPr>
          <w:p w14:paraId="2B18DD6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0.1373</w:t>
            </w:r>
          </w:p>
        </w:tc>
        <w:tc>
          <w:tcPr>
            <w:tcW w:w="1152" w:type="dxa"/>
            <w:tcBorders>
              <w:top w:val="nil"/>
              <w:left w:val="nil"/>
              <w:bottom w:val="nil"/>
              <w:right w:val="nil"/>
            </w:tcBorders>
          </w:tcPr>
          <w:p w14:paraId="73F24DD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0.1238</w:t>
            </w:r>
          </w:p>
        </w:tc>
        <w:tc>
          <w:tcPr>
            <w:tcW w:w="1152" w:type="dxa"/>
            <w:tcBorders>
              <w:top w:val="nil"/>
              <w:left w:val="nil"/>
              <w:bottom w:val="nil"/>
              <w:right w:val="nil"/>
            </w:tcBorders>
          </w:tcPr>
          <w:p w14:paraId="31A155B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0.0826</w:t>
            </w:r>
          </w:p>
        </w:tc>
      </w:tr>
      <w:tr w:rsidR="003E148C" w:rsidRPr="00BD2A98" w14:paraId="7703F2DE" w14:textId="77777777" w:rsidTr="0026218B">
        <w:tc>
          <w:tcPr>
            <w:tcW w:w="0" w:type="auto"/>
            <w:tcBorders>
              <w:top w:val="nil"/>
              <w:left w:val="nil"/>
              <w:bottom w:val="nil"/>
              <w:right w:val="nil"/>
            </w:tcBorders>
          </w:tcPr>
          <w:p w14:paraId="7D6C7DA1"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461C969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(0.0054)</w:t>
            </w:r>
          </w:p>
        </w:tc>
        <w:tc>
          <w:tcPr>
            <w:tcW w:w="1152" w:type="dxa"/>
            <w:tcBorders>
              <w:top w:val="nil"/>
              <w:left w:val="nil"/>
              <w:bottom w:val="nil"/>
              <w:right w:val="nil"/>
            </w:tcBorders>
          </w:tcPr>
          <w:p w14:paraId="51C986C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(0.0024)</w:t>
            </w:r>
          </w:p>
        </w:tc>
        <w:tc>
          <w:tcPr>
            <w:tcW w:w="1152" w:type="dxa"/>
            <w:tcBorders>
              <w:top w:val="nil"/>
              <w:left w:val="nil"/>
              <w:bottom w:val="nil"/>
              <w:right w:val="nil"/>
            </w:tcBorders>
          </w:tcPr>
          <w:p w14:paraId="3B455AE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(0.0027)</w:t>
            </w:r>
          </w:p>
        </w:tc>
        <w:tc>
          <w:tcPr>
            <w:tcW w:w="1152" w:type="dxa"/>
            <w:tcBorders>
              <w:top w:val="nil"/>
              <w:left w:val="nil"/>
              <w:bottom w:val="nil"/>
              <w:right w:val="nil"/>
            </w:tcBorders>
          </w:tcPr>
          <w:p w14:paraId="6EBD80D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(0.0028)</w:t>
            </w:r>
          </w:p>
        </w:tc>
      </w:tr>
      <w:tr w:rsidR="003E148C" w:rsidRPr="00BD2A98" w14:paraId="016B889E" w14:textId="77777777" w:rsidTr="0026218B">
        <w:tc>
          <w:tcPr>
            <w:tcW w:w="0" w:type="auto"/>
            <w:tcBorders>
              <w:top w:val="nil"/>
              <w:left w:val="nil"/>
              <w:bottom w:val="nil"/>
              <w:right w:val="nil"/>
            </w:tcBorders>
          </w:tcPr>
          <w:p w14:paraId="6D893524" w14:textId="77777777" w:rsidR="003E148C" w:rsidRPr="00BD2A98" w:rsidRDefault="003E148C" w:rsidP="0026218B">
            <w:pPr>
              <w:widowControl w:val="0"/>
              <w:autoSpaceDE w:val="0"/>
              <w:autoSpaceDN w:val="0"/>
              <w:adjustRightInd w:val="0"/>
              <w:rPr>
                <w:sz w:val="20"/>
                <w:szCs w:val="20"/>
              </w:rPr>
            </w:pPr>
            <w:r w:rsidRPr="00BD2A98">
              <w:rPr>
                <w:sz w:val="20"/>
                <w:szCs w:val="20"/>
              </w:rPr>
              <w:t>Workers (ln)</w:t>
            </w:r>
          </w:p>
        </w:tc>
        <w:tc>
          <w:tcPr>
            <w:tcW w:w="1152" w:type="dxa"/>
            <w:tcBorders>
              <w:top w:val="nil"/>
              <w:left w:val="nil"/>
              <w:bottom w:val="nil"/>
              <w:right w:val="nil"/>
            </w:tcBorders>
          </w:tcPr>
          <w:p w14:paraId="43C8A81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0.0632</w:t>
            </w:r>
          </w:p>
        </w:tc>
        <w:tc>
          <w:tcPr>
            <w:tcW w:w="1152" w:type="dxa"/>
            <w:tcBorders>
              <w:top w:val="nil"/>
              <w:left w:val="nil"/>
              <w:bottom w:val="nil"/>
              <w:right w:val="nil"/>
            </w:tcBorders>
          </w:tcPr>
          <w:p w14:paraId="03E4E6C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0.0300</w:t>
            </w:r>
          </w:p>
        </w:tc>
        <w:tc>
          <w:tcPr>
            <w:tcW w:w="1152" w:type="dxa"/>
            <w:tcBorders>
              <w:top w:val="nil"/>
              <w:left w:val="nil"/>
              <w:bottom w:val="nil"/>
              <w:right w:val="nil"/>
            </w:tcBorders>
          </w:tcPr>
          <w:p w14:paraId="7F7710A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0.0329</w:t>
            </w:r>
          </w:p>
        </w:tc>
        <w:tc>
          <w:tcPr>
            <w:tcW w:w="1152" w:type="dxa"/>
            <w:tcBorders>
              <w:top w:val="nil"/>
              <w:left w:val="nil"/>
              <w:bottom w:val="nil"/>
              <w:right w:val="nil"/>
            </w:tcBorders>
          </w:tcPr>
          <w:p w14:paraId="15C6A9C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0.0417</w:t>
            </w:r>
          </w:p>
        </w:tc>
      </w:tr>
      <w:tr w:rsidR="003E148C" w:rsidRPr="00BD2A98" w14:paraId="21659D67" w14:textId="77777777" w:rsidTr="0026218B">
        <w:tc>
          <w:tcPr>
            <w:tcW w:w="0" w:type="auto"/>
            <w:tcBorders>
              <w:top w:val="nil"/>
              <w:left w:val="nil"/>
              <w:bottom w:val="nil"/>
              <w:right w:val="nil"/>
            </w:tcBorders>
          </w:tcPr>
          <w:p w14:paraId="1564C2A8"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558C75C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(0.0013)</w:t>
            </w:r>
          </w:p>
        </w:tc>
        <w:tc>
          <w:tcPr>
            <w:tcW w:w="1152" w:type="dxa"/>
            <w:tcBorders>
              <w:top w:val="nil"/>
              <w:left w:val="nil"/>
              <w:bottom w:val="nil"/>
              <w:right w:val="nil"/>
            </w:tcBorders>
          </w:tcPr>
          <w:p w14:paraId="088F5B5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c>
          <w:tcPr>
            <w:tcW w:w="1152" w:type="dxa"/>
            <w:tcBorders>
              <w:top w:val="nil"/>
              <w:left w:val="nil"/>
              <w:bottom w:val="nil"/>
              <w:right w:val="nil"/>
            </w:tcBorders>
          </w:tcPr>
          <w:p w14:paraId="7EAF634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(0.0024)</w:t>
            </w:r>
          </w:p>
        </w:tc>
        <w:tc>
          <w:tcPr>
            <w:tcW w:w="1152" w:type="dxa"/>
            <w:tcBorders>
              <w:top w:val="nil"/>
              <w:left w:val="nil"/>
              <w:bottom w:val="nil"/>
              <w:right w:val="nil"/>
            </w:tcBorders>
          </w:tcPr>
          <w:p w14:paraId="297FA83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r>
      <w:tr w:rsidR="003E148C" w:rsidRPr="00BD2A98" w14:paraId="4481C6A0" w14:textId="77777777" w:rsidTr="0026218B">
        <w:tc>
          <w:tcPr>
            <w:tcW w:w="0" w:type="auto"/>
            <w:tcBorders>
              <w:top w:val="nil"/>
              <w:left w:val="nil"/>
              <w:bottom w:val="nil"/>
              <w:right w:val="nil"/>
            </w:tcBorders>
          </w:tcPr>
          <w:p w14:paraId="52543436" w14:textId="77777777" w:rsidR="003E148C" w:rsidRPr="00BD2A98" w:rsidRDefault="003E148C" w:rsidP="0026218B">
            <w:pPr>
              <w:widowControl w:val="0"/>
              <w:autoSpaceDE w:val="0"/>
              <w:autoSpaceDN w:val="0"/>
              <w:adjustRightInd w:val="0"/>
              <w:rPr>
                <w:sz w:val="20"/>
                <w:szCs w:val="20"/>
              </w:rPr>
            </w:pPr>
            <w:r w:rsidRPr="00BD2A98">
              <w:rPr>
                <w:sz w:val="20"/>
                <w:szCs w:val="20"/>
              </w:rPr>
              <w:t>Constant</w:t>
            </w:r>
          </w:p>
        </w:tc>
        <w:tc>
          <w:tcPr>
            <w:tcW w:w="1152" w:type="dxa"/>
            <w:tcBorders>
              <w:top w:val="nil"/>
              <w:left w:val="nil"/>
              <w:bottom w:val="nil"/>
              <w:right w:val="nil"/>
            </w:tcBorders>
          </w:tcPr>
          <w:p w14:paraId="0363D3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2.1888</w:t>
            </w:r>
          </w:p>
        </w:tc>
        <w:tc>
          <w:tcPr>
            <w:tcW w:w="1152" w:type="dxa"/>
            <w:tcBorders>
              <w:top w:val="nil"/>
              <w:left w:val="nil"/>
              <w:bottom w:val="nil"/>
              <w:right w:val="nil"/>
            </w:tcBorders>
          </w:tcPr>
          <w:p w14:paraId="27B5FE8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1.6958</w:t>
            </w:r>
          </w:p>
        </w:tc>
        <w:tc>
          <w:tcPr>
            <w:tcW w:w="1152" w:type="dxa"/>
            <w:tcBorders>
              <w:top w:val="nil"/>
              <w:left w:val="nil"/>
              <w:bottom w:val="nil"/>
              <w:right w:val="nil"/>
            </w:tcBorders>
          </w:tcPr>
          <w:p w14:paraId="0BF2C59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1.6412</w:t>
            </w:r>
          </w:p>
        </w:tc>
        <w:tc>
          <w:tcPr>
            <w:tcW w:w="1152" w:type="dxa"/>
            <w:tcBorders>
              <w:top w:val="nil"/>
              <w:left w:val="nil"/>
              <w:bottom w:val="nil"/>
              <w:right w:val="nil"/>
            </w:tcBorders>
          </w:tcPr>
          <w:p w14:paraId="7B92A99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1.7860</w:t>
            </w:r>
          </w:p>
        </w:tc>
      </w:tr>
      <w:tr w:rsidR="003E148C" w:rsidRPr="00BD2A98" w14:paraId="31DB1F93" w14:textId="77777777" w:rsidTr="0026218B">
        <w:tc>
          <w:tcPr>
            <w:tcW w:w="0" w:type="auto"/>
            <w:tcBorders>
              <w:top w:val="nil"/>
              <w:left w:val="nil"/>
              <w:bottom w:val="nil"/>
              <w:right w:val="nil"/>
            </w:tcBorders>
          </w:tcPr>
          <w:p w14:paraId="41ADB2D4" w14:textId="77777777" w:rsidR="003E148C" w:rsidRPr="00BD2A98" w:rsidRDefault="003E148C" w:rsidP="0026218B">
            <w:pPr>
              <w:widowControl w:val="0"/>
              <w:autoSpaceDE w:val="0"/>
              <w:autoSpaceDN w:val="0"/>
              <w:adjustRightInd w:val="0"/>
              <w:rPr>
                <w:sz w:val="20"/>
                <w:szCs w:val="20"/>
              </w:rPr>
            </w:pPr>
          </w:p>
        </w:tc>
        <w:tc>
          <w:tcPr>
            <w:tcW w:w="1152" w:type="dxa"/>
            <w:tcBorders>
              <w:top w:val="nil"/>
              <w:left w:val="nil"/>
              <w:bottom w:val="nil"/>
              <w:right w:val="nil"/>
            </w:tcBorders>
          </w:tcPr>
          <w:p w14:paraId="3FB24C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(0.2191)</w:t>
            </w:r>
          </w:p>
        </w:tc>
        <w:tc>
          <w:tcPr>
            <w:tcW w:w="1152" w:type="dxa"/>
            <w:tcBorders>
              <w:top w:val="nil"/>
              <w:left w:val="nil"/>
              <w:bottom w:val="nil"/>
              <w:right w:val="nil"/>
            </w:tcBorders>
          </w:tcPr>
          <w:p w14:paraId="362EA4E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(0.0651)</w:t>
            </w:r>
          </w:p>
        </w:tc>
        <w:tc>
          <w:tcPr>
            <w:tcW w:w="1152" w:type="dxa"/>
            <w:tcBorders>
              <w:top w:val="nil"/>
              <w:left w:val="nil"/>
              <w:bottom w:val="nil"/>
              <w:right w:val="nil"/>
            </w:tcBorders>
          </w:tcPr>
          <w:p w14:paraId="3678B47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(0.0369)</w:t>
            </w:r>
          </w:p>
        </w:tc>
        <w:tc>
          <w:tcPr>
            <w:tcW w:w="1152" w:type="dxa"/>
            <w:tcBorders>
              <w:top w:val="nil"/>
              <w:left w:val="nil"/>
              <w:bottom w:val="nil"/>
              <w:right w:val="nil"/>
            </w:tcBorders>
          </w:tcPr>
          <w:p w14:paraId="4FB019D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(0.0448)</w:t>
            </w:r>
          </w:p>
        </w:tc>
      </w:tr>
      <w:tr w:rsidR="003E148C" w:rsidRPr="00BD2A98" w14:paraId="07C7170A" w14:textId="77777777" w:rsidTr="0026218B">
        <w:tc>
          <w:tcPr>
            <w:tcW w:w="0" w:type="auto"/>
            <w:tcBorders>
              <w:top w:val="nil"/>
              <w:left w:val="nil"/>
              <w:bottom w:val="nil"/>
              <w:right w:val="nil"/>
            </w:tcBorders>
          </w:tcPr>
          <w:p w14:paraId="3E570A2B" w14:textId="77777777" w:rsidR="003E148C" w:rsidRPr="00BD2A98" w:rsidRDefault="003E148C" w:rsidP="0026218B">
            <w:pPr>
              <w:widowControl w:val="0"/>
              <w:autoSpaceDE w:val="0"/>
              <w:autoSpaceDN w:val="0"/>
              <w:adjustRightInd w:val="0"/>
              <w:rPr>
                <w:sz w:val="20"/>
                <w:szCs w:val="20"/>
              </w:rPr>
            </w:pPr>
            <w:r w:rsidRPr="00BD2A98">
              <w:rPr>
                <w:sz w:val="20"/>
                <w:szCs w:val="20"/>
              </w:rPr>
              <w:t xml:space="preserve">R2 </w:t>
            </w:r>
          </w:p>
        </w:tc>
        <w:tc>
          <w:tcPr>
            <w:tcW w:w="1152" w:type="dxa"/>
            <w:tcBorders>
              <w:top w:val="nil"/>
              <w:left w:val="nil"/>
              <w:bottom w:val="nil"/>
              <w:right w:val="nil"/>
            </w:tcBorders>
          </w:tcPr>
          <w:p w14:paraId="2C2DDD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0.66</w:t>
            </w:r>
          </w:p>
        </w:tc>
        <w:tc>
          <w:tcPr>
            <w:tcW w:w="1152" w:type="dxa"/>
            <w:tcBorders>
              <w:top w:val="nil"/>
              <w:left w:val="nil"/>
              <w:bottom w:val="nil"/>
              <w:right w:val="nil"/>
            </w:tcBorders>
          </w:tcPr>
          <w:p w14:paraId="768BD59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0.93</w:t>
            </w:r>
          </w:p>
        </w:tc>
        <w:tc>
          <w:tcPr>
            <w:tcW w:w="1152" w:type="dxa"/>
            <w:tcBorders>
              <w:top w:val="nil"/>
              <w:left w:val="nil"/>
              <w:bottom w:val="nil"/>
              <w:right w:val="nil"/>
            </w:tcBorders>
          </w:tcPr>
          <w:p w14:paraId="6D8E5A3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c>
          <w:tcPr>
            <w:tcW w:w="1152" w:type="dxa"/>
            <w:tcBorders>
              <w:top w:val="nil"/>
              <w:left w:val="nil"/>
              <w:bottom w:val="nil"/>
              <w:right w:val="nil"/>
            </w:tcBorders>
          </w:tcPr>
          <w:p w14:paraId="092912E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r>
      <w:tr w:rsidR="003E148C" w:rsidRPr="00BD2A98" w14:paraId="2FCB5043" w14:textId="77777777" w:rsidTr="0026218B">
        <w:tc>
          <w:tcPr>
            <w:tcW w:w="0" w:type="auto"/>
            <w:tcBorders>
              <w:top w:val="nil"/>
              <w:left w:val="nil"/>
              <w:bottom w:val="nil"/>
              <w:right w:val="nil"/>
            </w:tcBorders>
          </w:tcPr>
          <w:p w14:paraId="7BCB9C6B" w14:textId="77777777" w:rsidR="003E148C" w:rsidRPr="00BD2A98" w:rsidRDefault="003E148C" w:rsidP="0026218B">
            <w:pPr>
              <w:widowControl w:val="0"/>
              <w:autoSpaceDE w:val="0"/>
              <w:autoSpaceDN w:val="0"/>
              <w:adjustRightInd w:val="0"/>
              <w:rPr>
                <w:sz w:val="20"/>
                <w:szCs w:val="20"/>
              </w:rPr>
            </w:pPr>
            <w:r w:rsidRPr="00BD2A98">
              <w:rPr>
                <w:i/>
                <w:iCs/>
                <w:sz w:val="20"/>
                <w:szCs w:val="20"/>
              </w:rPr>
              <w:t>N</w:t>
            </w:r>
          </w:p>
        </w:tc>
        <w:tc>
          <w:tcPr>
            <w:tcW w:w="1152" w:type="dxa"/>
            <w:tcBorders>
              <w:top w:val="nil"/>
              <w:left w:val="nil"/>
              <w:bottom w:val="nil"/>
              <w:right w:val="nil"/>
            </w:tcBorders>
          </w:tcPr>
          <w:p w14:paraId="4D3CA12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19,319,837</w:t>
            </w:r>
          </w:p>
        </w:tc>
        <w:tc>
          <w:tcPr>
            <w:tcW w:w="1152" w:type="dxa"/>
            <w:tcBorders>
              <w:top w:val="nil"/>
              <w:left w:val="nil"/>
              <w:bottom w:val="nil"/>
              <w:right w:val="nil"/>
            </w:tcBorders>
          </w:tcPr>
          <w:p w14:paraId="29FECE0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18,226,663</w:t>
            </w:r>
          </w:p>
        </w:tc>
        <w:tc>
          <w:tcPr>
            <w:tcW w:w="1152" w:type="dxa"/>
            <w:tcBorders>
              <w:top w:val="nil"/>
              <w:left w:val="nil"/>
              <w:bottom w:val="nil"/>
              <w:right w:val="nil"/>
            </w:tcBorders>
          </w:tcPr>
          <w:p w14:paraId="2F3398B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18,147,279</w:t>
            </w:r>
          </w:p>
        </w:tc>
        <w:tc>
          <w:tcPr>
            <w:tcW w:w="1152" w:type="dxa"/>
            <w:tcBorders>
              <w:top w:val="nil"/>
              <w:left w:val="nil"/>
              <w:bottom w:val="nil"/>
              <w:right w:val="nil"/>
            </w:tcBorders>
          </w:tcPr>
          <w:p w14:paraId="6977B0E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16,357,696</w:t>
            </w:r>
          </w:p>
        </w:tc>
      </w:tr>
      <w:tr w:rsidR="003E148C" w:rsidRPr="00BD2A98" w14:paraId="2B39A94A" w14:textId="77777777" w:rsidTr="0026218B">
        <w:tc>
          <w:tcPr>
            <w:tcW w:w="0" w:type="auto"/>
            <w:tcBorders>
              <w:top w:val="nil"/>
              <w:left w:val="nil"/>
              <w:bottom w:val="nil"/>
              <w:right w:val="nil"/>
            </w:tcBorders>
          </w:tcPr>
          <w:p w14:paraId="25D2DDDA" w14:textId="77777777" w:rsidR="003E148C" w:rsidRPr="00BD2A98" w:rsidRDefault="003E148C" w:rsidP="0026218B">
            <w:pPr>
              <w:widowControl w:val="0"/>
              <w:autoSpaceDE w:val="0"/>
              <w:autoSpaceDN w:val="0"/>
              <w:adjustRightInd w:val="0"/>
              <w:rPr>
                <w:iCs/>
                <w:sz w:val="20"/>
                <w:szCs w:val="20"/>
              </w:rPr>
            </w:pPr>
            <w:r w:rsidRPr="00BD2A98">
              <w:rPr>
                <w:iCs/>
                <w:sz w:val="20"/>
                <w:szCs w:val="20"/>
              </w:rPr>
              <w:t>Occupation</w:t>
            </w:r>
          </w:p>
        </w:tc>
        <w:tc>
          <w:tcPr>
            <w:tcW w:w="1152" w:type="dxa"/>
            <w:tcBorders>
              <w:top w:val="nil"/>
              <w:left w:val="nil"/>
              <w:bottom w:val="nil"/>
              <w:right w:val="nil"/>
            </w:tcBorders>
          </w:tcPr>
          <w:p w14:paraId="2595C0E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7D16F79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7524941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1751767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03199975" w14:textId="77777777" w:rsidTr="0026218B">
        <w:tc>
          <w:tcPr>
            <w:tcW w:w="0" w:type="auto"/>
            <w:tcBorders>
              <w:top w:val="nil"/>
              <w:left w:val="nil"/>
              <w:bottom w:val="nil"/>
              <w:right w:val="nil"/>
            </w:tcBorders>
          </w:tcPr>
          <w:p w14:paraId="5E20465C" w14:textId="77777777" w:rsidR="003E148C" w:rsidRPr="00BD2A98" w:rsidRDefault="003E148C" w:rsidP="0026218B">
            <w:pPr>
              <w:widowControl w:val="0"/>
              <w:autoSpaceDE w:val="0"/>
              <w:autoSpaceDN w:val="0"/>
              <w:adjustRightInd w:val="0"/>
              <w:rPr>
                <w:sz w:val="20"/>
                <w:szCs w:val="20"/>
              </w:rPr>
            </w:pPr>
            <w:r w:rsidRPr="00BD2A98">
              <w:rPr>
                <w:sz w:val="20"/>
                <w:szCs w:val="20"/>
              </w:rPr>
              <w:t>Year FE</w:t>
            </w:r>
          </w:p>
        </w:tc>
        <w:tc>
          <w:tcPr>
            <w:tcW w:w="1152" w:type="dxa"/>
            <w:tcBorders>
              <w:top w:val="nil"/>
              <w:left w:val="nil"/>
              <w:bottom w:val="nil"/>
              <w:right w:val="nil"/>
            </w:tcBorders>
          </w:tcPr>
          <w:p w14:paraId="1738266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6025A48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1F2636A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180B431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5763AA74" w14:textId="77777777" w:rsidTr="0026218B">
        <w:tc>
          <w:tcPr>
            <w:tcW w:w="0" w:type="auto"/>
            <w:tcBorders>
              <w:top w:val="nil"/>
              <w:left w:val="nil"/>
              <w:bottom w:val="nil"/>
              <w:right w:val="nil"/>
            </w:tcBorders>
          </w:tcPr>
          <w:p w14:paraId="0820D7A7" w14:textId="4C8B9598" w:rsidR="003E148C" w:rsidRPr="00BD2A98" w:rsidRDefault="004358A2" w:rsidP="0026218B">
            <w:pPr>
              <w:widowControl w:val="0"/>
              <w:autoSpaceDE w:val="0"/>
              <w:autoSpaceDN w:val="0"/>
              <w:adjustRightInd w:val="0"/>
              <w:rPr>
                <w:sz w:val="20"/>
                <w:szCs w:val="20"/>
              </w:rPr>
            </w:pPr>
            <w:r>
              <w:rPr>
                <w:sz w:val="20"/>
                <w:szCs w:val="20"/>
              </w:rPr>
              <w:t>Municipality</w:t>
            </w:r>
            <w:r w:rsidR="003E148C" w:rsidRPr="00BD2A98">
              <w:rPr>
                <w:sz w:val="20"/>
                <w:szCs w:val="20"/>
              </w:rPr>
              <w:t xml:space="preserve"> FE</w:t>
            </w:r>
          </w:p>
        </w:tc>
        <w:tc>
          <w:tcPr>
            <w:tcW w:w="1152" w:type="dxa"/>
            <w:tcBorders>
              <w:top w:val="nil"/>
              <w:left w:val="nil"/>
              <w:bottom w:val="nil"/>
              <w:right w:val="nil"/>
            </w:tcBorders>
          </w:tcPr>
          <w:p w14:paraId="6EFDD35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1AA1D83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4DF066E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1AA8C39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638E49E1" w14:textId="77777777" w:rsidTr="0026218B">
        <w:tc>
          <w:tcPr>
            <w:tcW w:w="0" w:type="auto"/>
            <w:tcBorders>
              <w:top w:val="nil"/>
              <w:left w:val="nil"/>
              <w:bottom w:val="nil"/>
              <w:right w:val="nil"/>
            </w:tcBorders>
          </w:tcPr>
          <w:p w14:paraId="258F0BFE" w14:textId="77777777" w:rsidR="003E148C" w:rsidRPr="00BD2A98" w:rsidRDefault="003E148C" w:rsidP="0026218B">
            <w:pPr>
              <w:widowControl w:val="0"/>
              <w:autoSpaceDE w:val="0"/>
              <w:autoSpaceDN w:val="0"/>
              <w:adjustRightInd w:val="0"/>
              <w:rPr>
                <w:sz w:val="20"/>
                <w:szCs w:val="20"/>
              </w:rPr>
            </w:pPr>
            <w:r w:rsidRPr="00BD2A98">
              <w:rPr>
                <w:sz w:val="20"/>
                <w:szCs w:val="20"/>
              </w:rPr>
              <w:t>Worker FE</w:t>
            </w:r>
          </w:p>
        </w:tc>
        <w:tc>
          <w:tcPr>
            <w:tcW w:w="1152" w:type="dxa"/>
            <w:tcBorders>
              <w:top w:val="nil"/>
              <w:left w:val="nil"/>
              <w:bottom w:val="nil"/>
              <w:right w:val="nil"/>
            </w:tcBorders>
          </w:tcPr>
          <w:p w14:paraId="7BCBDFAB"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57509F8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4B03DF6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6E9EF79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52E4E2DD" w14:textId="77777777" w:rsidTr="0026218B">
        <w:tc>
          <w:tcPr>
            <w:tcW w:w="0" w:type="auto"/>
            <w:tcBorders>
              <w:top w:val="nil"/>
              <w:left w:val="nil"/>
              <w:bottom w:val="nil"/>
              <w:right w:val="nil"/>
            </w:tcBorders>
          </w:tcPr>
          <w:p w14:paraId="64B522B7" w14:textId="77777777" w:rsidR="003E148C" w:rsidRPr="00BD2A98" w:rsidRDefault="003E148C" w:rsidP="0026218B">
            <w:pPr>
              <w:widowControl w:val="0"/>
              <w:autoSpaceDE w:val="0"/>
              <w:autoSpaceDN w:val="0"/>
              <w:adjustRightInd w:val="0"/>
              <w:rPr>
                <w:sz w:val="20"/>
                <w:szCs w:val="20"/>
              </w:rPr>
            </w:pPr>
            <w:r w:rsidRPr="00BD2A98">
              <w:rPr>
                <w:sz w:val="20"/>
                <w:szCs w:val="20"/>
              </w:rPr>
              <w:t>Firm FE</w:t>
            </w:r>
          </w:p>
        </w:tc>
        <w:tc>
          <w:tcPr>
            <w:tcW w:w="1152" w:type="dxa"/>
            <w:tcBorders>
              <w:top w:val="nil"/>
              <w:left w:val="nil"/>
              <w:bottom w:val="nil"/>
              <w:right w:val="nil"/>
            </w:tcBorders>
          </w:tcPr>
          <w:p w14:paraId="1401A87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1EA98D5E"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nil"/>
              <w:right w:val="nil"/>
            </w:tcBorders>
          </w:tcPr>
          <w:p w14:paraId="69A10D5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1152" w:type="dxa"/>
            <w:tcBorders>
              <w:top w:val="nil"/>
              <w:left w:val="nil"/>
              <w:bottom w:val="nil"/>
              <w:right w:val="nil"/>
            </w:tcBorders>
          </w:tcPr>
          <w:p w14:paraId="6289934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0A4F3208" w14:textId="77777777" w:rsidTr="0026218B">
        <w:tc>
          <w:tcPr>
            <w:tcW w:w="0" w:type="auto"/>
            <w:tcBorders>
              <w:top w:val="nil"/>
              <w:left w:val="nil"/>
              <w:bottom w:val="single" w:sz="6" w:space="0" w:color="auto"/>
              <w:right w:val="nil"/>
            </w:tcBorders>
          </w:tcPr>
          <w:p w14:paraId="31E015B9" w14:textId="77777777" w:rsidR="003E148C" w:rsidRPr="00BD2A98" w:rsidRDefault="003E148C" w:rsidP="0026218B">
            <w:pPr>
              <w:widowControl w:val="0"/>
              <w:autoSpaceDE w:val="0"/>
              <w:autoSpaceDN w:val="0"/>
              <w:adjustRightInd w:val="0"/>
              <w:rPr>
                <w:sz w:val="20"/>
                <w:szCs w:val="20"/>
              </w:rPr>
            </w:pPr>
            <w:r w:rsidRPr="00BD2A98">
              <w:rPr>
                <w:sz w:val="20"/>
                <w:szCs w:val="20"/>
              </w:rPr>
              <w:t>Worker &amp; Firm FE</w:t>
            </w:r>
          </w:p>
        </w:tc>
        <w:tc>
          <w:tcPr>
            <w:tcW w:w="1152" w:type="dxa"/>
            <w:tcBorders>
              <w:top w:val="nil"/>
              <w:left w:val="nil"/>
              <w:bottom w:val="single" w:sz="6" w:space="0" w:color="auto"/>
              <w:right w:val="nil"/>
            </w:tcBorders>
          </w:tcPr>
          <w:p w14:paraId="7CAE2116"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3F3842C0"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6C65A008"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1152" w:type="dxa"/>
            <w:tcBorders>
              <w:top w:val="nil"/>
              <w:left w:val="nil"/>
              <w:bottom w:val="single" w:sz="6" w:space="0" w:color="auto"/>
              <w:right w:val="nil"/>
            </w:tcBorders>
          </w:tcPr>
          <w:p w14:paraId="11B93C6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F93F29" w14:paraId="607ACDB5" w14:textId="77777777" w:rsidTr="0026218B">
        <w:tblPrEx>
          <w:tblCellMar>
            <w:left w:w="70" w:type="dxa"/>
            <w:right w:w="70" w:type="dxa"/>
          </w:tblCellMar>
          <w:tblLook w:val="04A0" w:firstRow="1" w:lastRow="0" w:firstColumn="1" w:lastColumn="0" w:noHBand="0" w:noVBand="1"/>
        </w:tblPrEx>
        <w:trPr>
          <w:trHeight w:val="20"/>
        </w:trPr>
        <w:tc>
          <w:tcPr>
            <w:tcW w:w="1152" w:type="dxa"/>
            <w:gridSpan w:val="5"/>
            <w:tcBorders>
              <w:top w:val="nil"/>
              <w:left w:val="nil"/>
              <w:bottom w:val="nil"/>
              <w:right w:val="nil"/>
            </w:tcBorders>
            <w:shd w:val="clear" w:color="auto" w:fill="auto"/>
            <w:noWrap/>
            <w:vAlign w:val="bottom"/>
            <w:hideMark/>
          </w:tcPr>
          <w:p w14:paraId="1B3F24FD" w14:textId="77777777" w:rsidR="003E148C" w:rsidRPr="00F93F29" w:rsidRDefault="003E148C" w:rsidP="0026218B">
            <w:pPr>
              <w:rPr>
                <w:sz w:val="16"/>
                <w:szCs w:val="16"/>
                <w:lang w:eastAsia="pt-PT"/>
              </w:rPr>
            </w:pPr>
            <w:r w:rsidRPr="00B200A7">
              <w:rPr>
                <w:sz w:val="20"/>
                <w:szCs w:val="20"/>
                <w:lang w:eastAsia="pt-PT"/>
              </w:rPr>
              <w:t>Robust standard errors clustered by municipality in brackets</w:t>
            </w:r>
          </w:p>
        </w:tc>
      </w:tr>
    </w:tbl>
    <w:p w14:paraId="623283C0" w14:textId="77777777" w:rsidR="003E148C" w:rsidRDefault="003E148C" w:rsidP="003E148C">
      <w:pPr>
        <w:pStyle w:val="TableCaption"/>
        <w:spacing w:line="240" w:lineRule="auto"/>
        <w:rPr>
          <w:b/>
        </w:rPr>
      </w:pPr>
    </w:p>
    <w:p w14:paraId="46F54546" w14:textId="77777777" w:rsidR="003E148C" w:rsidRDefault="003E148C" w:rsidP="003E148C">
      <w:pPr>
        <w:spacing w:after="160" w:line="259" w:lineRule="auto"/>
        <w:rPr>
          <w:b/>
          <w:sz w:val="22"/>
          <w:szCs w:val="22"/>
        </w:rPr>
      </w:pPr>
      <w:r>
        <w:rPr>
          <w:b/>
        </w:rPr>
        <w:br w:type="page"/>
      </w:r>
    </w:p>
    <w:p w14:paraId="4A6F772E" w14:textId="77777777" w:rsidR="003E148C" w:rsidRDefault="003E148C" w:rsidP="003E148C">
      <w:pPr>
        <w:pStyle w:val="TableCaption"/>
        <w:spacing w:line="240" w:lineRule="auto"/>
        <w:rPr>
          <w:b/>
        </w:rPr>
      </w:pPr>
      <w:r w:rsidRPr="00B200A7">
        <w:rPr>
          <w:b/>
        </w:rPr>
        <w:t>Table A</w:t>
      </w:r>
      <w:r>
        <w:rPr>
          <w:b/>
        </w:rPr>
        <w:t>7</w:t>
      </w:r>
      <w:r w:rsidRPr="00B200A7">
        <w:rPr>
          <w:b/>
        </w:rPr>
        <w:t xml:space="preserve">. Effect of the reform on entrepreneurship – </w:t>
      </w:r>
      <w:r>
        <w:rPr>
          <w:b/>
        </w:rPr>
        <w:t>industry female representation</w:t>
      </w:r>
    </w:p>
    <w:p w14:paraId="313BF701" w14:textId="77777777" w:rsidR="003E148C" w:rsidRPr="00FD2050" w:rsidRDefault="003E148C" w:rsidP="003E148C">
      <w:pPr>
        <w:pStyle w:val="TableCaption"/>
        <w:spacing w:line="240" w:lineRule="auto"/>
        <w:rPr>
          <w:b/>
          <w:sz w:val="24"/>
          <w:szCs w:val="24"/>
        </w:rPr>
      </w:pPr>
    </w:p>
    <w:tbl>
      <w:tblPr>
        <w:tblW w:w="0" w:type="auto"/>
        <w:tblCellMar>
          <w:left w:w="144" w:type="dxa"/>
          <w:right w:w="144" w:type="dxa"/>
        </w:tblCellMar>
        <w:tblLook w:val="0000" w:firstRow="0" w:lastRow="0" w:firstColumn="0" w:lastColumn="0" w:noHBand="0" w:noVBand="0"/>
      </w:tblPr>
      <w:tblGrid>
        <w:gridCol w:w="4956"/>
        <w:gridCol w:w="1188"/>
        <w:gridCol w:w="73"/>
        <w:gridCol w:w="73"/>
        <w:gridCol w:w="1188"/>
      </w:tblGrid>
      <w:tr w:rsidR="003E148C" w:rsidRPr="008328ED" w14:paraId="42762B44" w14:textId="77777777" w:rsidTr="0026218B">
        <w:tc>
          <w:tcPr>
            <w:tcW w:w="0" w:type="auto"/>
            <w:tcBorders>
              <w:top w:val="single" w:sz="6" w:space="0" w:color="auto"/>
              <w:left w:val="nil"/>
              <w:bottom w:val="nil"/>
              <w:right w:val="nil"/>
            </w:tcBorders>
          </w:tcPr>
          <w:p w14:paraId="647FAC4A" w14:textId="77777777" w:rsidR="003E148C" w:rsidRPr="00564D71" w:rsidRDefault="003E148C" w:rsidP="0026218B">
            <w:pPr>
              <w:widowControl w:val="0"/>
              <w:autoSpaceDE w:val="0"/>
              <w:autoSpaceDN w:val="0"/>
              <w:adjustRightInd w:val="0"/>
              <w:jc w:val="center"/>
              <w:rPr>
                <w:sz w:val="20"/>
                <w:szCs w:val="20"/>
              </w:rPr>
            </w:pPr>
          </w:p>
        </w:tc>
        <w:tc>
          <w:tcPr>
            <w:tcW w:w="0" w:type="auto"/>
            <w:gridSpan w:val="2"/>
            <w:tcBorders>
              <w:top w:val="single" w:sz="6" w:space="0" w:color="auto"/>
              <w:left w:val="nil"/>
              <w:bottom w:val="nil"/>
              <w:right w:val="nil"/>
            </w:tcBorders>
          </w:tcPr>
          <w:p w14:paraId="1101854D"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1</w:t>
            </w:r>
          </w:p>
        </w:tc>
        <w:tc>
          <w:tcPr>
            <w:tcW w:w="0" w:type="auto"/>
            <w:gridSpan w:val="2"/>
            <w:tcBorders>
              <w:top w:val="single" w:sz="6" w:space="0" w:color="auto"/>
              <w:left w:val="nil"/>
              <w:bottom w:val="nil"/>
              <w:right w:val="nil"/>
            </w:tcBorders>
          </w:tcPr>
          <w:p w14:paraId="02639C77"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2</w:t>
            </w:r>
          </w:p>
        </w:tc>
      </w:tr>
      <w:tr w:rsidR="003E148C" w:rsidRPr="00F34D5D" w14:paraId="56712568" w14:textId="77777777" w:rsidTr="0026218B">
        <w:tc>
          <w:tcPr>
            <w:tcW w:w="0" w:type="auto"/>
            <w:tcBorders>
              <w:top w:val="single" w:sz="6" w:space="0" w:color="auto"/>
              <w:left w:val="nil"/>
              <w:bottom w:val="nil"/>
              <w:right w:val="nil"/>
            </w:tcBorders>
          </w:tcPr>
          <w:p w14:paraId="4A66A5B9" w14:textId="77777777" w:rsidR="003E148C" w:rsidRPr="004A2242" w:rsidRDefault="003E148C" w:rsidP="0026218B">
            <w:pPr>
              <w:widowControl w:val="0"/>
              <w:autoSpaceDE w:val="0"/>
              <w:autoSpaceDN w:val="0"/>
              <w:adjustRightInd w:val="0"/>
              <w:rPr>
                <w:iCs/>
                <w:sz w:val="20"/>
                <w:szCs w:val="20"/>
              </w:rPr>
            </w:pPr>
            <w:r w:rsidRPr="004A2242">
              <w:rPr>
                <w:iCs/>
                <w:sz w:val="20"/>
                <w:szCs w:val="20"/>
              </w:rPr>
              <w:t xml:space="preserve">Entry deregulation </w:t>
            </w:r>
          </w:p>
        </w:tc>
        <w:tc>
          <w:tcPr>
            <w:tcW w:w="0" w:type="auto"/>
            <w:gridSpan w:val="2"/>
            <w:tcBorders>
              <w:top w:val="single" w:sz="6" w:space="0" w:color="auto"/>
              <w:left w:val="nil"/>
              <w:bottom w:val="nil"/>
              <w:right w:val="nil"/>
            </w:tcBorders>
          </w:tcPr>
          <w:p w14:paraId="5EF088C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-0.0004</w:t>
            </w:r>
          </w:p>
        </w:tc>
        <w:tc>
          <w:tcPr>
            <w:tcW w:w="0" w:type="auto"/>
            <w:gridSpan w:val="2"/>
            <w:tcBorders>
              <w:top w:val="single" w:sz="6" w:space="0" w:color="auto"/>
              <w:left w:val="nil"/>
              <w:bottom w:val="nil"/>
              <w:right w:val="nil"/>
            </w:tcBorders>
          </w:tcPr>
          <w:p w14:paraId="4CBBA9E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-0.0002</w:t>
            </w:r>
          </w:p>
        </w:tc>
      </w:tr>
      <w:tr w:rsidR="003E148C" w:rsidRPr="00F34D5D" w14:paraId="50F0F726" w14:textId="77777777" w:rsidTr="0026218B">
        <w:tc>
          <w:tcPr>
            <w:tcW w:w="0" w:type="auto"/>
            <w:tcBorders>
              <w:top w:val="nil"/>
              <w:left w:val="nil"/>
              <w:bottom w:val="nil"/>
              <w:right w:val="nil"/>
            </w:tcBorders>
          </w:tcPr>
          <w:p w14:paraId="4DB4EC9C"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30E5F0B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(0.0004)</w:t>
            </w:r>
          </w:p>
        </w:tc>
        <w:tc>
          <w:tcPr>
            <w:tcW w:w="0" w:type="auto"/>
            <w:gridSpan w:val="2"/>
            <w:tcBorders>
              <w:top w:val="nil"/>
              <w:left w:val="nil"/>
              <w:bottom w:val="nil"/>
              <w:right w:val="nil"/>
            </w:tcBorders>
          </w:tcPr>
          <w:p w14:paraId="00517B3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(0.0005)</w:t>
            </w:r>
          </w:p>
        </w:tc>
      </w:tr>
      <w:tr w:rsidR="003E148C" w:rsidRPr="00F34D5D" w14:paraId="70332A3A" w14:textId="77777777" w:rsidTr="0026218B">
        <w:tc>
          <w:tcPr>
            <w:tcW w:w="0" w:type="auto"/>
            <w:tcBorders>
              <w:top w:val="nil"/>
              <w:left w:val="nil"/>
              <w:bottom w:val="nil"/>
              <w:right w:val="nil"/>
            </w:tcBorders>
          </w:tcPr>
          <w:p w14:paraId="4746448C" w14:textId="77777777" w:rsidR="003E148C" w:rsidRPr="004A2242" w:rsidRDefault="003E148C" w:rsidP="0026218B">
            <w:pPr>
              <w:widowControl w:val="0"/>
              <w:autoSpaceDE w:val="0"/>
              <w:autoSpaceDN w:val="0"/>
              <w:adjustRightInd w:val="0"/>
              <w:rPr>
                <w:iCs/>
                <w:sz w:val="20"/>
                <w:szCs w:val="20"/>
              </w:rPr>
            </w:pPr>
            <w:r w:rsidRPr="004A2242">
              <w:rPr>
                <w:iCs/>
                <w:sz w:val="20"/>
                <w:szCs w:val="20"/>
              </w:rPr>
              <w:t>Female</w:t>
            </w:r>
          </w:p>
        </w:tc>
        <w:tc>
          <w:tcPr>
            <w:tcW w:w="0" w:type="auto"/>
            <w:gridSpan w:val="2"/>
            <w:tcBorders>
              <w:top w:val="nil"/>
              <w:left w:val="nil"/>
              <w:bottom w:val="nil"/>
              <w:right w:val="nil"/>
            </w:tcBorders>
          </w:tcPr>
          <w:p w14:paraId="6DC08B9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-0.0017</w:t>
            </w:r>
          </w:p>
        </w:tc>
        <w:tc>
          <w:tcPr>
            <w:tcW w:w="0" w:type="auto"/>
            <w:gridSpan w:val="2"/>
            <w:tcBorders>
              <w:top w:val="nil"/>
              <w:left w:val="nil"/>
              <w:bottom w:val="nil"/>
              <w:right w:val="nil"/>
            </w:tcBorders>
          </w:tcPr>
          <w:p w14:paraId="0EB927A9" w14:textId="77777777" w:rsidR="003E148C" w:rsidRPr="00145120" w:rsidRDefault="003E148C" w:rsidP="0026218B">
            <w:pPr>
              <w:widowControl w:val="0"/>
              <w:autoSpaceDE w:val="0"/>
              <w:autoSpaceDN w:val="0"/>
              <w:adjustRightInd w:val="0"/>
              <w:jc w:val="center"/>
              <w:rPr>
                <w:sz w:val="20"/>
                <w:szCs w:val="20"/>
                <w:lang w:val="fr-FR" w:eastAsia="fr-FR"/>
              </w:rPr>
            </w:pPr>
          </w:p>
        </w:tc>
      </w:tr>
      <w:tr w:rsidR="003E148C" w:rsidRPr="00F34D5D" w14:paraId="427DCEFD" w14:textId="77777777" w:rsidTr="0026218B">
        <w:tc>
          <w:tcPr>
            <w:tcW w:w="0" w:type="auto"/>
            <w:tcBorders>
              <w:top w:val="nil"/>
              <w:left w:val="nil"/>
              <w:bottom w:val="nil"/>
              <w:right w:val="nil"/>
            </w:tcBorders>
          </w:tcPr>
          <w:p w14:paraId="75E7D6DF"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5A2B271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(0.0002)</w:t>
            </w:r>
          </w:p>
        </w:tc>
        <w:tc>
          <w:tcPr>
            <w:tcW w:w="0" w:type="auto"/>
            <w:gridSpan w:val="2"/>
            <w:tcBorders>
              <w:top w:val="nil"/>
              <w:left w:val="nil"/>
              <w:bottom w:val="nil"/>
              <w:right w:val="nil"/>
            </w:tcBorders>
          </w:tcPr>
          <w:p w14:paraId="44887859" w14:textId="77777777" w:rsidR="003E148C" w:rsidRPr="00145120" w:rsidRDefault="003E148C" w:rsidP="0026218B">
            <w:pPr>
              <w:widowControl w:val="0"/>
              <w:autoSpaceDE w:val="0"/>
              <w:autoSpaceDN w:val="0"/>
              <w:adjustRightInd w:val="0"/>
              <w:jc w:val="center"/>
              <w:rPr>
                <w:sz w:val="20"/>
                <w:szCs w:val="20"/>
                <w:lang w:val="fr-FR" w:eastAsia="fr-FR"/>
              </w:rPr>
            </w:pPr>
          </w:p>
        </w:tc>
      </w:tr>
      <w:tr w:rsidR="003E148C" w:rsidRPr="00F34D5D" w14:paraId="1B3AFD33" w14:textId="77777777" w:rsidTr="0026218B">
        <w:tc>
          <w:tcPr>
            <w:tcW w:w="0" w:type="auto"/>
            <w:tcBorders>
              <w:top w:val="nil"/>
              <w:left w:val="nil"/>
              <w:bottom w:val="nil"/>
              <w:right w:val="nil"/>
            </w:tcBorders>
          </w:tcPr>
          <w:p w14:paraId="6F7AA5E3" w14:textId="77777777" w:rsidR="003E148C" w:rsidRPr="004A2242" w:rsidRDefault="003E148C" w:rsidP="0026218B">
            <w:pPr>
              <w:widowControl w:val="0"/>
              <w:autoSpaceDE w:val="0"/>
              <w:autoSpaceDN w:val="0"/>
              <w:adjustRightInd w:val="0"/>
              <w:rPr>
                <w:iCs/>
                <w:sz w:val="20"/>
                <w:szCs w:val="20"/>
              </w:rPr>
            </w:pPr>
            <w:r w:rsidRPr="004A2242">
              <w:rPr>
                <w:iCs/>
                <w:sz w:val="20"/>
                <w:szCs w:val="20"/>
              </w:rPr>
              <w:t>Entry deregulation</w:t>
            </w:r>
            <m:oMath>
              <m:r>
                <w:rPr>
                  <w:rFonts w:ascii="Cambria Math" w:hAnsi="Cambria Math"/>
                  <w:sz w:val="20"/>
                  <w:szCs w:val="20"/>
                </w:rPr>
                <m:t>*</m:t>
              </m:r>
            </m:oMath>
            <w:r w:rsidRPr="004A2242">
              <w:rPr>
                <w:iCs/>
                <w:sz w:val="20"/>
                <w:szCs w:val="20"/>
              </w:rPr>
              <w:t>Female</w:t>
            </w:r>
          </w:p>
        </w:tc>
        <w:tc>
          <w:tcPr>
            <w:tcW w:w="0" w:type="auto"/>
            <w:gridSpan w:val="2"/>
            <w:tcBorders>
              <w:top w:val="nil"/>
              <w:left w:val="nil"/>
              <w:bottom w:val="nil"/>
              <w:right w:val="nil"/>
            </w:tcBorders>
          </w:tcPr>
          <w:p w14:paraId="4F3AD77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0.0011</w:t>
            </w:r>
          </w:p>
        </w:tc>
        <w:tc>
          <w:tcPr>
            <w:tcW w:w="0" w:type="auto"/>
            <w:gridSpan w:val="2"/>
            <w:tcBorders>
              <w:top w:val="nil"/>
              <w:left w:val="nil"/>
              <w:bottom w:val="nil"/>
              <w:right w:val="nil"/>
            </w:tcBorders>
          </w:tcPr>
          <w:p w14:paraId="1F6906EA" w14:textId="77777777" w:rsidR="003E148C" w:rsidRPr="00145120" w:rsidRDefault="003E148C" w:rsidP="0026218B">
            <w:pPr>
              <w:widowControl w:val="0"/>
              <w:autoSpaceDE w:val="0"/>
              <w:autoSpaceDN w:val="0"/>
              <w:adjustRightInd w:val="0"/>
              <w:jc w:val="center"/>
              <w:rPr>
                <w:sz w:val="20"/>
                <w:szCs w:val="20"/>
                <w:lang w:val="fr-FR" w:eastAsia="fr-FR"/>
              </w:rPr>
            </w:pPr>
            <w:r>
              <w:rPr>
                <w:sz w:val="20"/>
                <w:szCs w:val="20"/>
                <w:lang w:val="fr-FR" w:eastAsia="fr-FR"/>
              </w:rPr>
              <w:t>-0.0007</w:t>
            </w:r>
          </w:p>
        </w:tc>
      </w:tr>
      <w:tr w:rsidR="003E148C" w:rsidRPr="00F34D5D" w14:paraId="745C77B2" w14:textId="77777777" w:rsidTr="0026218B">
        <w:tc>
          <w:tcPr>
            <w:tcW w:w="0" w:type="auto"/>
            <w:tcBorders>
              <w:top w:val="nil"/>
              <w:left w:val="nil"/>
              <w:bottom w:val="nil"/>
              <w:right w:val="nil"/>
            </w:tcBorders>
          </w:tcPr>
          <w:p w14:paraId="41105E3A"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2BFBA29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(0.0002)</w:t>
            </w:r>
          </w:p>
        </w:tc>
        <w:tc>
          <w:tcPr>
            <w:tcW w:w="0" w:type="auto"/>
            <w:gridSpan w:val="2"/>
            <w:tcBorders>
              <w:top w:val="nil"/>
              <w:left w:val="nil"/>
              <w:bottom w:val="nil"/>
              <w:right w:val="nil"/>
            </w:tcBorders>
          </w:tcPr>
          <w:p w14:paraId="6F99A50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(0.0003)</w:t>
            </w:r>
          </w:p>
        </w:tc>
      </w:tr>
      <w:tr w:rsidR="003E148C" w:rsidRPr="00F34D5D" w14:paraId="2C954BCC" w14:textId="77777777" w:rsidTr="0026218B">
        <w:tc>
          <w:tcPr>
            <w:tcW w:w="0" w:type="auto"/>
            <w:tcBorders>
              <w:top w:val="nil"/>
              <w:left w:val="nil"/>
              <w:bottom w:val="nil"/>
              <w:right w:val="nil"/>
            </w:tcBorders>
          </w:tcPr>
          <w:p w14:paraId="1A68E193" w14:textId="77777777" w:rsidR="003E148C" w:rsidRPr="004A2242" w:rsidRDefault="003E148C" w:rsidP="0026218B">
            <w:pPr>
              <w:widowControl w:val="0"/>
              <w:autoSpaceDE w:val="0"/>
              <w:autoSpaceDN w:val="0"/>
              <w:adjustRightInd w:val="0"/>
              <w:rPr>
                <w:iCs/>
                <w:sz w:val="20"/>
                <w:szCs w:val="20"/>
              </w:rPr>
            </w:pPr>
            <w:r>
              <w:rPr>
                <w:iCs/>
                <w:sz w:val="20"/>
                <w:szCs w:val="20"/>
              </w:rPr>
              <w:t xml:space="preserve">Female representation </w:t>
            </w:r>
          </w:p>
        </w:tc>
        <w:tc>
          <w:tcPr>
            <w:tcW w:w="0" w:type="auto"/>
            <w:gridSpan w:val="2"/>
            <w:tcBorders>
              <w:top w:val="nil"/>
              <w:left w:val="nil"/>
              <w:bottom w:val="nil"/>
              <w:right w:val="nil"/>
            </w:tcBorders>
          </w:tcPr>
          <w:p w14:paraId="44A28C4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-0.0004</w:t>
            </w:r>
          </w:p>
        </w:tc>
        <w:tc>
          <w:tcPr>
            <w:tcW w:w="0" w:type="auto"/>
            <w:gridSpan w:val="2"/>
            <w:tcBorders>
              <w:top w:val="nil"/>
              <w:left w:val="nil"/>
              <w:bottom w:val="nil"/>
              <w:right w:val="nil"/>
            </w:tcBorders>
          </w:tcPr>
          <w:p w14:paraId="2AEBA13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0.0084</w:t>
            </w:r>
          </w:p>
        </w:tc>
      </w:tr>
      <w:tr w:rsidR="003E148C" w:rsidRPr="00F34D5D" w14:paraId="3B0B971A" w14:textId="77777777" w:rsidTr="0026218B">
        <w:tc>
          <w:tcPr>
            <w:tcW w:w="0" w:type="auto"/>
            <w:tcBorders>
              <w:top w:val="nil"/>
              <w:left w:val="nil"/>
              <w:bottom w:val="nil"/>
              <w:right w:val="nil"/>
            </w:tcBorders>
          </w:tcPr>
          <w:p w14:paraId="76899225"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16B888C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(0.0004)</w:t>
            </w:r>
          </w:p>
        </w:tc>
        <w:tc>
          <w:tcPr>
            <w:tcW w:w="0" w:type="auto"/>
            <w:gridSpan w:val="2"/>
            <w:tcBorders>
              <w:top w:val="nil"/>
              <w:left w:val="nil"/>
              <w:bottom w:val="nil"/>
              <w:right w:val="nil"/>
            </w:tcBorders>
          </w:tcPr>
          <w:p w14:paraId="406342E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(0.0008)</w:t>
            </w:r>
          </w:p>
        </w:tc>
      </w:tr>
      <w:tr w:rsidR="003E148C" w:rsidRPr="00F34D5D" w14:paraId="2E9DDDC6" w14:textId="77777777" w:rsidTr="0026218B">
        <w:tc>
          <w:tcPr>
            <w:tcW w:w="0" w:type="auto"/>
            <w:tcBorders>
              <w:top w:val="nil"/>
              <w:left w:val="nil"/>
              <w:bottom w:val="nil"/>
              <w:right w:val="nil"/>
            </w:tcBorders>
          </w:tcPr>
          <w:p w14:paraId="46B096D6" w14:textId="77777777" w:rsidR="003E148C" w:rsidRPr="004A2242" w:rsidRDefault="003E148C" w:rsidP="0026218B">
            <w:pPr>
              <w:widowControl w:val="0"/>
              <w:autoSpaceDE w:val="0"/>
              <w:autoSpaceDN w:val="0"/>
              <w:adjustRightInd w:val="0"/>
              <w:rPr>
                <w:iCs/>
                <w:sz w:val="20"/>
                <w:szCs w:val="20"/>
              </w:rPr>
            </w:pPr>
            <w:r w:rsidRPr="004A2242">
              <w:rPr>
                <w:iCs/>
                <w:sz w:val="20"/>
                <w:szCs w:val="20"/>
              </w:rPr>
              <w:t>Entry deregulation</w:t>
            </w:r>
            <w:r w:rsidRPr="00EA143F">
              <w:rPr>
                <w:sz w:val="18"/>
                <w:szCs w:val="18"/>
              </w:rPr>
              <w:t>*</w:t>
            </w:r>
            <w:r>
              <w:rPr>
                <w:sz w:val="18"/>
                <w:szCs w:val="18"/>
              </w:rPr>
              <w:t>F</w:t>
            </w:r>
            <w:r>
              <w:rPr>
                <w:iCs/>
                <w:sz w:val="20"/>
                <w:szCs w:val="20"/>
              </w:rPr>
              <w:t>emale representation</w:t>
            </w:r>
          </w:p>
        </w:tc>
        <w:tc>
          <w:tcPr>
            <w:tcW w:w="0" w:type="auto"/>
            <w:gridSpan w:val="2"/>
            <w:tcBorders>
              <w:top w:val="nil"/>
              <w:left w:val="nil"/>
              <w:bottom w:val="nil"/>
              <w:right w:val="nil"/>
            </w:tcBorders>
          </w:tcPr>
          <w:p w14:paraId="7F977A2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0.0015</w:t>
            </w:r>
          </w:p>
        </w:tc>
        <w:tc>
          <w:tcPr>
            <w:tcW w:w="0" w:type="auto"/>
            <w:gridSpan w:val="2"/>
            <w:tcBorders>
              <w:top w:val="nil"/>
              <w:left w:val="nil"/>
              <w:bottom w:val="nil"/>
              <w:right w:val="nil"/>
            </w:tcBorders>
          </w:tcPr>
          <w:p w14:paraId="71358E3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-0.0008</w:t>
            </w:r>
          </w:p>
        </w:tc>
      </w:tr>
      <w:tr w:rsidR="003E148C" w:rsidRPr="00F34D5D" w14:paraId="08AB3140" w14:textId="77777777" w:rsidTr="0026218B">
        <w:tc>
          <w:tcPr>
            <w:tcW w:w="0" w:type="auto"/>
            <w:tcBorders>
              <w:top w:val="nil"/>
              <w:left w:val="nil"/>
              <w:bottom w:val="nil"/>
              <w:right w:val="nil"/>
            </w:tcBorders>
          </w:tcPr>
          <w:p w14:paraId="7951D044"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52AFAAA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(0.0005)</w:t>
            </w:r>
          </w:p>
        </w:tc>
        <w:tc>
          <w:tcPr>
            <w:tcW w:w="0" w:type="auto"/>
            <w:gridSpan w:val="2"/>
            <w:tcBorders>
              <w:top w:val="nil"/>
              <w:left w:val="nil"/>
              <w:bottom w:val="nil"/>
              <w:right w:val="nil"/>
            </w:tcBorders>
          </w:tcPr>
          <w:p w14:paraId="38329C8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(0.0006)</w:t>
            </w:r>
          </w:p>
        </w:tc>
      </w:tr>
      <w:tr w:rsidR="003E148C" w:rsidRPr="005D7F6A" w14:paraId="69FAF6EA" w14:textId="77777777" w:rsidTr="0026218B">
        <w:tc>
          <w:tcPr>
            <w:tcW w:w="0" w:type="auto"/>
            <w:tcBorders>
              <w:top w:val="nil"/>
              <w:left w:val="nil"/>
              <w:bottom w:val="nil"/>
              <w:right w:val="nil"/>
            </w:tcBorders>
          </w:tcPr>
          <w:p w14:paraId="2A8D07B1" w14:textId="77777777" w:rsidR="003E148C" w:rsidRPr="004A2242" w:rsidRDefault="003E148C" w:rsidP="0026218B">
            <w:pPr>
              <w:widowControl w:val="0"/>
              <w:autoSpaceDE w:val="0"/>
              <w:autoSpaceDN w:val="0"/>
              <w:adjustRightInd w:val="0"/>
              <w:rPr>
                <w:iCs/>
                <w:sz w:val="20"/>
                <w:szCs w:val="20"/>
              </w:rPr>
            </w:pPr>
            <w:r w:rsidRPr="004A2242">
              <w:rPr>
                <w:iCs/>
                <w:sz w:val="20"/>
                <w:szCs w:val="20"/>
              </w:rPr>
              <w:t>Female</w:t>
            </w:r>
            <w:r>
              <w:rPr>
                <w:iCs/>
                <w:sz w:val="20"/>
                <w:szCs w:val="20"/>
              </w:rPr>
              <w:t>*Female representation</w:t>
            </w:r>
          </w:p>
        </w:tc>
        <w:tc>
          <w:tcPr>
            <w:tcW w:w="0" w:type="auto"/>
            <w:gridSpan w:val="2"/>
            <w:tcBorders>
              <w:top w:val="nil"/>
              <w:left w:val="nil"/>
              <w:bottom w:val="nil"/>
              <w:right w:val="nil"/>
            </w:tcBorders>
          </w:tcPr>
          <w:p w14:paraId="7F6CE7EA"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0.0013</w:t>
            </w:r>
          </w:p>
        </w:tc>
        <w:tc>
          <w:tcPr>
            <w:tcW w:w="0" w:type="auto"/>
            <w:gridSpan w:val="2"/>
            <w:tcBorders>
              <w:top w:val="nil"/>
              <w:left w:val="nil"/>
              <w:bottom w:val="nil"/>
              <w:right w:val="nil"/>
            </w:tcBorders>
          </w:tcPr>
          <w:p w14:paraId="1009FB50"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-0.0124</w:t>
            </w:r>
          </w:p>
        </w:tc>
      </w:tr>
      <w:tr w:rsidR="003E148C" w:rsidRPr="005D7F6A" w14:paraId="505BCF7D" w14:textId="77777777" w:rsidTr="0026218B">
        <w:tc>
          <w:tcPr>
            <w:tcW w:w="0" w:type="auto"/>
            <w:tcBorders>
              <w:top w:val="nil"/>
              <w:left w:val="nil"/>
              <w:bottom w:val="nil"/>
              <w:right w:val="nil"/>
            </w:tcBorders>
          </w:tcPr>
          <w:p w14:paraId="5BDF5A74"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229E001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(0.0004)</w:t>
            </w:r>
          </w:p>
        </w:tc>
        <w:tc>
          <w:tcPr>
            <w:tcW w:w="0" w:type="auto"/>
            <w:gridSpan w:val="2"/>
            <w:tcBorders>
              <w:top w:val="nil"/>
              <w:left w:val="nil"/>
              <w:bottom w:val="nil"/>
              <w:right w:val="nil"/>
            </w:tcBorders>
          </w:tcPr>
          <w:p w14:paraId="22772890"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(0.0010)</w:t>
            </w:r>
          </w:p>
        </w:tc>
      </w:tr>
      <w:tr w:rsidR="003E148C" w:rsidRPr="00782298" w14:paraId="5FA2BB14" w14:textId="77777777" w:rsidTr="0026218B">
        <w:tc>
          <w:tcPr>
            <w:tcW w:w="0" w:type="auto"/>
            <w:tcBorders>
              <w:top w:val="nil"/>
              <w:left w:val="nil"/>
              <w:bottom w:val="nil"/>
              <w:right w:val="nil"/>
            </w:tcBorders>
          </w:tcPr>
          <w:p w14:paraId="6D33CA92" w14:textId="77777777" w:rsidR="003E148C" w:rsidRPr="00153E66" w:rsidRDefault="003E148C" w:rsidP="0026218B">
            <w:pPr>
              <w:widowControl w:val="0"/>
              <w:autoSpaceDE w:val="0"/>
              <w:autoSpaceDN w:val="0"/>
              <w:adjustRightInd w:val="0"/>
              <w:rPr>
                <w:iCs/>
                <w:sz w:val="20"/>
                <w:szCs w:val="20"/>
              </w:rPr>
            </w:pPr>
            <w:r w:rsidRPr="00153E66">
              <w:rPr>
                <w:iCs/>
                <w:sz w:val="20"/>
                <w:szCs w:val="20"/>
              </w:rPr>
              <w:t>Entry deregulation</w:t>
            </w:r>
            <w:r w:rsidRPr="00782298">
              <w:rPr>
                <w:sz w:val="18"/>
                <w:szCs w:val="18"/>
              </w:rPr>
              <w:t>*</w:t>
            </w:r>
            <w:r w:rsidRPr="00153E66">
              <w:rPr>
                <w:iCs/>
                <w:sz w:val="20"/>
                <w:szCs w:val="20"/>
              </w:rPr>
              <w:t>Female</w:t>
            </w:r>
            <w:r w:rsidRPr="00782298">
              <w:rPr>
                <w:sz w:val="18"/>
                <w:szCs w:val="18"/>
              </w:rPr>
              <w:t>*</w:t>
            </w:r>
            <w:r w:rsidRPr="00153E66">
              <w:rPr>
                <w:iCs/>
                <w:sz w:val="20"/>
                <w:szCs w:val="20"/>
              </w:rPr>
              <w:t>Female representation</w:t>
            </w:r>
          </w:p>
        </w:tc>
        <w:tc>
          <w:tcPr>
            <w:tcW w:w="0" w:type="auto"/>
            <w:gridSpan w:val="2"/>
            <w:tcBorders>
              <w:top w:val="nil"/>
              <w:left w:val="nil"/>
              <w:bottom w:val="nil"/>
              <w:right w:val="nil"/>
            </w:tcBorders>
          </w:tcPr>
          <w:p w14:paraId="76EF2CE9"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-0.0002</w:t>
            </w:r>
          </w:p>
        </w:tc>
        <w:tc>
          <w:tcPr>
            <w:tcW w:w="0" w:type="auto"/>
            <w:gridSpan w:val="2"/>
            <w:tcBorders>
              <w:top w:val="nil"/>
              <w:left w:val="nil"/>
              <w:bottom w:val="nil"/>
              <w:right w:val="nil"/>
            </w:tcBorders>
          </w:tcPr>
          <w:p w14:paraId="509AD9CF"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0.0059</w:t>
            </w:r>
          </w:p>
        </w:tc>
      </w:tr>
      <w:tr w:rsidR="003E148C" w:rsidRPr="00280A71" w14:paraId="0FE8710D" w14:textId="77777777" w:rsidTr="0026218B">
        <w:tc>
          <w:tcPr>
            <w:tcW w:w="0" w:type="auto"/>
            <w:tcBorders>
              <w:top w:val="nil"/>
              <w:left w:val="nil"/>
              <w:bottom w:val="nil"/>
              <w:right w:val="nil"/>
            </w:tcBorders>
          </w:tcPr>
          <w:p w14:paraId="00EFE927" w14:textId="77777777" w:rsidR="003E148C" w:rsidRPr="00280A71" w:rsidRDefault="003E148C" w:rsidP="0026218B">
            <w:pPr>
              <w:widowControl w:val="0"/>
              <w:autoSpaceDE w:val="0"/>
              <w:autoSpaceDN w:val="0"/>
              <w:adjustRightInd w:val="0"/>
              <w:rPr>
                <w:b/>
                <w:iCs/>
                <w:sz w:val="20"/>
                <w:szCs w:val="20"/>
              </w:rPr>
            </w:pPr>
          </w:p>
        </w:tc>
        <w:tc>
          <w:tcPr>
            <w:tcW w:w="0" w:type="auto"/>
            <w:gridSpan w:val="2"/>
            <w:tcBorders>
              <w:top w:val="nil"/>
              <w:left w:val="nil"/>
              <w:bottom w:val="nil"/>
              <w:right w:val="nil"/>
            </w:tcBorders>
          </w:tcPr>
          <w:p w14:paraId="0ED02C7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(0.0004)</w:t>
            </w:r>
          </w:p>
        </w:tc>
        <w:tc>
          <w:tcPr>
            <w:tcW w:w="0" w:type="auto"/>
            <w:gridSpan w:val="2"/>
            <w:tcBorders>
              <w:top w:val="nil"/>
              <w:left w:val="nil"/>
              <w:bottom w:val="nil"/>
              <w:right w:val="nil"/>
            </w:tcBorders>
          </w:tcPr>
          <w:p w14:paraId="634602D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(0.0008)</w:t>
            </w:r>
          </w:p>
        </w:tc>
      </w:tr>
      <w:tr w:rsidR="003E148C" w:rsidRPr="00F34D5D" w14:paraId="55F41AF3" w14:textId="77777777" w:rsidTr="0026218B">
        <w:tc>
          <w:tcPr>
            <w:tcW w:w="0" w:type="auto"/>
            <w:tcBorders>
              <w:top w:val="nil"/>
              <w:left w:val="nil"/>
              <w:bottom w:val="nil"/>
              <w:right w:val="nil"/>
            </w:tcBorders>
          </w:tcPr>
          <w:p w14:paraId="6345C7A7" w14:textId="77777777" w:rsidR="003E148C" w:rsidRPr="004A2242" w:rsidRDefault="003E148C" w:rsidP="0026218B">
            <w:pPr>
              <w:widowControl w:val="0"/>
              <w:autoSpaceDE w:val="0"/>
              <w:autoSpaceDN w:val="0"/>
              <w:adjustRightInd w:val="0"/>
              <w:rPr>
                <w:iCs/>
                <w:sz w:val="20"/>
                <w:szCs w:val="20"/>
              </w:rPr>
            </w:pPr>
            <w:r w:rsidRPr="004A2242">
              <w:rPr>
                <w:iCs/>
                <w:sz w:val="20"/>
                <w:szCs w:val="20"/>
              </w:rPr>
              <w:t>Age</w:t>
            </w:r>
          </w:p>
        </w:tc>
        <w:tc>
          <w:tcPr>
            <w:tcW w:w="0" w:type="auto"/>
            <w:gridSpan w:val="2"/>
            <w:tcBorders>
              <w:top w:val="nil"/>
              <w:left w:val="nil"/>
              <w:bottom w:val="nil"/>
              <w:right w:val="nil"/>
            </w:tcBorders>
          </w:tcPr>
          <w:p w14:paraId="070939E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0.0008</w:t>
            </w:r>
          </w:p>
        </w:tc>
        <w:tc>
          <w:tcPr>
            <w:tcW w:w="0" w:type="auto"/>
            <w:gridSpan w:val="2"/>
            <w:tcBorders>
              <w:top w:val="nil"/>
              <w:left w:val="nil"/>
              <w:bottom w:val="nil"/>
              <w:right w:val="nil"/>
            </w:tcBorders>
          </w:tcPr>
          <w:p w14:paraId="07FED31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0.0011</w:t>
            </w:r>
          </w:p>
        </w:tc>
      </w:tr>
      <w:tr w:rsidR="003E148C" w:rsidRPr="00F34D5D" w14:paraId="512C0599" w14:textId="77777777" w:rsidTr="0026218B">
        <w:tc>
          <w:tcPr>
            <w:tcW w:w="0" w:type="auto"/>
            <w:tcBorders>
              <w:top w:val="nil"/>
              <w:left w:val="nil"/>
              <w:bottom w:val="nil"/>
              <w:right w:val="nil"/>
            </w:tcBorders>
          </w:tcPr>
          <w:p w14:paraId="10BACC13"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6933A8A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c>
          <w:tcPr>
            <w:tcW w:w="0" w:type="auto"/>
            <w:gridSpan w:val="2"/>
            <w:tcBorders>
              <w:top w:val="nil"/>
              <w:left w:val="nil"/>
              <w:bottom w:val="nil"/>
              <w:right w:val="nil"/>
            </w:tcBorders>
          </w:tcPr>
          <w:p w14:paraId="7DDAE26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(0.0001)</w:t>
            </w:r>
          </w:p>
        </w:tc>
      </w:tr>
      <w:tr w:rsidR="003E148C" w:rsidRPr="00F34D5D" w14:paraId="20B19A8B" w14:textId="77777777" w:rsidTr="0026218B">
        <w:tc>
          <w:tcPr>
            <w:tcW w:w="0" w:type="auto"/>
            <w:tcBorders>
              <w:top w:val="nil"/>
              <w:left w:val="nil"/>
              <w:bottom w:val="nil"/>
              <w:right w:val="nil"/>
            </w:tcBorders>
          </w:tcPr>
          <w:p w14:paraId="20DF8E62" w14:textId="77777777" w:rsidR="003E148C" w:rsidRPr="004A2242" w:rsidRDefault="003E148C" w:rsidP="0026218B">
            <w:pPr>
              <w:widowControl w:val="0"/>
              <w:autoSpaceDE w:val="0"/>
              <w:autoSpaceDN w:val="0"/>
              <w:adjustRightInd w:val="0"/>
              <w:rPr>
                <w:iCs/>
                <w:sz w:val="20"/>
                <w:szCs w:val="20"/>
              </w:rPr>
            </w:pPr>
            <w:r w:rsidRPr="004A2242">
              <w:rPr>
                <w:iCs/>
                <w:sz w:val="20"/>
                <w:szCs w:val="20"/>
              </w:rPr>
              <w:t>Age squared</w:t>
            </w:r>
          </w:p>
        </w:tc>
        <w:tc>
          <w:tcPr>
            <w:tcW w:w="0" w:type="auto"/>
            <w:gridSpan w:val="2"/>
            <w:tcBorders>
              <w:top w:val="nil"/>
              <w:left w:val="nil"/>
              <w:bottom w:val="nil"/>
              <w:right w:val="nil"/>
            </w:tcBorders>
          </w:tcPr>
          <w:p w14:paraId="3B660A3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c>
          <w:tcPr>
            <w:tcW w:w="0" w:type="auto"/>
            <w:gridSpan w:val="2"/>
            <w:tcBorders>
              <w:top w:val="nil"/>
              <w:left w:val="nil"/>
              <w:bottom w:val="nil"/>
              <w:right w:val="nil"/>
            </w:tcBorders>
          </w:tcPr>
          <w:p w14:paraId="54A3885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r>
      <w:tr w:rsidR="003E148C" w:rsidRPr="00F34D5D" w14:paraId="441C7E92" w14:textId="77777777" w:rsidTr="0026218B">
        <w:tc>
          <w:tcPr>
            <w:tcW w:w="0" w:type="auto"/>
            <w:tcBorders>
              <w:top w:val="nil"/>
              <w:left w:val="nil"/>
              <w:bottom w:val="nil"/>
              <w:right w:val="nil"/>
            </w:tcBorders>
          </w:tcPr>
          <w:p w14:paraId="5882776C"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202C5B8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c>
          <w:tcPr>
            <w:tcW w:w="0" w:type="auto"/>
            <w:gridSpan w:val="2"/>
            <w:tcBorders>
              <w:top w:val="nil"/>
              <w:left w:val="nil"/>
              <w:bottom w:val="nil"/>
              <w:right w:val="nil"/>
            </w:tcBorders>
          </w:tcPr>
          <w:p w14:paraId="60C0161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r>
      <w:tr w:rsidR="003E148C" w:rsidRPr="00F34D5D" w14:paraId="45B30E72" w14:textId="77777777" w:rsidTr="0026218B">
        <w:tc>
          <w:tcPr>
            <w:tcW w:w="0" w:type="auto"/>
            <w:tcBorders>
              <w:top w:val="nil"/>
              <w:left w:val="nil"/>
              <w:bottom w:val="nil"/>
              <w:right w:val="nil"/>
            </w:tcBorders>
          </w:tcPr>
          <w:p w14:paraId="14307771" w14:textId="77777777" w:rsidR="003E148C" w:rsidRPr="004A2242" w:rsidRDefault="003E148C" w:rsidP="0026218B">
            <w:pPr>
              <w:widowControl w:val="0"/>
              <w:autoSpaceDE w:val="0"/>
              <w:autoSpaceDN w:val="0"/>
              <w:adjustRightInd w:val="0"/>
              <w:rPr>
                <w:iCs/>
                <w:sz w:val="20"/>
                <w:szCs w:val="20"/>
              </w:rPr>
            </w:pPr>
            <w:r w:rsidRPr="004A2242">
              <w:rPr>
                <w:iCs/>
                <w:sz w:val="20"/>
                <w:szCs w:val="20"/>
              </w:rPr>
              <w:t>Mid education</w:t>
            </w:r>
          </w:p>
        </w:tc>
        <w:tc>
          <w:tcPr>
            <w:tcW w:w="0" w:type="auto"/>
            <w:gridSpan w:val="2"/>
            <w:tcBorders>
              <w:top w:val="nil"/>
              <w:left w:val="nil"/>
              <w:bottom w:val="nil"/>
              <w:right w:val="nil"/>
            </w:tcBorders>
          </w:tcPr>
          <w:p w14:paraId="2262D9B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0.0013</w:t>
            </w:r>
          </w:p>
        </w:tc>
        <w:tc>
          <w:tcPr>
            <w:tcW w:w="0" w:type="auto"/>
            <w:gridSpan w:val="2"/>
            <w:tcBorders>
              <w:top w:val="nil"/>
              <w:left w:val="nil"/>
              <w:bottom w:val="nil"/>
              <w:right w:val="nil"/>
            </w:tcBorders>
          </w:tcPr>
          <w:p w14:paraId="4546BC4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0.0024</w:t>
            </w:r>
          </w:p>
        </w:tc>
      </w:tr>
      <w:tr w:rsidR="003E148C" w:rsidRPr="00F34D5D" w14:paraId="01791E05" w14:textId="77777777" w:rsidTr="0026218B">
        <w:tc>
          <w:tcPr>
            <w:tcW w:w="0" w:type="auto"/>
            <w:tcBorders>
              <w:top w:val="nil"/>
              <w:left w:val="nil"/>
              <w:bottom w:val="nil"/>
              <w:right w:val="nil"/>
            </w:tcBorders>
          </w:tcPr>
          <w:p w14:paraId="013E0CE6"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4481931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(0.0001)</w:t>
            </w:r>
          </w:p>
        </w:tc>
        <w:tc>
          <w:tcPr>
            <w:tcW w:w="0" w:type="auto"/>
            <w:gridSpan w:val="2"/>
            <w:tcBorders>
              <w:top w:val="nil"/>
              <w:left w:val="nil"/>
              <w:bottom w:val="nil"/>
              <w:right w:val="nil"/>
            </w:tcBorders>
          </w:tcPr>
          <w:p w14:paraId="39F4DAC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(0.0002)</w:t>
            </w:r>
          </w:p>
        </w:tc>
      </w:tr>
      <w:tr w:rsidR="003E148C" w:rsidRPr="00F34D5D" w14:paraId="013E8477" w14:textId="77777777" w:rsidTr="0026218B">
        <w:tc>
          <w:tcPr>
            <w:tcW w:w="0" w:type="auto"/>
            <w:tcBorders>
              <w:top w:val="nil"/>
              <w:left w:val="nil"/>
              <w:bottom w:val="nil"/>
              <w:right w:val="nil"/>
            </w:tcBorders>
          </w:tcPr>
          <w:p w14:paraId="1E815B9E" w14:textId="77777777" w:rsidR="003E148C" w:rsidRPr="004A2242" w:rsidRDefault="003E148C" w:rsidP="0026218B">
            <w:pPr>
              <w:widowControl w:val="0"/>
              <w:autoSpaceDE w:val="0"/>
              <w:autoSpaceDN w:val="0"/>
              <w:adjustRightInd w:val="0"/>
              <w:rPr>
                <w:iCs/>
                <w:sz w:val="20"/>
                <w:szCs w:val="20"/>
              </w:rPr>
            </w:pPr>
            <w:r w:rsidRPr="004A2242">
              <w:rPr>
                <w:iCs/>
                <w:sz w:val="20"/>
                <w:szCs w:val="20"/>
              </w:rPr>
              <w:t>High education</w:t>
            </w:r>
          </w:p>
        </w:tc>
        <w:tc>
          <w:tcPr>
            <w:tcW w:w="0" w:type="auto"/>
            <w:gridSpan w:val="2"/>
            <w:tcBorders>
              <w:top w:val="nil"/>
              <w:left w:val="nil"/>
              <w:bottom w:val="nil"/>
              <w:right w:val="nil"/>
            </w:tcBorders>
          </w:tcPr>
          <w:p w14:paraId="63A47FE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-0.0022</w:t>
            </w:r>
          </w:p>
        </w:tc>
        <w:tc>
          <w:tcPr>
            <w:tcW w:w="0" w:type="auto"/>
            <w:gridSpan w:val="2"/>
            <w:tcBorders>
              <w:top w:val="nil"/>
              <w:left w:val="nil"/>
              <w:bottom w:val="nil"/>
              <w:right w:val="nil"/>
            </w:tcBorders>
          </w:tcPr>
          <w:p w14:paraId="38CBE5E0" w14:textId="77777777" w:rsidR="003E148C" w:rsidRPr="00145120" w:rsidRDefault="003E148C" w:rsidP="0026218B">
            <w:pPr>
              <w:widowControl w:val="0"/>
              <w:autoSpaceDE w:val="0"/>
              <w:autoSpaceDN w:val="0"/>
              <w:adjustRightInd w:val="0"/>
              <w:jc w:val="center"/>
              <w:rPr>
                <w:sz w:val="20"/>
                <w:szCs w:val="20"/>
                <w:lang w:val="fr-FR" w:eastAsia="fr-FR"/>
              </w:rPr>
            </w:pPr>
            <w:r>
              <w:rPr>
                <w:sz w:val="20"/>
                <w:szCs w:val="20"/>
                <w:lang w:val="fr-FR" w:eastAsia="fr-FR"/>
              </w:rPr>
              <w:t>0.0010</w:t>
            </w:r>
          </w:p>
        </w:tc>
      </w:tr>
      <w:tr w:rsidR="003E148C" w:rsidRPr="00F34D5D" w14:paraId="6C3914D7" w14:textId="77777777" w:rsidTr="0026218B">
        <w:tc>
          <w:tcPr>
            <w:tcW w:w="0" w:type="auto"/>
            <w:tcBorders>
              <w:top w:val="nil"/>
              <w:left w:val="nil"/>
              <w:bottom w:val="nil"/>
              <w:right w:val="nil"/>
            </w:tcBorders>
          </w:tcPr>
          <w:p w14:paraId="566C84A6" w14:textId="77777777" w:rsidR="003E148C" w:rsidRPr="00F34D5D"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1C29AFB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(0.0003)</w:t>
            </w:r>
          </w:p>
        </w:tc>
        <w:tc>
          <w:tcPr>
            <w:tcW w:w="0" w:type="auto"/>
            <w:gridSpan w:val="2"/>
            <w:tcBorders>
              <w:top w:val="nil"/>
              <w:left w:val="nil"/>
              <w:bottom w:val="nil"/>
              <w:right w:val="nil"/>
            </w:tcBorders>
          </w:tcPr>
          <w:p w14:paraId="0646FBD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(0.0004)</w:t>
            </w:r>
          </w:p>
        </w:tc>
      </w:tr>
      <w:tr w:rsidR="003E148C" w:rsidRPr="00F34D5D" w14:paraId="78FAAD91" w14:textId="77777777" w:rsidTr="0026218B">
        <w:tc>
          <w:tcPr>
            <w:tcW w:w="0" w:type="auto"/>
            <w:tcBorders>
              <w:top w:val="nil"/>
              <w:left w:val="nil"/>
              <w:bottom w:val="nil"/>
              <w:right w:val="nil"/>
            </w:tcBorders>
          </w:tcPr>
          <w:p w14:paraId="64E167DA" w14:textId="77777777" w:rsidR="003E148C" w:rsidRPr="00F34D5D" w:rsidRDefault="003E148C" w:rsidP="0026218B">
            <w:pPr>
              <w:widowControl w:val="0"/>
              <w:autoSpaceDE w:val="0"/>
              <w:autoSpaceDN w:val="0"/>
              <w:adjustRightInd w:val="0"/>
              <w:rPr>
                <w:sz w:val="20"/>
                <w:szCs w:val="20"/>
              </w:rPr>
            </w:pPr>
            <w:r w:rsidRPr="004A2242">
              <w:rPr>
                <w:iCs/>
                <w:sz w:val="20"/>
                <w:szCs w:val="20"/>
              </w:rPr>
              <w:t>Hours worked (ln)</w:t>
            </w:r>
          </w:p>
        </w:tc>
        <w:tc>
          <w:tcPr>
            <w:tcW w:w="0" w:type="auto"/>
            <w:gridSpan w:val="2"/>
            <w:tcBorders>
              <w:top w:val="nil"/>
              <w:left w:val="nil"/>
              <w:bottom w:val="nil"/>
              <w:right w:val="nil"/>
            </w:tcBorders>
          </w:tcPr>
          <w:p w14:paraId="3659F7D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-0.0071</w:t>
            </w:r>
          </w:p>
        </w:tc>
        <w:tc>
          <w:tcPr>
            <w:tcW w:w="0" w:type="auto"/>
            <w:gridSpan w:val="2"/>
            <w:tcBorders>
              <w:top w:val="nil"/>
              <w:left w:val="nil"/>
              <w:bottom w:val="nil"/>
              <w:right w:val="nil"/>
            </w:tcBorders>
          </w:tcPr>
          <w:p w14:paraId="34854D7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-0.0098</w:t>
            </w:r>
          </w:p>
        </w:tc>
      </w:tr>
      <w:tr w:rsidR="003E148C" w:rsidRPr="00F34D5D" w14:paraId="6EBDD92F" w14:textId="77777777" w:rsidTr="0026218B">
        <w:tc>
          <w:tcPr>
            <w:tcW w:w="0" w:type="auto"/>
            <w:tcBorders>
              <w:top w:val="nil"/>
              <w:left w:val="nil"/>
              <w:bottom w:val="nil"/>
              <w:right w:val="nil"/>
            </w:tcBorders>
          </w:tcPr>
          <w:p w14:paraId="43E188DD" w14:textId="77777777" w:rsidR="003E148C" w:rsidRPr="00F34D5D"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3E4C636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(0.0002)</w:t>
            </w:r>
          </w:p>
        </w:tc>
        <w:tc>
          <w:tcPr>
            <w:tcW w:w="0" w:type="auto"/>
            <w:gridSpan w:val="2"/>
            <w:tcBorders>
              <w:top w:val="nil"/>
              <w:left w:val="nil"/>
              <w:bottom w:val="nil"/>
              <w:right w:val="nil"/>
            </w:tcBorders>
          </w:tcPr>
          <w:p w14:paraId="138EF79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(0.0003)</w:t>
            </w:r>
          </w:p>
        </w:tc>
      </w:tr>
      <w:tr w:rsidR="003E148C" w:rsidRPr="00F34D5D" w14:paraId="67937250" w14:textId="77777777" w:rsidTr="0026218B">
        <w:tc>
          <w:tcPr>
            <w:tcW w:w="0" w:type="auto"/>
            <w:tcBorders>
              <w:top w:val="nil"/>
              <w:left w:val="nil"/>
              <w:bottom w:val="nil"/>
              <w:right w:val="nil"/>
            </w:tcBorders>
          </w:tcPr>
          <w:p w14:paraId="0441E527" w14:textId="77777777" w:rsidR="003E148C" w:rsidRPr="004A2242" w:rsidRDefault="003E148C" w:rsidP="0026218B">
            <w:pPr>
              <w:widowControl w:val="0"/>
              <w:autoSpaceDE w:val="0"/>
              <w:autoSpaceDN w:val="0"/>
              <w:adjustRightInd w:val="0"/>
              <w:rPr>
                <w:iCs/>
                <w:sz w:val="20"/>
                <w:szCs w:val="20"/>
              </w:rPr>
            </w:pPr>
            <w:r w:rsidRPr="004A2242">
              <w:rPr>
                <w:iCs/>
                <w:sz w:val="20"/>
                <w:szCs w:val="20"/>
              </w:rPr>
              <w:t>Mid qualification</w:t>
            </w:r>
          </w:p>
        </w:tc>
        <w:tc>
          <w:tcPr>
            <w:tcW w:w="0" w:type="auto"/>
            <w:gridSpan w:val="2"/>
            <w:tcBorders>
              <w:top w:val="nil"/>
              <w:left w:val="nil"/>
              <w:bottom w:val="nil"/>
              <w:right w:val="nil"/>
            </w:tcBorders>
          </w:tcPr>
          <w:p w14:paraId="6F00AD0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0.0004</w:t>
            </w:r>
          </w:p>
        </w:tc>
        <w:tc>
          <w:tcPr>
            <w:tcW w:w="0" w:type="auto"/>
            <w:gridSpan w:val="2"/>
            <w:tcBorders>
              <w:top w:val="nil"/>
              <w:left w:val="nil"/>
              <w:bottom w:val="nil"/>
              <w:right w:val="nil"/>
            </w:tcBorders>
          </w:tcPr>
          <w:p w14:paraId="07FBF28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0.0016</w:t>
            </w:r>
          </w:p>
        </w:tc>
      </w:tr>
      <w:tr w:rsidR="003E148C" w:rsidRPr="00F34D5D" w14:paraId="264A12F9" w14:textId="77777777" w:rsidTr="0026218B">
        <w:tc>
          <w:tcPr>
            <w:tcW w:w="0" w:type="auto"/>
            <w:tcBorders>
              <w:top w:val="nil"/>
              <w:left w:val="nil"/>
              <w:bottom w:val="nil"/>
              <w:right w:val="nil"/>
            </w:tcBorders>
          </w:tcPr>
          <w:p w14:paraId="1E956864"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64D28B6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(0.0001)</w:t>
            </w:r>
          </w:p>
        </w:tc>
        <w:tc>
          <w:tcPr>
            <w:tcW w:w="0" w:type="auto"/>
            <w:gridSpan w:val="2"/>
            <w:tcBorders>
              <w:top w:val="nil"/>
              <w:left w:val="nil"/>
              <w:bottom w:val="nil"/>
              <w:right w:val="nil"/>
            </w:tcBorders>
          </w:tcPr>
          <w:p w14:paraId="7C3C099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(0.0002)</w:t>
            </w:r>
          </w:p>
        </w:tc>
      </w:tr>
      <w:tr w:rsidR="003E148C" w:rsidRPr="00F34D5D" w14:paraId="66472B09" w14:textId="77777777" w:rsidTr="0026218B">
        <w:tc>
          <w:tcPr>
            <w:tcW w:w="0" w:type="auto"/>
            <w:tcBorders>
              <w:top w:val="nil"/>
              <w:left w:val="nil"/>
              <w:bottom w:val="nil"/>
              <w:right w:val="nil"/>
            </w:tcBorders>
          </w:tcPr>
          <w:p w14:paraId="02C697D4" w14:textId="77777777" w:rsidR="003E148C" w:rsidRPr="004A2242" w:rsidRDefault="003E148C" w:rsidP="0026218B">
            <w:pPr>
              <w:widowControl w:val="0"/>
              <w:autoSpaceDE w:val="0"/>
              <w:autoSpaceDN w:val="0"/>
              <w:adjustRightInd w:val="0"/>
              <w:rPr>
                <w:iCs/>
                <w:sz w:val="20"/>
                <w:szCs w:val="20"/>
              </w:rPr>
            </w:pPr>
            <w:r w:rsidRPr="004A2242">
              <w:rPr>
                <w:iCs/>
                <w:sz w:val="20"/>
                <w:szCs w:val="20"/>
              </w:rPr>
              <w:t>High qualification</w:t>
            </w:r>
          </w:p>
        </w:tc>
        <w:tc>
          <w:tcPr>
            <w:tcW w:w="0" w:type="auto"/>
            <w:gridSpan w:val="2"/>
            <w:tcBorders>
              <w:top w:val="nil"/>
              <w:left w:val="nil"/>
              <w:bottom w:val="nil"/>
              <w:right w:val="nil"/>
            </w:tcBorders>
          </w:tcPr>
          <w:p w14:paraId="17BB4A6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0.0029</w:t>
            </w:r>
          </w:p>
        </w:tc>
        <w:tc>
          <w:tcPr>
            <w:tcW w:w="0" w:type="auto"/>
            <w:gridSpan w:val="2"/>
            <w:tcBorders>
              <w:top w:val="nil"/>
              <w:left w:val="nil"/>
              <w:bottom w:val="nil"/>
              <w:right w:val="nil"/>
            </w:tcBorders>
          </w:tcPr>
          <w:p w14:paraId="07230A1A"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0.0123</w:t>
            </w:r>
          </w:p>
        </w:tc>
      </w:tr>
      <w:tr w:rsidR="003E148C" w:rsidRPr="00F34D5D" w14:paraId="3F7E0325" w14:textId="77777777" w:rsidTr="0026218B">
        <w:tc>
          <w:tcPr>
            <w:tcW w:w="0" w:type="auto"/>
            <w:tcBorders>
              <w:top w:val="nil"/>
              <w:left w:val="nil"/>
              <w:bottom w:val="nil"/>
              <w:right w:val="nil"/>
            </w:tcBorders>
          </w:tcPr>
          <w:p w14:paraId="534ADCD3"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7A065B5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(0.0001)</w:t>
            </w:r>
          </w:p>
        </w:tc>
        <w:tc>
          <w:tcPr>
            <w:tcW w:w="0" w:type="auto"/>
            <w:gridSpan w:val="2"/>
            <w:tcBorders>
              <w:top w:val="nil"/>
              <w:left w:val="nil"/>
              <w:bottom w:val="nil"/>
              <w:right w:val="nil"/>
            </w:tcBorders>
          </w:tcPr>
          <w:p w14:paraId="60EB573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(0.0009)</w:t>
            </w:r>
          </w:p>
        </w:tc>
      </w:tr>
      <w:tr w:rsidR="003E148C" w:rsidRPr="00F34D5D" w14:paraId="3DABA5B5" w14:textId="77777777" w:rsidTr="0026218B">
        <w:tc>
          <w:tcPr>
            <w:tcW w:w="0" w:type="auto"/>
            <w:tcBorders>
              <w:top w:val="nil"/>
              <w:left w:val="nil"/>
              <w:bottom w:val="nil"/>
              <w:right w:val="nil"/>
            </w:tcBorders>
          </w:tcPr>
          <w:p w14:paraId="604B6952" w14:textId="77777777" w:rsidR="003E148C" w:rsidRPr="004A2242" w:rsidRDefault="003E148C" w:rsidP="0026218B">
            <w:pPr>
              <w:widowControl w:val="0"/>
              <w:autoSpaceDE w:val="0"/>
              <w:autoSpaceDN w:val="0"/>
              <w:adjustRightInd w:val="0"/>
              <w:rPr>
                <w:iCs/>
                <w:sz w:val="20"/>
                <w:szCs w:val="20"/>
              </w:rPr>
            </w:pPr>
            <w:r w:rsidRPr="004A2242">
              <w:rPr>
                <w:iCs/>
                <w:sz w:val="20"/>
                <w:szCs w:val="20"/>
              </w:rPr>
              <w:t>Workers (ln)</w:t>
            </w:r>
          </w:p>
        </w:tc>
        <w:tc>
          <w:tcPr>
            <w:tcW w:w="0" w:type="auto"/>
            <w:gridSpan w:val="2"/>
            <w:tcBorders>
              <w:top w:val="nil"/>
              <w:left w:val="nil"/>
              <w:bottom w:val="nil"/>
              <w:right w:val="nil"/>
            </w:tcBorders>
          </w:tcPr>
          <w:p w14:paraId="4814688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-0.0012</w:t>
            </w:r>
          </w:p>
        </w:tc>
        <w:tc>
          <w:tcPr>
            <w:tcW w:w="0" w:type="auto"/>
            <w:gridSpan w:val="2"/>
            <w:tcBorders>
              <w:top w:val="nil"/>
              <w:left w:val="nil"/>
              <w:bottom w:val="nil"/>
              <w:right w:val="nil"/>
            </w:tcBorders>
          </w:tcPr>
          <w:p w14:paraId="51FBA31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-0.0045</w:t>
            </w:r>
          </w:p>
        </w:tc>
      </w:tr>
      <w:tr w:rsidR="003E148C" w:rsidRPr="00F34D5D" w14:paraId="090091A4" w14:textId="77777777" w:rsidTr="0026218B">
        <w:tc>
          <w:tcPr>
            <w:tcW w:w="0" w:type="auto"/>
            <w:tcBorders>
              <w:top w:val="nil"/>
              <w:left w:val="nil"/>
              <w:bottom w:val="nil"/>
              <w:right w:val="nil"/>
            </w:tcBorders>
          </w:tcPr>
          <w:p w14:paraId="7D00E51F" w14:textId="77777777" w:rsidR="003E148C" w:rsidRPr="004A2242" w:rsidRDefault="003E148C" w:rsidP="0026218B">
            <w:pPr>
              <w:widowControl w:val="0"/>
              <w:autoSpaceDE w:val="0"/>
              <w:autoSpaceDN w:val="0"/>
              <w:adjustRightInd w:val="0"/>
              <w:rPr>
                <w:iCs/>
                <w:sz w:val="20"/>
                <w:szCs w:val="20"/>
              </w:rPr>
            </w:pPr>
          </w:p>
        </w:tc>
        <w:tc>
          <w:tcPr>
            <w:tcW w:w="0" w:type="auto"/>
            <w:gridSpan w:val="2"/>
            <w:tcBorders>
              <w:top w:val="nil"/>
              <w:left w:val="nil"/>
              <w:bottom w:val="nil"/>
              <w:right w:val="nil"/>
            </w:tcBorders>
          </w:tcPr>
          <w:p w14:paraId="2662C45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c>
          <w:tcPr>
            <w:tcW w:w="0" w:type="auto"/>
            <w:gridSpan w:val="2"/>
            <w:tcBorders>
              <w:top w:val="nil"/>
              <w:left w:val="nil"/>
              <w:bottom w:val="nil"/>
              <w:right w:val="nil"/>
            </w:tcBorders>
          </w:tcPr>
          <w:p w14:paraId="3612C44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(0.0001)</w:t>
            </w:r>
          </w:p>
        </w:tc>
      </w:tr>
      <w:tr w:rsidR="003E148C" w:rsidRPr="00F34D5D" w14:paraId="685C0722" w14:textId="77777777" w:rsidTr="0026218B">
        <w:tc>
          <w:tcPr>
            <w:tcW w:w="0" w:type="auto"/>
            <w:tcBorders>
              <w:top w:val="nil"/>
              <w:left w:val="nil"/>
              <w:bottom w:val="nil"/>
              <w:right w:val="nil"/>
            </w:tcBorders>
          </w:tcPr>
          <w:p w14:paraId="75DFFCBE" w14:textId="77777777" w:rsidR="003E148C" w:rsidRPr="004A2242" w:rsidRDefault="003E148C" w:rsidP="0026218B">
            <w:pPr>
              <w:widowControl w:val="0"/>
              <w:autoSpaceDE w:val="0"/>
              <w:autoSpaceDN w:val="0"/>
              <w:adjustRightInd w:val="0"/>
              <w:rPr>
                <w:iCs/>
                <w:sz w:val="20"/>
                <w:szCs w:val="20"/>
              </w:rPr>
            </w:pPr>
            <w:r w:rsidRPr="004A2242">
              <w:rPr>
                <w:iCs/>
                <w:sz w:val="20"/>
                <w:szCs w:val="20"/>
              </w:rPr>
              <w:t>Constant</w:t>
            </w:r>
          </w:p>
        </w:tc>
        <w:tc>
          <w:tcPr>
            <w:tcW w:w="0" w:type="auto"/>
            <w:gridSpan w:val="2"/>
            <w:tcBorders>
              <w:top w:val="nil"/>
              <w:left w:val="nil"/>
              <w:bottom w:val="nil"/>
              <w:right w:val="nil"/>
            </w:tcBorders>
          </w:tcPr>
          <w:p w14:paraId="2CEFFFC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0.0584</w:t>
            </w:r>
          </w:p>
        </w:tc>
        <w:tc>
          <w:tcPr>
            <w:tcW w:w="0" w:type="auto"/>
            <w:gridSpan w:val="2"/>
            <w:tcBorders>
              <w:top w:val="nil"/>
              <w:left w:val="nil"/>
              <w:bottom w:val="nil"/>
              <w:right w:val="nil"/>
            </w:tcBorders>
          </w:tcPr>
          <w:p w14:paraId="0E337D5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0.1228</w:t>
            </w:r>
          </w:p>
        </w:tc>
      </w:tr>
      <w:tr w:rsidR="003E148C" w:rsidRPr="00F34D5D" w14:paraId="7A866572" w14:textId="77777777" w:rsidTr="0026218B">
        <w:tc>
          <w:tcPr>
            <w:tcW w:w="0" w:type="auto"/>
            <w:tcBorders>
              <w:top w:val="nil"/>
              <w:left w:val="nil"/>
              <w:bottom w:val="nil"/>
              <w:right w:val="nil"/>
            </w:tcBorders>
          </w:tcPr>
          <w:p w14:paraId="2D8A9AB7" w14:textId="77777777" w:rsidR="003E148C" w:rsidRPr="00F34D5D"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395E1F8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(0.0009)</w:t>
            </w:r>
          </w:p>
        </w:tc>
        <w:tc>
          <w:tcPr>
            <w:tcW w:w="0" w:type="auto"/>
            <w:gridSpan w:val="2"/>
            <w:tcBorders>
              <w:top w:val="nil"/>
              <w:left w:val="nil"/>
              <w:bottom w:val="nil"/>
              <w:right w:val="nil"/>
            </w:tcBorders>
          </w:tcPr>
          <w:p w14:paraId="6AEBFE4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(0.0043)</w:t>
            </w:r>
          </w:p>
        </w:tc>
      </w:tr>
      <w:tr w:rsidR="003E148C" w:rsidRPr="00F34D5D" w14:paraId="3F6DBF6D" w14:textId="77777777" w:rsidTr="0026218B">
        <w:tc>
          <w:tcPr>
            <w:tcW w:w="0" w:type="auto"/>
            <w:tcBorders>
              <w:top w:val="nil"/>
              <w:left w:val="nil"/>
              <w:bottom w:val="nil"/>
              <w:right w:val="nil"/>
            </w:tcBorders>
          </w:tcPr>
          <w:p w14:paraId="10EEB23D" w14:textId="77777777" w:rsidR="003E148C" w:rsidRPr="00F34D5D" w:rsidRDefault="003E148C" w:rsidP="0026218B">
            <w:pPr>
              <w:widowControl w:val="0"/>
              <w:autoSpaceDE w:val="0"/>
              <w:autoSpaceDN w:val="0"/>
              <w:adjustRightInd w:val="0"/>
              <w:rPr>
                <w:sz w:val="20"/>
                <w:szCs w:val="20"/>
              </w:rPr>
            </w:pPr>
            <w:r w:rsidRPr="00F34D5D">
              <w:rPr>
                <w:sz w:val="20"/>
                <w:szCs w:val="20"/>
              </w:rPr>
              <w:t xml:space="preserve">R2 </w:t>
            </w:r>
          </w:p>
        </w:tc>
        <w:tc>
          <w:tcPr>
            <w:tcW w:w="0" w:type="auto"/>
            <w:gridSpan w:val="2"/>
            <w:tcBorders>
              <w:top w:val="nil"/>
              <w:left w:val="nil"/>
              <w:bottom w:val="nil"/>
              <w:right w:val="nil"/>
            </w:tcBorders>
          </w:tcPr>
          <w:p w14:paraId="3038905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0.06</w:t>
            </w:r>
          </w:p>
        </w:tc>
        <w:tc>
          <w:tcPr>
            <w:tcW w:w="0" w:type="auto"/>
            <w:gridSpan w:val="2"/>
            <w:tcBorders>
              <w:top w:val="nil"/>
              <w:left w:val="nil"/>
              <w:bottom w:val="nil"/>
              <w:right w:val="nil"/>
            </w:tcBorders>
          </w:tcPr>
          <w:p w14:paraId="0505828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0.27</w:t>
            </w:r>
          </w:p>
        </w:tc>
      </w:tr>
      <w:tr w:rsidR="003E148C" w:rsidRPr="00F34D5D" w14:paraId="44411F4F" w14:textId="77777777" w:rsidTr="0026218B">
        <w:tc>
          <w:tcPr>
            <w:tcW w:w="0" w:type="auto"/>
            <w:tcBorders>
              <w:top w:val="nil"/>
              <w:left w:val="nil"/>
              <w:bottom w:val="nil"/>
              <w:right w:val="nil"/>
            </w:tcBorders>
          </w:tcPr>
          <w:p w14:paraId="70558386" w14:textId="77777777" w:rsidR="003E148C" w:rsidRPr="00F34D5D" w:rsidRDefault="003E148C" w:rsidP="0026218B">
            <w:pPr>
              <w:widowControl w:val="0"/>
              <w:autoSpaceDE w:val="0"/>
              <w:autoSpaceDN w:val="0"/>
              <w:adjustRightInd w:val="0"/>
              <w:rPr>
                <w:sz w:val="20"/>
                <w:szCs w:val="20"/>
              </w:rPr>
            </w:pPr>
            <w:r w:rsidRPr="00F34D5D">
              <w:rPr>
                <w:i/>
                <w:iCs/>
                <w:sz w:val="20"/>
                <w:szCs w:val="20"/>
              </w:rPr>
              <w:t>N</w:t>
            </w:r>
          </w:p>
        </w:tc>
        <w:tc>
          <w:tcPr>
            <w:tcW w:w="0" w:type="auto"/>
            <w:gridSpan w:val="2"/>
            <w:tcBorders>
              <w:top w:val="nil"/>
              <w:left w:val="nil"/>
              <w:bottom w:val="nil"/>
              <w:right w:val="nil"/>
            </w:tcBorders>
          </w:tcPr>
          <w:p w14:paraId="1BA39E1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21,569,650</w:t>
            </w:r>
          </w:p>
        </w:tc>
        <w:tc>
          <w:tcPr>
            <w:tcW w:w="0" w:type="auto"/>
            <w:gridSpan w:val="2"/>
            <w:tcBorders>
              <w:top w:val="nil"/>
              <w:left w:val="nil"/>
              <w:bottom w:val="nil"/>
              <w:right w:val="nil"/>
            </w:tcBorders>
          </w:tcPr>
          <w:p w14:paraId="6EF4E6A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20,463,276</w:t>
            </w:r>
          </w:p>
        </w:tc>
      </w:tr>
      <w:tr w:rsidR="003E148C" w:rsidRPr="00F34D5D" w14:paraId="16F53836" w14:textId="77777777" w:rsidTr="0026218B">
        <w:tc>
          <w:tcPr>
            <w:tcW w:w="0" w:type="auto"/>
            <w:tcBorders>
              <w:top w:val="nil"/>
              <w:left w:val="nil"/>
              <w:bottom w:val="nil"/>
              <w:right w:val="nil"/>
            </w:tcBorders>
          </w:tcPr>
          <w:p w14:paraId="115AEBC0" w14:textId="77777777" w:rsidR="003E148C" w:rsidRPr="00F34D5D" w:rsidRDefault="003E148C" w:rsidP="0026218B">
            <w:pPr>
              <w:widowControl w:val="0"/>
              <w:autoSpaceDE w:val="0"/>
              <w:autoSpaceDN w:val="0"/>
              <w:adjustRightInd w:val="0"/>
              <w:rPr>
                <w:iCs/>
                <w:sz w:val="20"/>
                <w:szCs w:val="20"/>
              </w:rPr>
            </w:pPr>
            <w:r w:rsidRPr="00F34D5D">
              <w:rPr>
                <w:iCs/>
                <w:sz w:val="20"/>
                <w:szCs w:val="20"/>
              </w:rPr>
              <w:t>Occupation FE</w:t>
            </w:r>
          </w:p>
        </w:tc>
        <w:tc>
          <w:tcPr>
            <w:tcW w:w="0" w:type="auto"/>
            <w:gridSpan w:val="2"/>
            <w:tcBorders>
              <w:top w:val="nil"/>
              <w:left w:val="nil"/>
              <w:bottom w:val="nil"/>
              <w:right w:val="nil"/>
            </w:tcBorders>
          </w:tcPr>
          <w:p w14:paraId="6812D44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gridSpan w:val="2"/>
            <w:tcBorders>
              <w:top w:val="nil"/>
              <w:left w:val="nil"/>
              <w:bottom w:val="nil"/>
              <w:right w:val="nil"/>
            </w:tcBorders>
          </w:tcPr>
          <w:p w14:paraId="3565A19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F34D5D" w14:paraId="382F7DB9" w14:textId="77777777" w:rsidTr="0026218B">
        <w:tc>
          <w:tcPr>
            <w:tcW w:w="0" w:type="auto"/>
            <w:tcBorders>
              <w:top w:val="nil"/>
              <w:left w:val="nil"/>
              <w:bottom w:val="nil"/>
              <w:right w:val="nil"/>
            </w:tcBorders>
          </w:tcPr>
          <w:p w14:paraId="587A29FC" w14:textId="77777777" w:rsidR="003E148C" w:rsidRPr="00F34D5D" w:rsidRDefault="003E148C" w:rsidP="0026218B">
            <w:pPr>
              <w:widowControl w:val="0"/>
              <w:autoSpaceDE w:val="0"/>
              <w:autoSpaceDN w:val="0"/>
              <w:adjustRightInd w:val="0"/>
              <w:rPr>
                <w:sz w:val="20"/>
                <w:szCs w:val="20"/>
              </w:rPr>
            </w:pPr>
            <w:r w:rsidRPr="00F34D5D">
              <w:rPr>
                <w:sz w:val="20"/>
                <w:szCs w:val="20"/>
              </w:rPr>
              <w:t>Year FE</w:t>
            </w:r>
          </w:p>
        </w:tc>
        <w:tc>
          <w:tcPr>
            <w:tcW w:w="0" w:type="auto"/>
            <w:gridSpan w:val="2"/>
            <w:tcBorders>
              <w:top w:val="nil"/>
              <w:left w:val="nil"/>
              <w:bottom w:val="nil"/>
              <w:right w:val="nil"/>
            </w:tcBorders>
          </w:tcPr>
          <w:p w14:paraId="61A9957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gridSpan w:val="2"/>
            <w:tcBorders>
              <w:top w:val="nil"/>
              <w:left w:val="nil"/>
              <w:bottom w:val="nil"/>
              <w:right w:val="nil"/>
            </w:tcBorders>
          </w:tcPr>
          <w:p w14:paraId="41D8E0A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F34D5D" w14:paraId="2A6B9B60" w14:textId="77777777" w:rsidTr="0026218B">
        <w:tc>
          <w:tcPr>
            <w:tcW w:w="0" w:type="auto"/>
            <w:tcBorders>
              <w:top w:val="nil"/>
              <w:left w:val="nil"/>
              <w:bottom w:val="nil"/>
              <w:right w:val="nil"/>
            </w:tcBorders>
          </w:tcPr>
          <w:p w14:paraId="10F7033E" w14:textId="21F6B4DF" w:rsidR="003E148C" w:rsidRPr="00F34D5D" w:rsidRDefault="004358A2" w:rsidP="0026218B">
            <w:pPr>
              <w:widowControl w:val="0"/>
              <w:autoSpaceDE w:val="0"/>
              <w:autoSpaceDN w:val="0"/>
              <w:adjustRightInd w:val="0"/>
              <w:rPr>
                <w:sz w:val="20"/>
                <w:szCs w:val="20"/>
              </w:rPr>
            </w:pPr>
            <w:r>
              <w:rPr>
                <w:sz w:val="20"/>
                <w:szCs w:val="20"/>
              </w:rPr>
              <w:t>Municipality</w:t>
            </w:r>
            <w:r w:rsidR="003E148C" w:rsidRPr="00F34D5D">
              <w:rPr>
                <w:sz w:val="20"/>
                <w:szCs w:val="20"/>
              </w:rPr>
              <w:t xml:space="preserve"> FE</w:t>
            </w:r>
          </w:p>
        </w:tc>
        <w:tc>
          <w:tcPr>
            <w:tcW w:w="0" w:type="auto"/>
            <w:gridSpan w:val="2"/>
            <w:tcBorders>
              <w:top w:val="nil"/>
              <w:left w:val="nil"/>
              <w:bottom w:val="nil"/>
              <w:right w:val="nil"/>
            </w:tcBorders>
          </w:tcPr>
          <w:p w14:paraId="6F441D9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gridSpan w:val="2"/>
            <w:tcBorders>
              <w:top w:val="nil"/>
              <w:left w:val="nil"/>
              <w:bottom w:val="nil"/>
              <w:right w:val="nil"/>
            </w:tcBorders>
          </w:tcPr>
          <w:p w14:paraId="233103C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F34D5D" w14:paraId="147F1E40" w14:textId="77777777" w:rsidTr="0026218B">
        <w:tc>
          <w:tcPr>
            <w:tcW w:w="0" w:type="auto"/>
            <w:tcBorders>
              <w:top w:val="nil"/>
              <w:left w:val="nil"/>
              <w:bottom w:val="single" w:sz="6" w:space="0" w:color="auto"/>
              <w:right w:val="nil"/>
            </w:tcBorders>
          </w:tcPr>
          <w:p w14:paraId="7D348BC9" w14:textId="77777777" w:rsidR="003E148C" w:rsidRPr="00F34D5D" w:rsidRDefault="003E148C" w:rsidP="0026218B">
            <w:pPr>
              <w:widowControl w:val="0"/>
              <w:autoSpaceDE w:val="0"/>
              <w:autoSpaceDN w:val="0"/>
              <w:adjustRightInd w:val="0"/>
              <w:rPr>
                <w:sz w:val="20"/>
                <w:szCs w:val="20"/>
              </w:rPr>
            </w:pPr>
            <w:r w:rsidRPr="00F34D5D">
              <w:rPr>
                <w:sz w:val="20"/>
                <w:szCs w:val="20"/>
              </w:rPr>
              <w:t>Worker FE</w:t>
            </w:r>
          </w:p>
        </w:tc>
        <w:tc>
          <w:tcPr>
            <w:tcW w:w="0" w:type="auto"/>
            <w:gridSpan w:val="2"/>
            <w:tcBorders>
              <w:top w:val="nil"/>
              <w:left w:val="nil"/>
              <w:bottom w:val="single" w:sz="6" w:space="0" w:color="auto"/>
              <w:right w:val="nil"/>
            </w:tcBorders>
          </w:tcPr>
          <w:p w14:paraId="63E39D05"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gridSpan w:val="2"/>
            <w:tcBorders>
              <w:top w:val="nil"/>
              <w:left w:val="nil"/>
              <w:bottom w:val="single" w:sz="6" w:space="0" w:color="auto"/>
              <w:right w:val="nil"/>
            </w:tcBorders>
          </w:tcPr>
          <w:p w14:paraId="2E0BC48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F93F29" w14:paraId="5109B078" w14:textId="77777777" w:rsidTr="0026218B">
        <w:tblPrEx>
          <w:tblCellMar>
            <w:left w:w="70" w:type="dxa"/>
            <w:right w:w="70" w:type="dxa"/>
          </w:tblCellMar>
          <w:tblLook w:val="04A0" w:firstRow="1" w:lastRow="0" w:firstColumn="1" w:lastColumn="0" w:noHBand="0" w:noVBand="1"/>
        </w:tblPrEx>
        <w:trPr>
          <w:trHeight w:val="20"/>
        </w:trPr>
        <w:tc>
          <w:tcPr>
            <w:tcW w:w="0" w:type="auto"/>
            <w:tcBorders>
              <w:top w:val="nil"/>
              <w:left w:val="nil"/>
              <w:bottom w:val="nil"/>
              <w:right w:val="nil"/>
            </w:tcBorders>
            <w:shd w:val="clear" w:color="auto" w:fill="auto"/>
            <w:noWrap/>
            <w:vAlign w:val="bottom"/>
            <w:hideMark/>
          </w:tcPr>
          <w:p w14:paraId="6BB8415C" w14:textId="77777777" w:rsidR="003E148C" w:rsidRPr="00B200A7" w:rsidRDefault="003E148C" w:rsidP="0026218B">
            <w:pPr>
              <w:rPr>
                <w:sz w:val="20"/>
                <w:szCs w:val="20"/>
                <w:lang w:eastAsia="pt-PT"/>
              </w:rPr>
            </w:pPr>
            <w:r w:rsidRPr="00B200A7">
              <w:rPr>
                <w:sz w:val="20"/>
                <w:szCs w:val="20"/>
                <w:lang w:eastAsia="pt-PT"/>
              </w:rPr>
              <w:t>Robust standard errors clustered by municipality in brackets</w:t>
            </w:r>
          </w:p>
        </w:tc>
        <w:tc>
          <w:tcPr>
            <w:tcW w:w="0" w:type="auto"/>
            <w:tcBorders>
              <w:top w:val="nil"/>
              <w:left w:val="nil"/>
              <w:bottom w:val="nil"/>
              <w:right w:val="nil"/>
            </w:tcBorders>
            <w:shd w:val="clear" w:color="auto" w:fill="auto"/>
            <w:noWrap/>
            <w:vAlign w:val="bottom"/>
            <w:hideMark/>
          </w:tcPr>
          <w:p w14:paraId="16B04489" w14:textId="77777777" w:rsidR="003E148C" w:rsidRPr="00F93F29" w:rsidRDefault="003E148C" w:rsidP="0026218B">
            <w:pPr>
              <w:rPr>
                <w:sz w:val="16"/>
                <w:szCs w:val="16"/>
                <w:lang w:eastAsia="pt-PT"/>
              </w:rPr>
            </w:pPr>
          </w:p>
        </w:tc>
        <w:tc>
          <w:tcPr>
            <w:tcW w:w="0" w:type="auto"/>
            <w:gridSpan w:val="2"/>
            <w:tcBorders>
              <w:top w:val="nil"/>
              <w:left w:val="nil"/>
              <w:bottom w:val="nil"/>
              <w:right w:val="nil"/>
            </w:tcBorders>
            <w:shd w:val="clear" w:color="auto" w:fill="auto"/>
            <w:noWrap/>
            <w:vAlign w:val="bottom"/>
            <w:hideMark/>
          </w:tcPr>
          <w:p w14:paraId="0341F4A5" w14:textId="77777777" w:rsidR="003E148C" w:rsidRPr="00F93F29" w:rsidRDefault="003E148C" w:rsidP="0026218B">
            <w:pPr>
              <w:rPr>
                <w:sz w:val="16"/>
                <w:szCs w:val="16"/>
                <w:lang w:eastAsia="pt-PT"/>
              </w:rPr>
            </w:pPr>
          </w:p>
        </w:tc>
        <w:tc>
          <w:tcPr>
            <w:tcW w:w="0" w:type="auto"/>
            <w:tcBorders>
              <w:top w:val="nil"/>
              <w:left w:val="nil"/>
              <w:bottom w:val="nil"/>
              <w:right w:val="nil"/>
            </w:tcBorders>
            <w:shd w:val="clear" w:color="auto" w:fill="auto"/>
            <w:noWrap/>
            <w:vAlign w:val="bottom"/>
            <w:hideMark/>
          </w:tcPr>
          <w:p w14:paraId="14530C40" w14:textId="77777777" w:rsidR="003E148C" w:rsidRPr="00F93F29" w:rsidRDefault="003E148C" w:rsidP="0026218B">
            <w:pPr>
              <w:rPr>
                <w:sz w:val="16"/>
                <w:szCs w:val="16"/>
                <w:lang w:eastAsia="pt-PT"/>
              </w:rPr>
            </w:pPr>
          </w:p>
        </w:tc>
      </w:tr>
    </w:tbl>
    <w:p w14:paraId="7BC3C56E" w14:textId="77777777" w:rsidR="003E148C" w:rsidRDefault="003E148C" w:rsidP="003E148C">
      <w:pPr>
        <w:rPr>
          <w:b/>
        </w:rPr>
      </w:pPr>
      <w:r>
        <w:rPr>
          <w:b/>
        </w:rPr>
        <w:br w:type="page"/>
      </w:r>
    </w:p>
    <w:p w14:paraId="207A0500" w14:textId="77777777" w:rsidR="003E148C" w:rsidRDefault="003E148C" w:rsidP="003E148C">
      <w:pPr>
        <w:pStyle w:val="TableCaption"/>
        <w:spacing w:line="240" w:lineRule="auto"/>
        <w:rPr>
          <w:b/>
        </w:rPr>
      </w:pPr>
      <w:r w:rsidRPr="00B200A7">
        <w:rPr>
          <w:b/>
        </w:rPr>
        <w:t>Table A</w:t>
      </w:r>
      <w:r>
        <w:rPr>
          <w:b/>
        </w:rPr>
        <w:t>8</w:t>
      </w:r>
      <w:r w:rsidRPr="00B200A7">
        <w:rPr>
          <w:b/>
        </w:rPr>
        <w:t xml:space="preserve">. Effect of the reform on wage – </w:t>
      </w:r>
      <w:r>
        <w:rPr>
          <w:b/>
        </w:rPr>
        <w:t>industry female representation</w:t>
      </w:r>
    </w:p>
    <w:p w14:paraId="041E842E" w14:textId="77777777" w:rsidR="003E148C" w:rsidRPr="00FD2050" w:rsidRDefault="003E148C" w:rsidP="003E148C">
      <w:pPr>
        <w:pStyle w:val="TableCaption"/>
        <w:spacing w:line="240" w:lineRule="auto"/>
        <w:rPr>
          <w:b/>
          <w:sz w:val="24"/>
          <w:szCs w:val="24"/>
        </w:rPr>
      </w:pPr>
    </w:p>
    <w:tbl>
      <w:tblPr>
        <w:tblW w:w="9342" w:type="dxa"/>
        <w:tblCellMar>
          <w:left w:w="144" w:type="dxa"/>
          <w:right w:w="144" w:type="dxa"/>
        </w:tblCellMar>
        <w:tblLook w:val="0000" w:firstRow="0" w:lastRow="0" w:firstColumn="0" w:lastColumn="0" w:noHBand="0" w:noVBand="0"/>
      </w:tblPr>
      <w:tblGrid>
        <w:gridCol w:w="4590"/>
        <w:gridCol w:w="1188"/>
        <w:gridCol w:w="1188"/>
        <w:gridCol w:w="1188"/>
        <w:gridCol w:w="1188"/>
      </w:tblGrid>
      <w:tr w:rsidR="003E148C" w:rsidRPr="008328ED" w14:paraId="7D80178A" w14:textId="77777777" w:rsidTr="0026218B">
        <w:trPr>
          <w:trHeight w:val="20"/>
        </w:trPr>
        <w:tc>
          <w:tcPr>
            <w:tcW w:w="4590" w:type="dxa"/>
            <w:tcBorders>
              <w:top w:val="single" w:sz="6" w:space="0" w:color="auto"/>
              <w:left w:val="nil"/>
              <w:bottom w:val="nil"/>
              <w:right w:val="nil"/>
            </w:tcBorders>
          </w:tcPr>
          <w:p w14:paraId="21C18E83" w14:textId="77777777" w:rsidR="003E148C" w:rsidRPr="00145120" w:rsidRDefault="003E148C" w:rsidP="0026218B">
            <w:pPr>
              <w:widowControl w:val="0"/>
              <w:autoSpaceDE w:val="0"/>
              <w:autoSpaceDN w:val="0"/>
              <w:adjustRightInd w:val="0"/>
              <w:jc w:val="center"/>
              <w:rPr>
                <w:sz w:val="20"/>
                <w:szCs w:val="20"/>
              </w:rPr>
            </w:pPr>
          </w:p>
        </w:tc>
        <w:tc>
          <w:tcPr>
            <w:tcW w:w="0" w:type="auto"/>
            <w:tcBorders>
              <w:top w:val="single" w:sz="6" w:space="0" w:color="auto"/>
              <w:left w:val="nil"/>
              <w:bottom w:val="nil"/>
              <w:right w:val="nil"/>
            </w:tcBorders>
          </w:tcPr>
          <w:p w14:paraId="1984FB1A"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1</w:t>
            </w:r>
          </w:p>
        </w:tc>
        <w:tc>
          <w:tcPr>
            <w:tcW w:w="0" w:type="auto"/>
            <w:tcBorders>
              <w:top w:val="single" w:sz="6" w:space="0" w:color="auto"/>
              <w:left w:val="nil"/>
              <w:bottom w:val="nil"/>
              <w:right w:val="nil"/>
            </w:tcBorders>
          </w:tcPr>
          <w:p w14:paraId="1DA1E12D"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2</w:t>
            </w:r>
          </w:p>
        </w:tc>
        <w:tc>
          <w:tcPr>
            <w:tcW w:w="0" w:type="auto"/>
            <w:tcBorders>
              <w:top w:val="single" w:sz="6" w:space="0" w:color="auto"/>
              <w:left w:val="nil"/>
              <w:bottom w:val="nil"/>
              <w:right w:val="nil"/>
            </w:tcBorders>
          </w:tcPr>
          <w:p w14:paraId="66482ED2"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3</w:t>
            </w:r>
          </w:p>
        </w:tc>
        <w:tc>
          <w:tcPr>
            <w:tcW w:w="0" w:type="auto"/>
            <w:tcBorders>
              <w:top w:val="single" w:sz="6" w:space="0" w:color="auto"/>
              <w:left w:val="nil"/>
              <w:bottom w:val="nil"/>
              <w:right w:val="nil"/>
            </w:tcBorders>
          </w:tcPr>
          <w:p w14:paraId="7A392652"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4</w:t>
            </w:r>
          </w:p>
        </w:tc>
      </w:tr>
      <w:tr w:rsidR="003E148C" w:rsidRPr="00145120" w14:paraId="4C545966" w14:textId="77777777" w:rsidTr="0026218B">
        <w:trPr>
          <w:trHeight w:val="20"/>
        </w:trPr>
        <w:tc>
          <w:tcPr>
            <w:tcW w:w="4590" w:type="dxa"/>
            <w:tcBorders>
              <w:top w:val="single" w:sz="6" w:space="0" w:color="auto"/>
              <w:left w:val="nil"/>
              <w:bottom w:val="nil"/>
              <w:right w:val="nil"/>
            </w:tcBorders>
          </w:tcPr>
          <w:p w14:paraId="3613FDCC" w14:textId="77777777" w:rsidR="003E148C" w:rsidRPr="00145120" w:rsidRDefault="003E148C" w:rsidP="0026218B">
            <w:pPr>
              <w:widowControl w:val="0"/>
              <w:autoSpaceDE w:val="0"/>
              <w:autoSpaceDN w:val="0"/>
              <w:adjustRightInd w:val="0"/>
              <w:rPr>
                <w:iCs/>
                <w:sz w:val="20"/>
                <w:szCs w:val="20"/>
              </w:rPr>
            </w:pPr>
            <w:r w:rsidRPr="00145120">
              <w:rPr>
                <w:iCs/>
                <w:sz w:val="20"/>
                <w:szCs w:val="20"/>
              </w:rPr>
              <w:t xml:space="preserve">Entry deregulation </w:t>
            </w:r>
          </w:p>
        </w:tc>
        <w:tc>
          <w:tcPr>
            <w:tcW w:w="0" w:type="auto"/>
            <w:tcBorders>
              <w:top w:val="single" w:sz="6" w:space="0" w:color="auto"/>
              <w:left w:val="nil"/>
              <w:bottom w:val="nil"/>
              <w:right w:val="nil"/>
            </w:tcBorders>
          </w:tcPr>
          <w:p w14:paraId="37FC4DE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0.0253</w:t>
            </w:r>
          </w:p>
        </w:tc>
        <w:tc>
          <w:tcPr>
            <w:tcW w:w="0" w:type="auto"/>
            <w:tcBorders>
              <w:top w:val="single" w:sz="6" w:space="0" w:color="auto"/>
              <w:left w:val="nil"/>
              <w:bottom w:val="nil"/>
              <w:right w:val="nil"/>
            </w:tcBorders>
          </w:tcPr>
          <w:p w14:paraId="65458C1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0.0165</w:t>
            </w:r>
          </w:p>
        </w:tc>
        <w:tc>
          <w:tcPr>
            <w:tcW w:w="0" w:type="auto"/>
            <w:tcBorders>
              <w:top w:val="single" w:sz="6" w:space="0" w:color="auto"/>
              <w:left w:val="nil"/>
              <w:bottom w:val="nil"/>
              <w:right w:val="nil"/>
            </w:tcBorders>
          </w:tcPr>
          <w:p w14:paraId="381CC4F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0.0138</w:t>
            </w:r>
          </w:p>
        </w:tc>
        <w:tc>
          <w:tcPr>
            <w:tcW w:w="0" w:type="auto"/>
            <w:tcBorders>
              <w:top w:val="single" w:sz="6" w:space="0" w:color="auto"/>
              <w:left w:val="nil"/>
              <w:bottom w:val="nil"/>
              <w:right w:val="nil"/>
            </w:tcBorders>
          </w:tcPr>
          <w:p w14:paraId="42BC494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0.0127</w:t>
            </w:r>
          </w:p>
        </w:tc>
      </w:tr>
      <w:tr w:rsidR="003E148C" w:rsidRPr="00145120" w14:paraId="18321CEE" w14:textId="77777777" w:rsidTr="0026218B">
        <w:trPr>
          <w:trHeight w:val="20"/>
        </w:trPr>
        <w:tc>
          <w:tcPr>
            <w:tcW w:w="4590" w:type="dxa"/>
            <w:tcBorders>
              <w:top w:val="nil"/>
              <w:left w:val="nil"/>
              <w:bottom w:val="nil"/>
              <w:right w:val="nil"/>
            </w:tcBorders>
          </w:tcPr>
          <w:p w14:paraId="5AF67CC3"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3D1D357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(0.0095)</w:t>
            </w:r>
          </w:p>
        </w:tc>
        <w:tc>
          <w:tcPr>
            <w:tcW w:w="0" w:type="auto"/>
            <w:tcBorders>
              <w:top w:val="nil"/>
              <w:left w:val="nil"/>
              <w:bottom w:val="nil"/>
              <w:right w:val="nil"/>
            </w:tcBorders>
          </w:tcPr>
          <w:p w14:paraId="2498A39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(0.0046)</w:t>
            </w:r>
          </w:p>
        </w:tc>
        <w:tc>
          <w:tcPr>
            <w:tcW w:w="0" w:type="auto"/>
            <w:tcBorders>
              <w:top w:val="nil"/>
              <w:left w:val="nil"/>
              <w:bottom w:val="nil"/>
              <w:right w:val="nil"/>
            </w:tcBorders>
          </w:tcPr>
          <w:p w14:paraId="0EC7D84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(0.0044)</w:t>
            </w:r>
          </w:p>
        </w:tc>
        <w:tc>
          <w:tcPr>
            <w:tcW w:w="0" w:type="auto"/>
            <w:tcBorders>
              <w:top w:val="nil"/>
              <w:left w:val="nil"/>
              <w:bottom w:val="nil"/>
              <w:right w:val="nil"/>
            </w:tcBorders>
          </w:tcPr>
          <w:p w14:paraId="23C002A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(0.0047)</w:t>
            </w:r>
          </w:p>
        </w:tc>
      </w:tr>
      <w:tr w:rsidR="003E148C" w:rsidRPr="00145120" w14:paraId="37FDBC12" w14:textId="77777777" w:rsidTr="0026218B">
        <w:trPr>
          <w:trHeight w:val="20"/>
        </w:trPr>
        <w:tc>
          <w:tcPr>
            <w:tcW w:w="4590" w:type="dxa"/>
            <w:tcBorders>
              <w:top w:val="nil"/>
              <w:left w:val="nil"/>
              <w:bottom w:val="nil"/>
              <w:right w:val="nil"/>
            </w:tcBorders>
          </w:tcPr>
          <w:p w14:paraId="558C97A6" w14:textId="77777777" w:rsidR="003E148C" w:rsidRPr="00145120" w:rsidRDefault="003E148C" w:rsidP="0026218B">
            <w:pPr>
              <w:widowControl w:val="0"/>
              <w:autoSpaceDE w:val="0"/>
              <w:autoSpaceDN w:val="0"/>
              <w:adjustRightInd w:val="0"/>
              <w:rPr>
                <w:iCs/>
                <w:sz w:val="20"/>
                <w:szCs w:val="20"/>
              </w:rPr>
            </w:pPr>
            <w:r w:rsidRPr="00145120">
              <w:rPr>
                <w:iCs/>
                <w:sz w:val="20"/>
                <w:szCs w:val="20"/>
              </w:rPr>
              <w:t>Female</w:t>
            </w:r>
          </w:p>
        </w:tc>
        <w:tc>
          <w:tcPr>
            <w:tcW w:w="0" w:type="auto"/>
            <w:tcBorders>
              <w:top w:val="nil"/>
              <w:left w:val="nil"/>
              <w:bottom w:val="nil"/>
              <w:right w:val="nil"/>
            </w:tcBorders>
          </w:tcPr>
          <w:p w14:paraId="0DA2963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-0.2014</w:t>
            </w:r>
          </w:p>
        </w:tc>
        <w:tc>
          <w:tcPr>
            <w:tcW w:w="0" w:type="auto"/>
            <w:tcBorders>
              <w:top w:val="nil"/>
              <w:left w:val="nil"/>
              <w:bottom w:val="nil"/>
              <w:right w:val="nil"/>
            </w:tcBorders>
          </w:tcPr>
          <w:p w14:paraId="3168BC4E"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1A0CC266"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768A7029" w14:textId="77777777" w:rsidR="003E148C" w:rsidRPr="00145120" w:rsidRDefault="003E148C" w:rsidP="0026218B">
            <w:pPr>
              <w:widowControl w:val="0"/>
              <w:autoSpaceDE w:val="0"/>
              <w:autoSpaceDN w:val="0"/>
              <w:adjustRightInd w:val="0"/>
              <w:jc w:val="center"/>
              <w:rPr>
                <w:sz w:val="20"/>
                <w:szCs w:val="20"/>
                <w:lang w:val="fr-FR" w:eastAsia="fr-FR"/>
              </w:rPr>
            </w:pPr>
          </w:p>
        </w:tc>
      </w:tr>
      <w:tr w:rsidR="003E148C" w:rsidRPr="00145120" w14:paraId="3611B701" w14:textId="77777777" w:rsidTr="0026218B">
        <w:trPr>
          <w:trHeight w:val="20"/>
        </w:trPr>
        <w:tc>
          <w:tcPr>
            <w:tcW w:w="4590" w:type="dxa"/>
            <w:tcBorders>
              <w:top w:val="nil"/>
              <w:left w:val="nil"/>
              <w:bottom w:val="nil"/>
              <w:right w:val="nil"/>
            </w:tcBorders>
          </w:tcPr>
          <w:p w14:paraId="1C24DD07"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4D400AE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(0.0098)</w:t>
            </w:r>
          </w:p>
        </w:tc>
        <w:tc>
          <w:tcPr>
            <w:tcW w:w="0" w:type="auto"/>
            <w:tcBorders>
              <w:top w:val="nil"/>
              <w:left w:val="nil"/>
              <w:bottom w:val="nil"/>
              <w:right w:val="nil"/>
            </w:tcBorders>
          </w:tcPr>
          <w:p w14:paraId="2CEEB342"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5C5FAA11"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5D0C25C4" w14:textId="77777777" w:rsidR="003E148C" w:rsidRPr="00145120" w:rsidRDefault="003E148C" w:rsidP="0026218B">
            <w:pPr>
              <w:widowControl w:val="0"/>
              <w:autoSpaceDE w:val="0"/>
              <w:autoSpaceDN w:val="0"/>
              <w:adjustRightInd w:val="0"/>
              <w:jc w:val="center"/>
              <w:rPr>
                <w:sz w:val="20"/>
                <w:szCs w:val="20"/>
                <w:lang w:val="fr-FR" w:eastAsia="fr-FR"/>
              </w:rPr>
            </w:pPr>
          </w:p>
        </w:tc>
      </w:tr>
      <w:tr w:rsidR="003E148C" w:rsidRPr="00145120" w14:paraId="04B8D7EF" w14:textId="77777777" w:rsidTr="0026218B">
        <w:trPr>
          <w:trHeight w:val="20"/>
        </w:trPr>
        <w:tc>
          <w:tcPr>
            <w:tcW w:w="4590" w:type="dxa"/>
            <w:tcBorders>
              <w:top w:val="nil"/>
              <w:left w:val="nil"/>
              <w:bottom w:val="nil"/>
              <w:right w:val="nil"/>
            </w:tcBorders>
          </w:tcPr>
          <w:p w14:paraId="60A6834B" w14:textId="77777777" w:rsidR="003E148C" w:rsidRPr="00145120" w:rsidRDefault="003E148C" w:rsidP="0026218B">
            <w:pPr>
              <w:widowControl w:val="0"/>
              <w:autoSpaceDE w:val="0"/>
              <w:autoSpaceDN w:val="0"/>
              <w:adjustRightInd w:val="0"/>
              <w:rPr>
                <w:iCs/>
                <w:sz w:val="20"/>
                <w:szCs w:val="20"/>
              </w:rPr>
            </w:pPr>
            <w:r w:rsidRPr="00145120">
              <w:rPr>
                <w:iCs/>
                <w:sz w:val="20"/>
                <w:szCs w:val="20"/>
              </w:rPr>
              <w:t>Entry deregulation</w:t>
            </w:r>
            <w:r w:rsidRPr="00145120">
              <w:rPr>
                <w:sz w:val="20"/>
                <w:szCs w:val="20"/>
              </w:rPr>
              <w:t>*</w:t>
            </w:r>
            <w:r w:rsidRPr="00145120">
              <w:rPr>
                <w:iCs/>
                <w:sz w:val="20"/>
                <w:szCs w:val="20"/>
              </w:rPr>
              <w:t>Female</w:t>
            </w:r>
          </w:p>
        </w:tc>
        <w:tc>
          <w:tcPr>
            <w:tcW w:w="0" w:type="auto"/>
            <w:tcBorders>
              <w:top w:val="nil"/>
              <w:left w:val="nil"/>
              <w:bottom w:val="nil"/>
              <w:right w:val="nil"/>
            </w:tcBorders>
          </w:tcPr>
          <w:p w14:paraId="6F07BD98" w14:textId="77777777" w:rsidR="003E148C" w:rsidRPr="00145120" w:rsidRDefault="003E148C" w:rsidP="0026218B">
            <w:pPr>
              <w:widowControl w:val="0"/>
              <w:autoSpaceDE w:val="0"/>
              <w:autoSpaceDN w:val="0"/>
              <w:adjustRightInd w:val="0"/>
              <w:jc w:val="center"/>
              <w:rPr>
                <w:sz w:val="20"/>
                <w:szCs w:val="20"/>
                <w:lang w:val="fr-FR" w:eastAsia="fr-FR"/>
              </w:rPr>
            </w:pPr>
            <w:r>
              <w:rPr>
                <w:sz w:val="20"/>
                <w:szCs w:val="20"/>
                <w:lang w:val="fr-FR" w:eastAsia="fr-FR"/>
              </w:rPr>
              <w:t>-0.0198</w:t>
            </w:r>
          </w:p>
        </w:tc>
        <w:tc>
          <w:tcPr>
            <w:tcW w:w="0" w:type="auto"/>
            <w:tcBorders>
              <w:top w:val="nil"/>
              <w:left w:val="nil"/>
              <w:bottom w:val="nil"/>
              <w:right w:val="nil"/>
            </w:tcBorders>
          </w:tcPr>
          <w:p w14:paraId="170158E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-0.0026</w:t>
            </w:r>
          </w:p>
        </w:tc>
        <w:tc>
          <w:tcPr>
            <w:tcW w:w="0" w:type="auto"/>
            <w:tcBorders>
              <w:top w:val="nil"/>
              <w:left w:val="nil"/>
              <w:bottom w:val="nil"/>
              <w:right w:val="nil"/>
            </w:tcBorders>
          </w:tcPr>
          <w:p w14:paraId="29BC199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0.0011</w:t>
            </w:r>
          </w:p>
        </w:tc>
        <w:tc>
          <w:tcPr>
            <w:tcW w:w="0" w:type="auto"/>
            <w:tcBorders>
              <w:top w:val="nil"/>
              <w:left w:val="nil"/>
              <w:bottom w:val="nil"/>
              <w:right w:val="nil"/>
            </w:tcBorders>
          </w:tcPr>
          <w:p w14:paraId="302E8BE0" w14:textId="77777777" w:rsidR="003E148C" w:rsidRPr="00145120" w:rsidRDefault="003E148C" w:rsidP="0026218B">
            <w:pPr>
              <w:widowControl w:val="0"/>
              <w:autoSpaceDE w:val="0"/>
              <w:autoSpaceDN w:val="0"/>
              <w:adjustRightInd w:val="0"/>
              <w:jc w:val="center"/>
              <w:rPr>
                <w:sz w:val="20"/>
                <w:szCs w:val="20"/>
                <w:lang w:val="fr-FR" w:eastAsia="fr-FR"/>
              </w:rPr>
            </w:pPr>
            <w:r>
              <w:rPr>
                <w:sz w:val="20"/>
                <w:szCs w:val="20"/>
                <w:lang w:val="fr-FR" w:eastAsia="fr-FR"/>
              </w:rPr>
              <w:t>0.0076</w:t>
            </w:r>
          </w:p>
        </w:tc>
      </w:tr>
      <w:tr w:rsidR="003E148C" w:rsidRPr="00145120" w14:paraId="12FA71EF" w14:textId="77777777" w:rsidTr="0026218B">
        <w:trPr>
          <w:trHeight w:val="20"/>
        </w:trPr>
        <w:tc>
          <w:tcPr>
            <w:tcW w:w="4590" w:type="dxa"/>
            <w:tcBorders>
              <w:top w:val="nil"/>
              <w:left w:val="nil"/>
              <w:bottom w:val="nil"/>
              <w:right w:val="nil"/>
            </w:tcBorders>
          </w:tcPr>
          <w:p w14:paraId="4240B135"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46DB1FB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(0.0087)</w:t>
            </w:r>
          </w:p>
        </w:tc>
        <w:tc>
          <w:tcPr>
            <w:tcW w:w="0" w:type="auto"/>
            <w:tcBorders>
              <w:top w:val="nil"/>
              <w:left w:val="nil"/>
              <w:bottom w:val="nil"/>
              <w:right w:val="nil"/>
            </w:tcBorders>
          </w:tcPr>
          <w:p w14:paraId="5F5D553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(0.0037)</w:t>
            </w:r>
          </w:p>
        </w:tc>
        <w:tc>
          <w:tcPr>
            <w:tcW w:w="0" w:type="auto"/>
            <w:tcBorders>
              <w:top w:val="nil"/>
              <w:left w:val="nil"/>
              <w:bottom w:val="nil"/>
              <w:right w:val="nil"/>
            </w:tcBorders>
          </w:tcPr>
          <w:p w14:paraId="1A9A609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(0.0028)</w:t>
            </w:r>
          </w:p>
        </w:tc>
        <w:tc>
          <w:tcPr>
            <w:tcW w:w="0" w:type="auto"/>
            <w:tcBorders>
              <w:top w:val="nil"/>
              <w:left w:val="nil"/>
              <w:bottom w:val="nil"/>
              <w:right w:val="nil"/>
            </w:tcBorders>
          </w:tcPr>
          <w:p w14:paraId="2F7768C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(0.0033)</w:t>
            </w:r>
          </w:p>
        </w:tc>
      </w:tr>
      <w:tr w:rsidR="003E148C" w:rsidRPr="00145120" w14:paraId="79146B4E" w14:textId="77777777" w:rsidTr="0026218B">
        <w:trPr>
          <w:trHeight w:val="20"/>
        </w:trPr>
        <w:tc>
          <w:tcPr>
            <w:tcW w:w="4590" w:type="dxa"/>
            <w:tcBorders>
              <w:top w:val="nil"/>
              <w:left w:val="nil"/>
              <w:bottom w:val="nil"/>
              <w:right w:val="nil"/>
            </w:tcBorders>
          </w:tcPr>
          <w:p w14:paraId="2CF18BAF" w14:textId="77777777" w:rsidR="003E148C" w:rsidRPr="00145120" w:rsidRDefault="003E148C" w:rsidP="0026218B">
            <w:pPr>
              <w:widowControl w:val="0"/>
              <w:autoSpaceDE w:val="0"/>
              <w:autoSpaceDN w:val="0"/>
              <w:adjustRightInd w:val="0"/>
              <w:rPr>
                <w:iCs/>
                <w:sz w:val="20"/>
                <w:szCs w:val="20"/>
              </w:rPr>
            </w:pPr>
            <w:r w:rsidRPr="00145120">
              <w:rPr>
                <w:iCs/>
                <w:sz w:val="20"/>
                <w:szCs w:val="20"/>
              </w:rPr>
              <w:t>Female representation</w:t>
            </w:r>
          </w:p>
        </w:tc>
        <w:tc>
          <w:tcPr>
            <w:tcW w:w="0" w:type="auto"/>
            <w:tcBorders>
              <w:top w:val="nil"/>
              <w:left w:val="nil"/>
              <w:bottom w:val="nil"/>
              <w:right w:val="nil"/>
            </w:tcBorders>
          </w:tcPr>
          <w:p w14:paraId="4988725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-0.0709</w:t>
            </w:r>
          </w:p>
        </w:tc>
        <w:tc>
          <w:tcPr>
            <w:tcW w:w="0" w:type="auto"/>
            <w:tcBorders>
              <w:top w:val="nil"/>
              <w:left w:val="nil"/>
              <w:bottom w:val="nil"/>
              <w:right w:val="nil"/>
            </w:tcBorders>
          </w:tcPr>
          <w:p w14:paraId="1297758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-0.0077</w:t>
            </w:r>
          </w:p>
        </w:tc>
        <w:tc>
          <w:tcPr>
            <w:tcW w:w="0" w:type="auto"/>
            <w:tcBorders>
              <w:top w:val="nil"/>
              <w:left w:val="nil"/>
              <w:bottom w:val="nil"/>
              <w:right w:val="nil"/>
            </w:tcBorders>
          </w:tcPr>
          <w:p w14:paraId="5784BAE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-0.0132</w:t>
            </w:r>
          </w:p>
        </w:tc>
        <w:tc>
          <w:tcPr>
            <w:tcW w:w="0" w:type="auto"/>
            <w:tcBorders>
              <w:top w:val="nil"/>
              <w:left w:val="nil"/>
              <w:bottom w:val="nil"/>
              <w:right w:val="nil"/>
            </w:tcBorders>
          </w:tcPr>
          <w:p w14:paraId="1A02D0E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-0.0105</w:t>
            </w:r>
          </w:p>
        </w:tc>
      </w:tr>
      <w:tr w:rsidR="003E148C" w:rsidRPr="00145120" w14:paraId="60FAD66C" w14:textId="77777777" w:rsidTr="0026218B">
        <w:trPr>
          <w:trHeight w:val="20"/>
        </w:trPr>
        <w:tc>
          <w:tcPr>
            <w:tcW w:w="4590" w:type="dxa"/>
            <w:tcBorders>
              <w:top w:val="nil"/>
              <w:left w:val="nil"/>
              <w:bottom w:val="nil"/>
              <w:right w:val="nil"/>
            </w:tcBorders>
          </w:tcPr>
          <w:p w14:paraId="1F657D2F"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138032A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(0.0168)</w:t>
            </w:r>
          </w:p>
        </w:tc>
        <w:tc>
          <w:tcPr>
            <w:tcW w:w="0" w:type="auto"/>
            <w:tcBorders>
              <w:top w:val="nil"/>
              <w:left w:val="nil"/>
              <w:bottom w:val="nil"/>
              <w:right w:val="nil"/>
            </w:tcBorders>
          </w:tcPr>
          <w:p w14:paraId="38238AC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(0.0093)</w:t>
            </w:r>
          </w:p>
        </w:tc>
        <w:tc>
          <w:tcPr>
            <w:tcW w:w="0" w:type="auto"/>
            <w:tcBorders>
              <w:top w:val="nil"/>
              <w:left w:val="nil"/>
              <w:bottom w:val="nil"/>
              <w:right w:val="nil"/>
            </w:tcBorders>
          </w:tcPr>
          <w:p w14:paraId="468EEB6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(0.0081)</w:t>
            </w:r>
          </w:p>
        </w:tc>
        <w:tc>
          <w:tcPr>
            <w:tcW w:w="0" w:type="auto"/>
            <w:tcBorders>
              <w:top w:val="nil"/>
              <w:left w:val="nil"/>
              <w:bottom w:val="nil"/>
              <w:right w:val="nil"/>
            </w:tcBorders>
          </w:tcPr>
          <w:p w14:paraId="73E9875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(0.0084)</w:t>
            </w:r>
          </w:p>
        </w:tc>
      </w:tr>
      <w:tr w:rsidR="003E148C" w:rsidRPr="00145120" w14:paraId="3A8C127C" w14:textId="77777777" w:rsidTr="0026218B">
        <w:trPr>
          <w:trHeight w:val="20"/>
        </w:trPr>
        <w:tc>
          <w:tcPr>
            <w:tcW w:w="4590" w:type="dxa"/>
            <w:tcBorders>
              <w:top w:val="nil"/>
              <w:left w:val="nil"/>
              <w:bottom w:val="nil"/>
              <w:right w:val="nil"/>
            </w:tcBorders>
          </w:tcPr>
          <w:p w14:paraId="1200CCC5" w14:textId="77777777" w:rsidR="003E148C" w:rsidRPr="00145120" w:rsidRDefault="003E148C" w:rsidP="0026218B">
            <w:pPr>
              <w:widowControl w:val="0"/>
              <w:autoSpaceDE w:val="0"/>
              <w:autoSpaceDN w:val="0"/>
              <w:adjustRightInd w:val="0"/>
              <w:rPr>
                <w:iCs/>
                <w:sz w:val="20"/>
                <w:szCs w:val="20"/>
              </w:rPr>
            </w:pPr>
            <w:r w:rsidRPr="00145120">
              <w:rPr>
                <w:iCs/>
                <w:sz w:val="20"/>
                <w:szCs w:val="20"/>
              </w:rPr>
              <w:t>Entry deregulation</w:t>
            </w:r>
            <w:r w:rsidRPr="00145120">
              <w:rPr>
                <w:sz w:val="20"/>
                <w:szCs w:val="20"/>
              </w:rPr>
              <w:t>*</w:t>
            </w:r>
            <w:r w:rsidRPr="00145120">
              <w:rPr>
                <w:iCs/>
                <w:sz w:val="20"/>
                <w:szCs w:val="20"/>
              </w:rPr>
              <w:t>Female representation</w:t>
            </w:r>
          </w:p>
        </w:tc>
        <w:tc>
          <w:tcPr>
            <w:tcW w:w="0" w:type="auto"/>
            <w:tcBorders>
              <w:top w:val="nil"/>
              <w:left w:val="nil"/>
              <w:bottom w:val="nil"/>
              <w:right w:val="nil"/>
            </w:tcBorders>
          </w:tcPr>
          <w:p w14:paraId="43BC6BB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-0.0953</w:t>
            </w:r>
          </w:p>
        </w:tc>
        <w:tc>
          <w:tcPr>
            <w:tcW w:w="0" w:type="auto"/>
            <w:tcBorders>
              <w:top w:val="nil"/>
              <w:left w:val="nil"/>
              <w:bottom w:val="nil"/>
              <w:right w:val="nil"/>
            </w:tcBorders>
          </w:tcPr>
          <w:p w14:paraId="2E7E517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-0.0240</w:t>
            </w:r>
          </w:p>
        </w:tc>
        <w:tc>
          <w:tcPr>
            <w:tcW w:w="0" w:type="auto"/>
            <w:tcBorders>
              <w:top w:val="nil"/>
              <w:left w:val="nil"/>
              <w:bottom w:val="nil"/>
              <w:right w:val="nil"/>
            </w:tcBorders>
          </w:tcPr>
          <w:p w14:paraId="3F08C66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-0.0202</w:t>
            </w:r>
          </w:p>
        </w:tc>
        <w:tc>
          <w:tcPr>
            <w:tcW w:w="0" w:type="auto"/>
            <w:tcBorders>
              <w:top w:val="nil"/>
              <w:left w:val="nil"/>
              <w:bottom w:val="nil"/>
              <w:right w:val="nil"/>
            </w:tcBorders>
          </w:tcPr>
          <w:p w14:paraId="4EAF6A41" w14:textId="77777777" w:rsidR="003E148C" w:rsidRPr="00145120" w:rsidRDefault="003E148C" w:rsidP="0026218B">
            <w:pPr>
              <w:widowControl w:val="0"/>
              <w:autoSpaceDE w:val="0"/>
              <w:autoSpaceDN w:val="0"/>
              <w:adjustRightInd w:val="0"/>
              <w:jc w:val="center"/>
              <w:rPr>
                <w:sz w:val="20"/>
                <w:szCs w:val="20"/>
                <w:lang w:val="fr-FR" w:eastAsia="fr-FR"/>
              </w:rPr>
            </w:pPr>
            <w:r>
              <w:rPr>
                <w:sz w:val="20"/>
                <w:szCs w:val="20"/>
                <w:lang w:val="fr-FR" w:eastAsia="fr-FR"/>
              </w:rPr>
              <w:t>-0.0188</w:t>
            </w:r>
          </w:p>
        </w:tc>
      </w:tr>
      <w:tr w:rsidR="003E148C" w:rsidRPr="00145120" w14:paraId="1930601A" w14:textId="77777777" w:rsidTr="0026218B">
        <w:trPr>
          <w:trHeight w:val="20"/>
        </w:trPr>
        <w:tc>
          <w:tcPr>
            <w:tcW w:w="4590" w:type="dxa"/>
            <w:tcBorders>
              <w:top w:val="nil"/>
              <w:left w:val="nil"/>
              <w:bottom w:val="nil"/>
              <w:right w:val="nil"/>
            </w:tcBorders>
          </w:tcPr>
          <w:p w14:paraId="2AADF4D7"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6E96B51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(0.0261)</w:t>
            </w:r>
          </w:p>
        </w:tc>
        <w:tc>
          <w:tcPr>
            <w:tcW w:w="0" w:type="auto"/>
            <w:tcBorders>
              <w:top w:val="nil"/>
              <w:left w:val="nil"/>
              <w:bottom w:val="nil"/>
              <w:right w:val="nil"/>
            </w:tcBorders>
          </w:tcPr>
          <w:p w14:paraId="26AF380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(0.0080)</w:t>
            </w:r>
          </w:p>
        </w:tc>
        <w:tc>
          <w:tcPr>
            <w:tcW w:w="0" w:type="auto"/>
            <w:tcBorders>
              <w:top w:val="nil"/>
              <w:left w:val="nil"/>
              <w:bottom w:val="nil"/>
              <w:right w:val="nil"/>
            </w:tcBorders>
          </w:tcPr>
          <w:p w14:paraId="2B04852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(0.0075)</w:t>
            </w:r>
          </w:p>
        </w:tc>
        <w:tc>
          <w:tcPr>
            <w:tcW w:w="0" w:type="auto"/>
            <w:tcBorders>
              <w:top w:val="nil"/>
              <w:left w:val="nil"/>
              <w:bottom w:val="nil"/>
              <w:right w:val="nil"/>
            </w:tcBorders>
          </w:tcPr>
          <w:p w14:paraId="677546F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(0.0085)</w:t>
            </w:r>
          </w:p>
        </w:tc>
      </w:tr>
      <w:tr w:rsidR="003E148C" w:rsidRPr="00145120" w14:paraId="394D0407" w14:textId="77777777" w:rsidTr="0026218B">
        <w:trPr>
          <w:trHeight w:val="20"/>
        </w:trPr>
        <w:tc>
          <w:tcPr>
            <w:tcW w:w="4590" w:type="dxa"/>
            <w:tcBorders>
              <w:top w:val="nil"/>
              <w:left w:val="nil"/>
              <w:bottom w:val="nil"/>
              <w:right w:val="nil"/>
            </w:tcBorders>
          </w:tcPr>
          <w:p w14:paraId="6FE38E46" w14:textId="77777777" w:rsidR="003E148C" w:rsidRPr="00145120" w:rsidRDefault="003E148C" w:rsidP="0026218B">
            <w:pPr>
              <w:widowControl w:val="0"/>
              <w:autoSpaceDE w:val="0"/>
              <w:autoSpaceDN w:val="0"/>
              <w:adjustRightInd w:val="0"/>
              <w:rPr>
                <w:iCs/>
                <w:sz w:val="20"/>
                <w:szCs w:val="20"/>
              </w:rPr>
            </w:pPr>
            <w:r w:rsidRPr="00145120">
              <w:rPr>
                <w:iCs/>
                <w:sz w:val="20"/>
                <w:szCs w:val="20"/>
              </w:rPr>
              <w:t>Female</w:t>
            </w:r>
            <w:r w:rsidRPr="00145120">
              <w:rPr>
                <w:sz w:val="20"/>
                <w:szCs w:val="20"/>
              </w:rPr>
              <w:t>*</w:t>
            </w:r>
            <w:r w:rsidRPr="00145120">
              <w:rPr>
                <w:iCs/>
                <w:sz w:val="20"/>
                <w:szCs w:val="20"/>
              </w:rPr>
              <w:t>Female representation</w:t>
            </w:r>
          </w:p>
        </w:tc>
        <w:tc>
          <w:tcPr>
            <w:tcW w:w="0" w:type="auto"/>
            <w:tcBorders>
              <w:top w:val="nil"/>
              <w:left w:val="nil"/>
              <w:bottom w:val="nil"/>
              <w:right w:val="nil"/>
            </w:tcBorders>
          </w:tcPr>
          <w:p w14:paraId="07D6028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0.0297</w:t>
            </w:r>
          </w:p>
        </w:tc>
        <w:tc>
          <w:tcPr>
            <w:tcW w:w="0" w:type="auto"/>
            <w:tcBorders>
              <w:top w:val="nil"/>
              <w:left w:val="nil"/>
              <w:bottom w:val="nil"/>
              <w:right w:val="nil"/>
            </w:tcBorders>
          </w:tcPr>
          <w:p w14:paraId="382C9D1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-0.0030</w:t>
            </w:r>
          </w:p>
        </w:tc>
        <w:tc>
          <w:tcPr>
            <w:tcW w:w="0" w:type="auto"/>
            <w:tcBorders>
              <w:top w:val="nil"/>
              <w:left w:val="nil"/>
              <w:bottom w:val="nil"/>
              <w:right w:val="nil"/>
            </w:tcBorders>
          </w:tcPr>
          <w:p w14:paraId="229321D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0.0267</w:t>
            </w:r>
          </w:p>
        </w:tc>
        <w:tc>
          <w:tcPr>
            <w:tcW w:w="0" w:type="auto"/>
            <w:tcBorders>
              <w:top w:val="nil"/>
              <w:left w:val="nil"/>
              <w:bottom w:val="nil"/>
              <w:right w:val="nil"/>
            </w:tcBorders>
          </w:tcPr>
          <w:p w14:paraId="0187296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0.0182</w:t>
            </w:r>
          </w:p>
        </w:tc>
      </w:tr>
      <w:tr w:rsidR="003E148C" w:rsidRPr="00145120" w14:paraId="6E883CC2" w14:textId="77777777" w:rsidTr="0026218B">
        <w:trPr>
          <w:trHeight w:val="20"/>
        </w:trPr>
        <w:tc>
          <w:tcPr>
            <w:tcW w:w="4590" w:type="dxa"/>
            <w:tcBorders>
              <w:top w:val="nil"/>
              <w:left w:val="nil"/>
              <w:bottom w:val="nil"/>
              <w:right w:val="nil"/>
            </w:tcBorders>
          </w:tcPr>
          <w:p w14:paraId="5AA05AAE"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54C3BE3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(0.0164)</w:t>
            </w:r>
          </w:p>
        </w:tc>
        <w:tc>
          <w:tcPr>
            <w:tcW w:w="0" w:type="auto"/>
            <w:tcBorders>
              <w:top w:val="nil"/>
              <w:left w:val="nil"/>
              <w:bottom w:val="nil"/>
              <w:right w:val="nil"/>
            </w:tcBorders>
          </w:tcPr>
          <w:p w14:paraId="7465519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(0.0134)</w:t>
            </w:r>
          </w:p>
        </w:tc>
        <w:tc>
          <w:tcPr>
            <w:tcW w:w="0" w:type="auto"/>
            <w:tcBorders>
              <w:top w:val="nil"/>
              <w:left w:val="nil"/>
              <w:bottom w:val="nil"/>
              <w:right w:val="nil"/>
            </w:tcBorders>
          </w:tcPr>
          <w:p w14:paraId="6DF8199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(0.0102)</w:t>
            </w:r>
          </w:p>
        </w:tc>
        <w:tc>
          <w:tcPr>
            <w:tcW w:w="0" w:type="auto"/>
            <w:tcBorders>
              <w:top w:val="nil"/>
              <w:left w:val="nil"/>
              <w:bottom w:val="nil"/>
              <w:right w:val="nil"/>
            </w:tcBorders>
          </w:tcPr>
          <w:p w14:paraId="61FAD34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(0.0155)</w:t>
            </w:r>
          </w:p>
        </w:tc>
      </w:tr>
      <w:tr w:rsidR="003E148C" w:rsidRPr="00782298" w14:paraId="08723E02" w14:textId="77777777" w:rsidTr="0026218B">
        <w:trPr>
          <w:trHeight w:val="20"/>
        </w:trPr>
        <w:tc>
          <w:tcPr>
            <w:tcW w:w="4590" w:type="dxa"/>
            <w:tcBorders>
              <w:top w:val="nil"/>
              <w:left w:val="nil"/>
              <w:bottom w:val="nil"/>
              <w:right w:val="nil"/>
            </w:tcBorders>
          </w:tcPr>
          <w:p w14:paraId="7B8FC2E1" w14:textId="77777777" w:rsidR="003E148C" w:rsidRPr="00153E66" w:rsidRDefault="003E148C" w:rsidP="0026218B">
            <w:pPr>
              <w:widowControl w:val="0"/>
              <w:autoSpaceDE w:val="0"/>
              <w:autoSpaceDN w:val="0"/>
              <w:adjustRightInd w:val="0"/>
              <w:rPr>
                <w:iCs/>
                <w:sz w:val="20"/>
                <w:szCs w:val="20"/>
              </w:rPr>
            </w:pPr>
            <w:r w:rsidRPr="00153E66">
              <w:rPr>
                <w:iCs/>
                <w:sz w:val="20"/>
                <w:szCs w:val="20"/>
              </w:rPr>
              <w:t>Entry deregulation</w:t>
            </w:r>
            <w:r w:rsidRPr="00782298">
              <w:rPr>
                <w:sz w:val="20"/>
                <w:szCs w:val="20"/>
              </w:rPr>
              <w:t>*</w:t>
            </w:r>
            <w:r w:rsidRPr="00153E66">
              <w:rPr>
                <w:iCs/>
                <w:sz w:val="20"/>
                <w:szCs w:val="20"/>
              </w:rPr>
              <w:t>Female</w:t>
            </w:r>
            <w:r w:rsidRPr="00782298">
              <w:rPr>
                <w:sz w:val="20"/>
                <w:szCs w:val="20"/>
              </w:rPr>
              <w:t>*</w:t>
            </w:r>
            <w:r w:rsidRPr="00153E66">
              <w:rPr>
                <w:iCs/>
                <w:sz w:val="20"/>
                <w:szCs w:val="20"/>
              </w:rPr>
              <w:t xml:space="preserve"> Female representation</w:t>
            </w:r>
          </w:p>
        </w:tc>
        <w:tc>
          <w:tcPr>
            <w:tcW w:w="0" w:type="auto"/>
            <w:tcBorders>
              <w:top w:val="nil"/>
              <w:left w:val="nil"/>
              <w:bottom w:val="nil"/>
              <w:right w:val="nil"/>
            </w:tcBorders>
          </w:tcPr>
          <w:p w14:paraId="55341ADD"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0.0754</w:t>
            </w:r>
          </w:p>
        </w:tc>
        <w:tc>
          <w:tcPr>
            <w:tcW w:w="0" w:type="auto"/>
            <w:tcBorders>
              <w:top w:val="nil"/>
              <w:left w:val="nil"/>
              <w:bottom w:val="nil"/>
              <w:right w:val="nil"/>
            </w:tcBorders>
          </w:tcPr>
          <w:p w14:paraId="4AF76421"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-0.0046</w:t>
            </w:r>
          </w:p>
        </w:tc>
        <w:tc>
          <w:tcPr>
            <w:tcW w:w="0" w:type="auto"/>
            <w:tcBorders>
              <w:top w:val="nil"/>
              <w:left w:val="nil"/>
              <w:bottom w:val="nil"/>
              <w:right w:val="nil"/>
            </w:tcBorders>
          </w:tcPr>
          <w:p w14:paraId="0FC929A5"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-0.0077</w:t>
            </w:r>
          </w:p>
        </w:tc>
        <w:tc>
          <w:tcPr>
            <w:tcW w:w="0" w:type="auto"/>
            <w:tcBorders>
              <w:top w:val="nil"/>
              <w:left w:val="nil"/>
              <w:bottom w:val="nil"/>
              <w:right w:val="nil"/>
            </w:tcBorders>
          </w:tcPr>
          <w:p w14:paraId="334F68BF"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-0.0155</w:t>
            </w:r>
          </w:p>
        </w:tc>
      </w:tr>
      <w:tr w:rsidR="003E148C" w:rsidRPr="00782298" w14:paraId="42A04045" w14:textId="77777777" w:rsidTr="0026218B">
        <w:trPr>
          <w:trHeight w:val="20"/>
        </w:trPr>
        <w:tc>
          <w:tcPr>
            <w:tcW w:w="4590" w:type="dxa"/>
            <w:tcBorders>
              <w:top w:val="nil"/>
              <w:left w:val="nil"/>
              <w:bottom w:val="nil"/>
              <w:right w:val="nil"/>
            </w:tcBorders>
          </w:tcPr>
          <w:p w14:paraId="21C1854E" w14:textId="77777777" w:rsidR="003E148C" w:rsidRPr="00782298"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1823CC1E"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(0.0177)</w:t>
            </w:r>
          </w:p>
        </w:tc>
        <w:tc>
          <w:tcPr>
            <w:tcW w:w="0" w:type="auto"/>
            <w:tcBorders>
              <w:top w:val="nil"/>
              <w:left w:val="nil"/>
              <w:bottom w:val="nil"/>
              <w:right w:val="nil"/>
            </w:tcBorders>
          </w:tcPr>
          <w:p w14:paraId="305A5904"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(0.0065)</w:t>
            </w:r>
          </w:p>
        </w:tc>
        <w:tc>
          <w:tcPr>
            <w:tcW w:w="0" w:type="auto"/>
            <w:tcBorders>
              <w:top w:val="nil"/>
              <w:left w:val="nil"/>
              <w:bottom w:val="nil"/>
              <w:right w:val="nil"/>
            </w:tcBorders>
          </w:tcPr>
          <w:p w14:paraId="1515B82F"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(0.0056)</w:t>
            </w:r>
          </w:p>
        </w:tc>
        <w:tc>
          <w:tcPr>
            <w:tcW w:w="0" w:type="auto"/>
            <w:tcBorders>
              <w:top w:val="nil"/>
              <w:left w:val="nil"/>
              <w:bottom w:val="nil"/>
              <w:right w:val="nil"/>
            </w:tcBorders>
          </w:tcPr>
          <w:p w14:paraId="7D47B2B8" w14:textId="77777777" w:rsidR="003E148C" w:rsidRPr="00782298" w:rsidRDefault="003E148C" w:rsidP="0026218B">
            <w:pPr>
              <w:widowControl w:val="0"/>
              <w:autoSpaceDE w:val="0"/>
              <w:autoSpaceDN w:val="0"/>
              <w:adjustRightInd w:val="0"/>
              <w:jc w:val="center"/>
              <w:rPr>
                <w:sz w:val="20"/>
                <w:szCs w:val="20"/>
                <w:lang w:val="fr-FR" w:eastAsia="fr-FR"/>
              </w:rPr>
            </w:pPr>
            <w:r w:rsidRPr="00782298">
              <w:rPr>
                <w:sz w:val="20"/>
                <w:szCs w:val="20"/>
                <w:lang w:val="fr-FR" w:eastAsia="fr-FR"/>
              </w:rPr>
              <w:t>(0.0060)</w:t>
            </w:r>
          </w:p>
        </w:tc>
      </w:tr>
      <w:tr w:rsidR="003E148C" w:rsidRPr="00145120" w14:paraId="63978ADF" w14:textId="77777777" w:rsidTr="0026218B">
        <w:trPr>
          <w:trHeight w:val="20"/>
        </w:trPr>
        <w:tc>
          <w:tcPr>
            <w:tcW w:w="4590" w:type="dxa"/>
            <w:tcBorders>
              <w:top w:val="nil"/>
              <w:left w:val="nil"/>
              <w:bottom w:val="nil"/>
              <w:right w:val="nil"/>
            </w:tcBorders>
          </w:tcPr>
          <w:p w14:paraId="18CE619F" w14:textId="77777777" w:rsidR="003E148C" w:rsidRPr="00145120" w:rsidRDefault="003E148C" w:rsidP="0026218B">
            <w:pPr>
              <w:widowControl w:val="0"/>
              <w:autoSpaceDE w:val="0"/>
              <w:autoSpaceDN w:val="0"/>
              <w:adjustRightInd w:val="0"/>
              <w:rPr>
                <w:iCs/>
                <w:sz w:val="20"/>
                <w:szCs w:val="20"/>
              </w:rPr>
            </w:pPr>
            <w:r w:rsidRPr="00145120">
              <w:rPr>
                <w:iCs/>
                <w:sz w:val="20"/>
                <w:szCs w:val="20"/>
              </w:rPr>
              <w:t>Age</w:t>
            </w:r>
          </w:p>
        </w:tc>
        <w:tc>
          <w:tcPr>
            <w:tcW w:w="0" w:type="auto"/>
            <w:tcBorders>
              <w:top w:val="nil"/>
              <w:left w:val="nil"/>
              <w:bottom w:val="nil"/>
              <w:right w:val="nil"/>
            </w:tcBorders>
          </w:tcPr>
          <w:p w14:paraId="4083E05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0.0293</w:t>
            </w:r>
          </w:p>
        </w:tc>
        <w:tc>
          <w:tcPr>
            <w:tcW w:w="0" w:type="auto"/>
            <w:tcBorders>
              <w:top w:val="nil"/>
              <w:left w:val="nil"/>
              <w:bottom w:val="nil"/>
              <w:right w:val="nil"/>
            </w:tcBorders>
          </w:tcPr>
          <w:p w14:paraId="1E42195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0.0276</w:t>
            </w:r>
          </w:p>
        </w:tc>
        <w:tc>
          <w:tcPr>
            <w:tcW w:w="0" w:type="auto"/>
            <w:tcBorders>
              <w:top w:val="nil"/>
              <w:left w:val="nil"/>
              <w:bottom w:val="nil"/>
              <w:right w:val="nil"/>
            </w:tcBorders>
          </w:tcPr>
          <w:p w14:paraId="68D2C6C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0.0248</w:t>
            </w:r>
          </w:p>
        </w:tc>
        <w:tc>
          <w:tcPr>
            <w:tcW w:w="0" w:type="auto"/>
            <w:tcBorders>
              <w:top w:val="nil"/>
              <w:left w:val="nil"/>
              <w:bottom w:val="nil"/>
              <w:right w:val="nil"/>
            </w:tcBorders>
          </w:tcPr>
          <w:p w14:paraId="792034D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0.0244</w:t>
            </w:r>
          </w:p>
        </w:tc>
      </w:tr>
      <w:tr w:rsidR="003E148C" w:rsidRPr="00145120" w14:paraId="0230ACF9" w14:textId="77777777" w:rsidTr="0026218B">
        <w:trPr>
          <w:trHeight w:val="20"/>
        </w:trPr>
        <w:tc>
          <w:tcPr>
            <w:tcW w:w="4590" w:type="dxa"/>
            <w:tcBorders>
              <w:top w:val="nil"/>
              <w:left w:val="nil"/>
              <w:bottom w:val="nil"/>
              <w:right w:val="nil"/>
            </w:tcBorders>
          </w:tcPr>
          <w:p w14:paraId="47B76F8B"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633EFBD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(0.0020)</w:t>
            </w:r>
          </w:p>
        </w:tc>
        <w:tc>
          <w:tcPr>
            <w:tcW w:w="0" w:type="auto"/>
            <w:tcBorders>
              <w:top w:val="nil"/>
              <w:left w:val="nil"/>
              <w:bottom w:val="nil"/>
              <w:right w:val="nil"/>
            </w:tcBorders>
          </w:tcPr>
          <w:p w14:paraId="02513B5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(0.0018)</w:t>
            </w:r>
          </w:p>
        </w:tc>
        <w:tc>
          <w:tcPr>
            <w:tcW w:w="0" w:type="auto"/>
            <w:tcBorders>
              <w:top w:val="nil"/>
              <w:left w:val="nil"/>
              <w:bottom w:val="nil"/>
              <w:right w:val="nil"/>
            </w:tcBorders>
          </w:tcPr>
          <w:p w14:paraId="015EE56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(0.0015)</w:t>
            </w:r>
          </w:p>
        </w:tc>
        <w:tc>
          <w:tcPr>
            <w:tcW w:w="0" w:type="auto"/>
            <w:tcBorders>
              <w:top w:val="nil"/>
              <w:left w:val="nil"/>
              <w:bottom w:val="nil"/>
              <w:right w:val="nil"/>
            </w:tcBorders>
          </w:tcPr>
          <w:p w14:paraId="3092937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(0.0017)</w:t>
            </w:r>
          </w:p>
        </w:tc>
      </w:tr>
      <w:tr w:rsidR="003E148C" w:rsidRPr="00145120" w14:paraId="3FD8E9B1" w14:textId="77777777" w:rsidTr="0026218B">
        <w:trPr>
          <w:trHeight w:val="20"/>
        </w:trPr>
        <w:tc>
          <w:tcPr>
            <w:tcW w:w="4590" w:type="dxa"/>
            <w:tcBorders>
              <w:top w:val="nil"/>
              <w:left w:val="nil"/>
              <w:bottom w:val="nil"/>
              <w:right w:val="nil"/>
            </w:tcBorders>
          </w:tcPr>
          <w:p w14:paraId="2068843E" w14:textId="77777777" w:rsidR="003E148C" w:rsidRPr="00145120" w:rsidRDefault="003E148C" w:rsidP="0026218B">
            <w:pPr>
              <w:widowControl w:val="0"/>
              <w:autoSpaceDE w:val="0"/>
              <w:autoSpaceDN w:val="0"/>
              <w:adjustRightInd w:val="0"/>
              <w:rPr>
                <w:iCs/>
                <w:sz w:val="20"/>
                <w:szCs w:val="20"/>
              </w:rPr>
            </w:pPr>
            <w:r w:rsidRPr="00145120">
              <w:rPr>
                <w:iCs/>
                <w:sz w:val="20"/>
                <w:szCs w:val="20"/>
              </w:rPr>
              <w:t>Age squared</w:t>
            </w:r>
          </w:p>
        </w:tc>
        <w:tc>
          <w:tcPr>
            <w:tcW w:w="0" w:type="auto"/>
            <w:tcBorders>
              <w:top w:val="nil"/>
              <w:left w:val="nil"/>
              <w:bottom w:val="nil"/>
              <w:right w:val="nil"/>
            </w:tcBorders>
          </w:tcPr>
          <w:p w14:paraId="64A60E0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-0.0003</w:t>
            </w:r>
          </w:p>
        </w:tc>
        <w:tc>
          <w:tcPr>
            <w:tcW w:w="0" w:type="auto"/>
            <w:tcBorders>
              <w:top w:val="nil"/>
              <w:left w:val="nil"/>
              <w:bottom w:val="nil"/>
              <w:right w:val="nil"/>
            </w:tcBorders>
          </w:tcPr>
          <w:p w14:paraId="5176523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-0.0003</w:t>
            </w:r>
          </w:p>
        </w:tc>
        <w:tc>
          <w:tcPr>
            <w:tcW w:w="0" w:type="auto"/>
            <w:tcBorders>
              <w:top w:val="nil"/>
              <w:left w:val="nil"/>
              <w:bottom w:val="nil"/>
              <w:right w:val="nil"/>
            </w:tcBorders>
          </w:tcPr>
          <w:p w14:paraId="433DEF30"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-0.0003</w:t>
            </w:r>
          </w:p>
        </w:tc>
        <w:tc>
          <w:tcPr>
            <w:tcW w:w="0" w:type="auto"/>
            <w:tcBorders>
              <w:top w:val="nil"/>
              <w:left w:val="nil"/>
              <w:bottom w:val="nil"/>
              <w:right w:val="nil"/>
            </w:tcBorders>
          </w:tcPr>
          <w:p w14:paraId="3A0DD60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-0.0003</w:t>
            </w:r>
          </w:p>
        </w:tc>
      </w:tr>
      <w:tr w:rsidR="003E148C" w:rsidRPr="00145120" w14:paraId="1B4E0EFD" w14:textId="77777777" w:rsidTr="0026218B">
        <w:trPr>
          <w:trHeight w:val="20"/>
        </w:trPr>
        <w:tc>
          <w:tcPr>
            <w:tcW w:w="4590" w:type="dxa"/>
            <w:tcBorders>
              <w:top w:val="nil"/>
              <w:left w:val="nil"/>
              <w:bottom w:val="nil"/>
              <w:right w:val="nil"/>
            </w:tcBorders>
          </w:tcPr>
          <w:p w14:paraId="7F89FDA5"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6BD494A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c>
          <w:tcPr>
            <w:tcW w:w="0" w:type="auto"/>
            <w:tcBorders>
              <w:top w:val="nil"/>
              <w:left w:val="nil"/>
              <w:bottom w:val="nil"/>
              <w:right w:val="nil"/>
            </w:tcBorders>
          </w:tcPr>
          <w:p w14:paraId="5558CD3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c>
          <w:tcPr>
            <w:tcW w:w="0" w:type="auto"/>
            <w:tcBorders>
              <w:top w:val="nil"/>
              <w:left w:val="nil"/>
              <w:bottom w:val="nil"/>
              <w:right w:val="nil"/>
            </w:tcBorders>
          </w:tcPr>
          <w:p w14:paraId="4AC5E0D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c>
          <w:tcPr>
            <w:tcW w:w="0" w:type="auto"/>
            <w:tcBorders>
              <w:top w:val="nil"/>
              <w:left w:val="nil"/>
              <w:bottom w:val="nil"/>
              <w:right w:val="nil"/>
            </w:tcBorders>
          </w:tcPr>
          <w:p w14:paraId="244F8FD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(0.0000)</w:t>
            </w:r>
          </w:p>
        </w:tc>
      </w:tr>
      <w:tr w:rsidR="003E148C" w:rsidRPr="00145120" w14:paraId="147F30E0" w14:textId="77777777" w:rsidTr="0026218B">
        <w:trPr>
          <w:trHeight w:val="20"/>
        </w:trPr>
        <w:tc>
          <w:tcPr>
            <w:tcW w:w="4590" w:type="dxa"/>
            <w:tcBorders>
              <w:top w:val="nil"/>
              <w:left w:val="nil"/>
              <w:bottom w:val="nil"/>
              <w:right w:val="nil"/>
            </w:tcBorders>
          </w:tcPr>
          <w:p w14:paraId="1CA1B842" w14:textId="77777777" w:rsidR="003E148C" w:rsidRPr="00145120" w:rsidRDefault="003E148C" w:rsidP="0026218B">
            <w:pPr>
              <w:widowControl w:val="0"/>
              <w:autoSpaceDE w:val="0"/>
              <w:autoSpaceDN w:val="0"/>
              <w:adjustRightInd w:val="0"/>
              <w:rPr>
                <w:iCs/>
                <w:sz w:val="20"/>
                <w:szCs w:val="20"/>
              </w:rPr>
            </w:pPr>
            <w:r w:rsidRPr="00145120">
              <w:rPr>
                <w:iCs/>
                <w:sz w:val="20"/>
                <w:szCs w:val="20"/>
              </w:rPr>
              <w:t>Mid education</w:t>
            </w:r>
          </w:p>
        </w:tc>
        <w:tc>
          <w:tcPr>
            <w:tcW w:w="0" w:type="auto"/>
            <w:tcBorders>
              <w:top w:val="nil"/>
              <w:left w:val="nil"/>
              <w:bottom w:val="nil"/>
              <w:right w:val="nil"/>
            </w:tcBorders>
          </w:tcPr>
          <w:p w14:paraId="0326863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0.1258</w:t>
            </w:r>
          </w:p>
        </w:tc>
        <w:tc>
          <w:tcPr>
            <w:tcW w:w="0" w:type="auto"/>
            <w:tcBorders>
              <w:top w:val="nil"/>
              <w:left w:val="nil"/>
              <w:bottom w:val="nil"/>
              <w:right w:val="nil"/>
            </w:tcBorders>
          </w:tcPr>
          <w:p w14:paraId="77F85F7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0.0063</w:t>
            </w:r>
          </w:p>
        </w:tc>
        <w:tc>
          <w:tcPr>
            <w:tcW w:w="0" w:type="auto"/>
            <w:tcBorders>
              <w:top w:val="nil"/>
              <w:left w:val="nil"/>
              <w:bottom w:val="nil"/>
              <w:right w:val="nil"/>
            </w:tcBorders>
          </w:tcPr>
          <w:p w14:paraId="0E7471B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0.0012</w:t>
            </w:r>
          </w:p>
        </w:tc>
        <w:tc>
          <w:tcPr>
            <w:tcW w:w="0" w:type="auto"/>
            <w:tcBorders>
              <w:top w:val="nil"/>
              <w:left w:val="nil"/>
              <w:bottom w:val="nil"/>
              <w:right w:val="nil"/>
            </w:tcBorders>
          </w:tcPr>
          <w:p w14:paraId="243B5D8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-0.0005</w:t>
            </w:r>
          </w:p>
        </w:tc>
      </w:tr>
      <w:tr w:rsidR="003E148C" w:rsidRPr="00145120" w14:paraId="4CD82EAD" w14:textId="77777777" w:rsidTr="0026218B">
        <w:trPr>
          <w:trHeight w:val="20"/>
        </w:trPr>
        <w:tc>
          <w:tcPr>
            <w:tcW w:w="4590" w:type="dxa"/>
            <w:tcBorders>
              <w:top w:val="nil"/>
              <w:left w:val="nil"/>
              <w:bottom w:val="nil"/>
              <w:right w:val="nil"/>
            </w:tcBorders>
          </w:tcPr>
          <w:p w14:paraId="6E82C362"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298E87C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(0.0125)</w:t>
            </w:r>
          </w:p>
        </w:tc>
        <w:tc>
          <w:tcPr>
            <w:tcW w:w="0" w:type="auto"/>
            <w:tcBorders>
              <w:top w:val="nil"/>
              <w:left w:val="nil"/>
              <w:bottom w:val="nil"/>
              <w:right w:val="nil"/>
            </w:tcBorders>
          </w:tcPr>
          <w:p w14:paraId="5BFBBCD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(0.0010)</w:t>
            </w:r>
          </w:p>
        </w:tc>
        <w:tc>
          <w:tcPr>
            <w:tcW w:w="0" w:type="auto"/>
            <w:tcBorders>
              <w:top w:val="nil"/>
              <w:left w:val="nil"/>
              <w:bottom w:val="nil"/>
              <w:right w:val="nil"/>
            </w:tcBorders>
          </w:tcPr>
          <w:p w14:paraId="6387DB3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(0.0006)</w:t>
            </w:r>
          </w:p>
        </w:tc>
        <w:tc>
          <w:tcPr>
            <w:tcW w:w="0" w:type="auto"/>
            <w:tcBorders>
              <w:top w:val="nil"/>
              <w:left w:val="nil"/>
              <w:bottom w:val="nil"/>
              <w:right w:val="nil"/>
            </w:tcBorders>
          </w:tcPr>
          <w:p w14:paraId="6DF0E04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(0.0010)</w:t>
            </w:r>
          </w:p>
        </w:tc>
      </w:tr>
      <w:tr w:rsidR="003E148C" w:rsidRPr="00145120" w14:paraId="6A42EE2B" w14:textId="77777777" w:rsidTr="0026218B">
        <w:trPr>
          <w:trHeight w:val="20"/>
        </w:trPr>
        <w:tc>
          <w:tcPr>
            <w:tcW w:w="4590" w:type="dxa"/>
            <w:tcBorders>
              <w:top w:val="nil"/>
              <w:left w:val="nil"/>
              <w:bottom w:val="nil"/>
              <w:right w:val="nil"/>
            </w:tcBorders>
          </w:tcPr>
          <w:p w14:paraId="1C836F80" w14:textId="77777777" w:rsidR="003E148C" w:rsidRPr="00145120" w:rsidRDefault="003E148C" w:rsidP="0026218B">
            <w:pPr>
              <w:widowControl w:val="0"/>
              <w:autoSpaceDE w:val="0"/>
              <w:autoSpaceDN w:val="0"/>
              <w:adjustRightInd w:val="0"/>
              <w:rPr>
                <w:iCs/>
                <w:sz w:val="20"/>
                <w:szCs w:val="20"/>
              </w:rPr>
            </w:pPr>
            <w:r w:rsidRPr="00145120">
              <w:rPr>
                <w:iCs/>
                <w:sz w:val="20"/>
                <w:szCs w:val="20"/>
              </w:rPr>
              <w:t>High education</w:t>
            </w:r>
          </w:p>
        </w:tc>
        <w:tc>
          <w:tcPr>
            <w:tcW w:w="0" w:type="auto"/>
            <w:tcBorders>
              <w:top w:val="nil"/>
              <w:left w:val="nil"/>
              <w:bottom w:val="nil"/>
              <w:right w:val="nil"/>
            </w:tcBorders>
          </w:tcPr>
          <w:p w14:paraId="7959545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0.3978</w:t>
            </w:r>
          </w:p>
        </w:tc>
        <w:tc>
          <w:tcPr>
            <w:tcW w:w="0" w:type="auto"/>
            <w:tcBorders>
              <w:top w:val="nil"/>
              <w:left w:val="nil"/>
              <w:bottom w:val="nil"/>
              <w:right w:val="nil"/>
            </w:tcBorders>
          </w:tcPr>
          <w:p w14:paraId="7306964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0.1039</w:t>
            </w:r>
          </w:p>
        </w:tc>
        <w:tc>
          <w:tcPr>
            <w:tcW w:w="0" w:type="auto"/>
            <w:tcBorders>
              <w:top w:val="nil"/>
              <w:left w:val="nil"/>
              <w:bottom w:val="nil"/>
              <w:right w:val="nil"/>
            </w:tcBorders>
          </w:tcPr>
          <w:p w14:paraId="5EC1076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0.0721</w:t>
            </w:r>
          </w:p>
        </w:tc>
        <w:tc>
          <w:tcPr>
            <w:tcW w:w="0" w:type="auto"/>
            <w:tcBorders>
              <w:top w:val="nil"/>
              <w:left w:val="nil"/>
              <w:bottom w:val="nil"/>
              <w:right w:val="nil"/>
            </w:tcBorders>
          </w:tcPr>
          <w:p w14:paraId="2E46B96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0.0506</w:t>
            </w:r>
          </w:p>
        </w:tc>
      </w:tr>
      <w:tr w:rsidR="003E148C" w:rsidRPr="00145120" w14:paraId="066A93AC" w14:textId="77777777" w:rsidTr="0026218B">
        <w:trPr>
          <w:trHeight w:val="20"/>
        </w:trPr>
        <w:tc>
          <w:tcPr>
            <w:tcW w:w="4590" w:type="dxa"/>
            <w:tcBorders>
              <w:top w:val="nil"/>
              <w:left w:val="nil"/>
              <w:bottom w:val="nil"/>
              <w:right w:val="nil"/>
            </w:tcBorders>
          </w:tcPr>
          <w:p w14:paraId="24B7D458"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3B59FCF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(0.0114)</w:t>
            </w:r>
          </w:p>
        </w:tc>
        <w:tc>
          <w:tcPr>
            <w:tcW w:w="0" w:type="auto"/>
            <w:tcBorders>
              <w:top w:val="nil"/>
              <w:left w:val="nil"/>
              <w:bottom w:val="nil"/>
              <w:right w:val="nil"/>
            </w:tcBorders>
          </w:tcPr>
          <w:p w14:paraId="0649CCF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(0.0046)</w:t>
            </w:r>
          </w:p>
        </w:tc>
        <w:tc>
          <w:tcPr>
            <w:tcW w:w="0" w:type="auto"/>
            <w:tcBorders>
              <w:top w:val="nil"/>
              <w:left w:val="nil"/>
              <w:bottom w:val="nil"/>
              <w:right w:val="nil"/>
            </w:tcBorders>
          </w:tcPr>
          <w:p w14:paraId="58492600"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(0.0049)</w:t>
            </w:r>
          </w:p>
        </w:tc>
        <w:tc>
          <w:tcPr>
            <w:tcW w:w="0" w:type="auto"/>
            <w:tcBorders>
              <w:top w:val="nil"/>
              <w:left w:val="nil"/>
              <w:bottom w:val="nil"/>
              <w:right w:val="nil"/>
            </w:tcBorders>
          </w:tcPr>
          <w:p w14:paraId="0943BB0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(0.0024)</w:t>
            </w:r>
          </w:p>
        </w:tc>
      </w:tr>
      <w:tr w:rsidR="003E148C" w:rsidRPr="00145120" w14:paraId="6775375B" w14:textId="77777777" w:rsidTr="0026218B">
        <w:trPr>
          <w:trHeight w:val="20"/>
        </w:trPr>
        <w:tc>
          <w:tcPr>
            <w:tcW w:w="4590" w:type="dxa"/>
            <w:tcBorders>
              <w:top w:val="nil"/>
              <w:left w:val="nil"/>
              <w:bottom w:val="nil"/>
              <w:right w:val="nil"/>
            </w:tcBorders>
          </w:tcPr>
          <w:p w14:paraId="41AFF3B1" w14:textId="77777777" w:rsidR="003E148C" w:rsidRPr="00145120" w:rsidRDefault="003E148C" w:rsidP="0026218B">
            <w:pPr>
              <w:widowControl w:val="0"/>
              <w:autoSpaceDE w:val="0"/>
              <w:autoSpaceDN w:val="0"/>
              <w:adjustRightInd w:val="0"/>
              <w:rPr>
                <w:iCs/>
                <w:sz w:val="20"/>
                <w:szCs w:val="20"/>
              </w:rPr>
            </w:pPr>
            <w:r w:rsidRPr="00145120">
              <w:rPr>
                <w:iCs/>
                <w:sz w:val="20"/>
                <w:szCs w:val="20"/>
              </w:rPr>
              <w:t>Hours worked (ln)</w:t>
            </w:r>
          </w:p>
        </w:tc>
        <w:tc>
          <w:tcPr>
            <w:tcW w:w="0" w:type="auto"/>
            <w:tcBorders>
              <w:top w:val="nil"/>
              <w:left w:val="nil"/>
              <w:bottom w:val="nil"/>
              <w:right w:val="nil"/>
            </w:tcBorders>
          </w:tcPr>
          <w:p w14:paraId="1624AEB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0.7032</w:t>
            </w:r>
          </w:p>
        </w:tc>
        <w:tc>
          <w:tcPr>
            <w:tcW w:w="0" w:type="auto"/>
            <w:tcBorders>
              <w:top w:val="nil"/>
              <w:left w:val="nil"/>
              <w:bottom w:val="nil"/>
              <w:right w:val="nil"/>
            </w:tcBorders>
          </w:tcPr>
          <w:p w14:paraId="184F34B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0.8283</w:t>
            </w:r>
          </w:p>
        </w:tc>
        <w:tc>
          <w:tcPr>
            <w:tcW w:w="0" w:type="auto"/>
            <w:tcBorders>
              <w:top w:val="nil"/>
              <w:left w:val="nil"/>
              <w:bottom w:val="nil"/>
              <w:right w:val="nil"/>
            </w:tcBorders>
          </w:tcPr>
          <w:p w14:paraId="31A5231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0.8518</w:t>
            </w:r>
          </w:p>
        </w:tc>
        <w:tc>
          <w:tcPr>
            <w:tcW w:w="0" w:type="auto"/>
            <w:tcBorders>
              <w:top w:val="nil"/>
              <w:left w:val="nil"/>
              <w:bottom w:val="nil"/>
              <w:right w:val="nil"/>
            </w:tcBorders>
          </w:tcPr>
          <w:p w14:paraId="274043C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0.8197</w:t>
            </w:r>
          </w:p>
        </w:tc>
      </w:tr>
      <w:tr w:rsidR="003E148C" w:rsidRPr="00145120" w14:paraId="2CF52239" w14:textId="77777777" w:rsidTr="0026218B">
        <w:trPr>
          <w:trHeight w:val="20"/>
        </w:trPr>
        <w:tc>
          <w:tcPr>
            <w:tcW w:w="4590" w:type="dxa"/>
            <w:tcBorders>
              <w:top w:val="nil"/>
              <w:left w:val="nil"/>
              <w:bottom w:val="nil"/>
              <w:right w:val="nil"/>
            </w:tcBorders>
          </w:tcPr>
          <w:p w14:paraId="16D986E3"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32186A5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(0.0447)</w:t>
            </w:r>
          </w:p>
        </w:tc>
        <w:tc>
          <w:tcPr>
            <w:tcW w:w="0" w:type="auto"/>
            <w:tcBorders>
              <w:top w:val="nil"/>
              <w:left w:val="nil"/>
              <w:bottom w:val="nil"/>
              <w:right w:val="nil"/>
            </w:tcBorders>
          </w:tcPr>
          <w:p w14:paraId="6DB5389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(0.0123)</w:t>
            </w:r>
          </w:p>
        </w:tc>
        <w:tc>
          <w:tcPr>
            <w:tcW w:w="0" w:type="auto"/>
            <w:tcBorders>
              <w:top w:val="nil"/>
              <w:left w:val="nil"/>
              <w:bottom w:val="nil"/>
              <w:right w:val="nil"/>
            </w:tcBorders>
          </w:tcPr>
          <w:p w14:paraId="5C48EBA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(0.0080)</w:t>
            </w:r>
          </w:p>
        </w:tc>
        <w:tc>
          <w:tcPr>
            <w:tcW w:w="0" w:type="auto"/>
            <w:tcBorders>
              <w:top w:val="nil"/>
              <w:left w:val="nil"/>
              <w:bottom w:val="nil"/>
              <w:right w:val="nil"/>
            </w:tcBorders>
          </w:tcPr>
          <w:p w14:paraId="7484FD4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(0.0124)</w:t>
            </w:r>
          </w:p>
        </w:tc>
      </w:tr>
      <w:tr w:rsidR="003E148C" w:rsidRPr="00145120" w14:paraId="7922E6DB" w14:textId="77777777" w:rsidTr="0026218B">
        <w:trPr>
          <w:trHeight w:val="20"/>
        </w:trPr>
        <w:tc>
          <w:tcPr>
            <w:tcW w:w="4590" w:type="dxa"/>
            <w:tcBorders>
              <w:top w:val="nil"/>
              <w:left w:val="nil"/>
              <w:bottom w:val="nil"/>
              <w:right w:val="nil"/>
            </w:tcBorders>
          </w:tcPr>
          <w:p w14:paraId="532EBCBF" w14:textId="77777777" w:rsidR="003E148C" w:rsidRPr="00145120" w:rsidRDefault="003E148C" w:rsidP="0026218B">
            <w:pPr>
              <w:widowControl w:val="0"/>
              <w:autoSpaceDE w:val="0"/>
              <w:autoSpaceDN w:val="0"/>
              <w:adjustRightInd w:val="0"/>
              <w:rPr>
                <w:iCs/>
                <w:sz w:val="20"/>
                <w:szCs w:val="20"/>
              </w:rPr>
            </w:pPr>
            <w:r w:rsidRPr="00145120">
              <w:rPr>
                <w:iCs/>
                <w:sz w:val="20"/>
                <w:szCs w:val="20"/>
              </w:rPr>
              <w:t>Long term contract</w:t>
            </w:r>
          </w:p>
        </w:tc>
        <w:tc>
          <w:tcPr>
            <w:tcW w:w="0" w:type="auto"/>
            <w:tcBorders>
              <w:top w:val="nil"/>
              <w:left w:val="nil"/>
              <w:bottom w:val="nil"/>
              <w:right w:val="nil"/>
            </w:tcBorders>
          </w:tcPr>
          <w:p w14:paraId="430BD5A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0.1002</w:t>
            </w:r>
          </w:p>
        </w:tc>
        <w:tc>
          <w:tcPr>
            <w:tcW w:w="0" w:type="auto"/>
            <w:tcBorders>
              <w:top w:val="nil"/>
              <w:left w:val="nil"/>
              <w:bottom w:val="nil"/>
              <w:right w:val="nil"/>
            </w:tcBorders>
          </w:tcPr>
          <w:p w14:paraId="380F976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0.0163</w:t>
            </w:r>
          </w:p>
        </w:tc>
        <w:tc>
          <w:tcPr>
            <w:tcW w:w="0" w:type="auto"/>
            <w:tcBorders>
              <w:top w:val="nil"/>
              <w:left w:val="nil"/>
              <w:bottom w:val="nil"/>
              <w:right w:val="nil"/>
            </w:tcBorders>
          </w:tcPr>
          <w:p w14:paraId="4930CF7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0.0214</w:t>
            </w:r>
          </w:p>
        </w:tc>
        <w:tc>
          <w:tcPr>
            <w:tcW w:w="0" w:type="auto"/>
            <w:tcBorders>
              <w:top w:val="nil"/>
              <w:left w:val="nil"/>
              <w:bottom w:val="nil"/>
              <w:right w:val="nil"/>
            </w:tcBorders>
          </w:tcPr>
          <w:p w14:paraId="7094022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0.0102</w:t>
            </w:r>
          </w:p>
        </w:tc>
      </w:tr>
      <w:tr w:rsidR="003E148C" w:rsidRPr="00145120" w14:paraId="397A9F06" w14:textId="77777777" w:rsidTr="0026218B">
        <w:trPr>
          <w:trHeight w:val="20"/>
        </w:trPr>
        <w:tc>
          <w:tcPr>
            <w:tcW w:w="4590" w:type="dxa"/>
            <w:tcBorders>
              <w:top w:val="nil"/>
              <w:left w:val="nil"/>
              <w:bottom w:val="nil"/>
              <w:right w:val="nil"/>
            </w:tcBorders>
          </w:tcPr>
          <w:p w14:paraId="4AFF605C"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42208C8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(0.0100)</w:t>
            </w:r>
          </w:p>
        </w:tc>
        <w:tc>
          <w:tcPr>
            <w:tcW w:w="0" w:type="auto"/>
            <w:tcBorders>
              <w:top w:val="nil"/>
              <w:left w:val="nil"/>
              <w:bottom w:val="nil"/>
              <w:right w:val="nil"/>
            </w:tcBorders>
          </w:tcPr>
          <w:p w14:paraId="75BCE2F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(0.0020)</w:t>
            </w:r>
          </w:p>
        </w:tc>
        <w:tc>
          <w:tcPr>
            <w:tcW w:w="0" w:type="auto"/>
            <w:tcBorders>
              <w:top w:val="nil"/>
              <w:left w:val="nil"/>
              <w:bottom w:val="nil"/>
              <w:right w:val="nil"/>
            </w:tcBorders>
          </w:tcPr>
          <w:p w14:paraId="6A5C5DE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(0.0013)</w:t>
            </w:r>
          </w:p>
        </w:tc>
        <w:tc>
          <w:tcPr>
            <w:tcW w:w="0" w:type="auto"/>
            <w:tcBorders>
              <w:top w:val="nil"/>
              <w:left w:val="nil"/>
              <w:bottom w:val="nil"/>
              <w:right w:val="nil"/>
            </w:tcBorders>
          </w:tcPr>
          <w:p w14:paraId="748BFD20"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(0.0010)</w:t>
            </w:r>
          </w:p>
        </w:tc>
      </w:tr>
      <w:tr w:rsidR="003E148C" w:rsidRPr="00145120" w14:paraId="75488400" w14:textId="77777777" w:rsidTr="0026218B">
        <w:trPr>
          <w:trHeight w:val="20"/>
        </w:trPr>
        <w:tc>
          <w:tcPr>
            <w:tcW w:w="4590" w:type="dxa"/>
            <w:tcBorders>
              <w:top w:val="nil"/>
              <w:left w:val="nil"/>
              <w:bottom w:val="nil"/>
              <w:right w:val="nil"/>
            </w:tcBorders>
          </w:tcPr>
          <w:p w14:paraId="30338053" w14:textId="77777777" w:rsidR="003E148C" w:rsidRPr="00145120" w:rsidRDefault="003E148C" w:rsidP="0026218B">
            <w:pPr>
              <w:widowControl w:val="0"/>
              <w:autoSpaceDE w:val="0"/>
              <w:autoSpaceDN w:val="0"/>
              <w:adjustRightInd w:val="0"/>
              <w:rPr>
                <w:iCs/>
                <w:sz w:val="20"/>
                <w:szCs w:val="20"/>
              </w:rPr>
            </w:pPr>
            <w:r w:rsidRPr="00145120">
              <w:rPr>
                <w:iCs/>
                <w:sz w:val="20"/>
                <w:szCs w:val="20"/>
              </w:rPr>
              <w:t>Mid qualification</w:t>
            </w:r>
          </w:p>
        </w:tc>
        <w:tc>
          <w:tcPr>
            <w:tcW w:w="0" w:type="auto"/>
            <w:tcBorders>
              <w:top w:val="nil"/>
              <w:left w:val="nil"/>
              <w:bottom w:val="nil"/>
              <w:right w:val="nil"/>
            </w:tcBorders>
          </w:tcPr>
          <w:p w14:paraId="42CEAD2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0.1227</w:t>
            </w:r>
          </w:p>
        </w:tc>
        <w:tc>
          <w:tcPr>
            <w:tcW w:w="0" w:type="auto"/>
            <w:tcBorders>
              <w:top w:val="nil"/>
              <w:left w:val="nil"/>
              <w:bottom w:val="nil"/>
              <w:right w:val="nil"/>
            </w:tcBorders>
          </w:tcPr>
          <w:p w14:paraId="0DD538B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0.0555</w:t>
            </w:r>
          </w:p>
        </w:tc>
        <w:tc>
          <w:tcPr>
            <w:tcW w:w="0" w:type="auto"/>
            <w:tcBorders>
              <w:top w:val="nil"/>
              <w:left w:val="nil"/>
              <w:bottom w:val="nil"/>
              <w:right w:val="nil"/>
            </w:tcBorders>
          </w:tcPr>
          <w:p w14:paraId="47EE6B6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0.0502</w:t>
            </w:r>
          </w:p>
        </w:tc>
        <w:tc>
          <w:tcPr>
            <w:tcW w:w="0" w:type="auto"/>
            <w:tcBorders>
              <w:top w:val="nil"/>
              <w:left w:val="nil"/>
              <w:bottom w:val="nil"/>
              <w:right w:val="nil"/>
            </w:tcBorders>
          </w:tcPr>
          <w:p w14:paraId="209AFF80"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0.0316</w:t>
            </w:r>
          </w:p>
        </w:tc>
      </w:tr>
      <w:tr w:rsidR="003E148C" w:rsidRPr="00145120" w14:paraId="11FDD3FD" w14:textId="77777777" w:rsidTr="0026218B">
        <w:trPr>
          <w:trHeight w:val="20"/>
        </w:trPr>
        <w:tc>
          <w:tcPr>
            <w:tcW w:w="4590" w:type="dxa"/>
            <w:tcBorders>
              <w:top w:val="nil"/>
              <w:left w:val="nil"/>
              <w:bottom w:val="nil"/>
              <w:right w:val="nil"/>
            </w:tcBorders>
          </w:tcPr>
          <w:p w14:paraId="79FCDE2C"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74E426A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(0.0047)</w:t>
            </w:r>
          </w:p>
        </w:tc>
        <w:tc>
          <w:tcPr>
            <w:tcW w:w="0" w:type="auto"/>
            <w:tcBorders>
              <w:top w:val="nil"/>
              <w:left w:val="nil"/>
              <w:bottom w:val="nil"/>
              <w:right w:val="nil"/>
            </w:tcBorders>
          </w:tcPr>
          <w:p w14:paraId="6FABF1CA"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(0.0019)</w:t>
            </w:r>
          </w:p>
        </w:tc>
        <w:tc>
          <w:tcPr>
            <w:tcW w:w="0" w:type="auto"/>
            <w:tcBorders>
              <w:top w:val="nil"/>
              <w:left w:val="nil"/>
              <w:bottom w:val="nil"/>
              <w:right w:val="nil"/>
            </w:tcBorders>
          </w:tcPr>
          <w:p w14:paraId="3267CED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(0.0016)</w:t>
            </w:r>
          </w:p>
        </w:tc>
        <w:tc>
          <w:tcPr>
            <w:tcW w:w="0" w:type="auto"/>
            <w:tcBorders>
              <w:top w:val="nil"/>
              <w:left w:val="nil"/>
              <w:bottom w:val="nil"/>
              <w:right w:val="nil"/>
            </w:tcBorders>
          </w:tcPr>
          <w:p w14:paraId="5376DCB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(0.0017)</w:t>
            </w:r>
          </w:p>
        </w:tc>
      </w:tr>
      <w:tr w:rsidR="003E148C" w:rsidRPr="00145120" w14:paraId="125BF9B0" w14:textId="77777777" w:rsidTr="0026218B">
        <w:trPr>
          <w:trHeight w:val="20"/>
        </w:trPr>
        <w:tc>
          <w:tcPr>
            <w:tcW w:w="4590" w:type="dxa"/>
            <w:tcBorders>
              <w:top w:val="nil"/>
              <w:left w:val="nil"/>
              <w:bottom w:val="nil"/>
              <w:right w:val="nil"/>
            </w:tcBorders>
          </w:tcPr>
          <w:p w14:paraId="51BA4848" w14:textId="77777777" w:rsidR="003E148C" w:rsidRPr="00145120" w:rsidRDefault="003E148C" w:rsidP="0026218B">
            <w:pPr>
              <w:widowControl w:val="0"/>
              <w:autoSpaceDE w:val="0"/>
              <w:autoSpaceDN w:val="0"/>
              <w:adjustRightInd w:val="0"/>
              <w:rPr>
                <w:iCs/>
                <w:sz w:val="20"/>
                <w:szCs w:val="20"/>
              </w:rPr>
            </w:pPr>
            <w:r w:rsidRPr="00145120">
              <w:rPr>
                <w:iCs/>
                <w:sz w:val="20"/>
                <w:szCs w:val="20"/>
              </w:rPr>
              <w:t>High qualification</w:t>
            </w:r>
          </w:p>
        </w:tc>
        <w:tc>
          <w:tcPr>
            <w:tcW w:w="0" w:type="auto"/>
            <w:tcBorders>
              <w:top w:val="nil"/>
              <w:left w:val="nil"/>
              <w:bottom w:val="nil"/>
              <w:right w:val="nil"/>
            </w:tcBorders>
          </w:tcPr>
          <w:p w14:paraId="7273D4E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0.3804</w:t>
            </w:r>
          </w:p>
        </w:tc>
        <w:tc>
          <w:tcPr>
            <w:tcW w:w="0" w:type="auto"/>
            <w:tcBorders>
              <w:top w:val="nil"/>
              <w:left w:val="nil"/>
              <w:bottom w:val="nil"/>
              <w:right w:val="nil"/>
            </w:tcBorders>
          </w:tcPr>
          <w:p w14:paraId="60BBD7E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0.1371</w:t>
            </w:r>
          </w:p>
        </w:tc>
        <w:tc>
          <w:tcPr>
            <w:tcW w:w="0" w:type="auto"/>
            <w:tcBorders>
              <w:top w:val="nil"/>
              <w:left w:val="nil"/>
              <w:bottom w:val="nil"/>
              <w:right w:val="nil"/>
            </w:tcBorders>
          </w:tcPr>
          <w:p w14:paraId="2157342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0.1237</w:t>
            </w:r>
          </w:p>
        </w:tc>
        <w:tc>
          <w:tcPr>
            <w:tcW w:w="0" w:type="auto"/>
            <w:tcBorders>
              <w:top w:val="nil"/>
              <w:left w:val="nil"/>
              <w:bottom w:val="nil"/>
              <w:right w:val="nil"/>
            </w:tcBorders>
          </w:tcPr>
          <w:p w14:paraId="2978979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0.0823</w:t>
            </w:r>
          </w:p>
        </w:tc>
      </w:tr>
      <w:tr w:rsidR="003E148C" w:rsidRPr="00145120" w14:paraId="75B49928" w14:textId="77777777" w:rsidTr="0026218B">
        <w:trPr>
          <w:trHeight w:val="20"/>
        </w:trPr>
        <w:tc>
          <w:tcPr>
            <w:tcW w:w="4590" w:type="dxa"/>
            <w:tcBorders>
              <w:top w:val="nil"/>
              <w:left w:val="nil"/>
              <w:bottom w:val="nil"/>
              <w:right w:val="nil"/>
            </w:tcBorders>
          </w:tcPr>
          <w:p w14:paraId="6D867E25"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5BA24DE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(0.0055)</w:t>
            </w:r>
          </w:p>
        </w:tc>
        <w:tc>
          <w:tcPr>
            <w:tcW w:w="0" w:type="auto"/>
            <w:tcBorders>
              <w:top w:val="nil"/>
              <w:left w:val="nil"/>
              <w:bottom w:val="nil"/>
              <w:right w:val="nil"/>
            </w:tcBorders>
          </w:tcPr>
          <w:p w14:paraId="7C933F2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(0.0024)</w:t>
            </w:r>
          </w:p>
        </w:tc>
        <w:tc>
          <w:tcPr>
            <w:tcW w:w="0" w:type="auto"/>
            <w:tcBorders>
              <w:top w:val="nil"/>
              <w:left w:val="nil"/>
              <w:bottom w:val="nil"/>
              <w:right w:val="nil"/>
            </w:tcBorders>
          </w:tcPr>
          <w:p w14:paraId="37EAA9C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(0.0028)</w:t>
            </w:r>
          </w:p>
        </w:tc>
        <w:tc>
          <w:tcPr>
            <w:tcW w:w="0" w:type="auto"/>
            <w:tcBorders>
              <w:top w:val="nil"/>
              <w:left w:val="nil"/>
              <w:bottom w:val="nil"/>
              <w:right w:val="nil"/>
            </w:tcBorders>
          </w:tcPr>
          <w:p w14:paraId="407F7B9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(0.0029)</w:t>
            </w:r>
          </w:p>
        </w:tc>
      </w:tr>
      <w:tr w:rsidR="003E148C" w:rsidRPr="00145120" w14:paraId="7523A80C" w14:textId="77777777" w:rsidTr="0026218B">
        <w:trPr>
          <w:trHeight w:val="20"/>
        </w:trPr>
        <w:tc>
          <w:tcPr>
            <w:tcW w:w="4590" w:type="dxa"/>
            <w:tcBorders>
              <w:top w:val="nil"/>
              <w:left w:val="nil"/>
              <w:bottom w:val="nil"/>
              <w:right w:val="nil"/>
            </w:tcBorders>
          </w:tcPr>
          <w:p w14:paraId="2C647CCF" w14:textId="77777777" w:rsidR="003E148C" w:rsidRPr="00145120" w:rsidRDefault="003E148C" w:rsidP="0026218B">
            <w:pPr>
              <w:widowControl w:val="0"/>
              <w:autoSpaceDE w:val="0"/>
              <w:autoSpaceDN w:val="0"/>
              <w:adjustRightInd w:val="0"/>
              <w:rPr>
                <w:iCs/>
                <w:sz w:val="20"/>
                <w:szCs w:val="20"/>
              </w:rPr>
            </w:pPr>
            <w:r w:rsidRPr="00145120">
              <w:rPr>
                <w:iCs/>
                <w:sz w:val="20"/>
                <w:szCs w:val="20"/>
              </w:rPr>
              <w:t>Workers (ln)</w:t>
            </w:r>
          </w:p>
        </w:tc>
        <w:tc>
          <w:tcPr>
            <w:tcW w:w="0" w:type="auto"/>
            <w:tcBorders>
              <w:top w:val="nil"/>
              <w:left w:val="nil"/>
              <w:bottom w:val="nil"/>
              <w:right w:val="nil"/>
            </w:tcBorders>
          </w:tcPr>
          <w:p w14:paraId="2614CC9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0.0634</w:t>
            </w:r>
          </w:p>
        </w:tc>
        <w:tc>
          <w:tcPr>
            <w:tcW w:w="0" w:type="auto"/>
            <w:tcBorders>
              <w:top w:val="nil"/>
              <w:left w:val="nil"/>
              <w:bottom w:val="nil"/>
              <w:right w:val="nil"/>
            </w:tcBorders>
          </w:tcPr>
          <w:p w14:paraId="06FAA4D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0.0300</w:t>
            </w:r>
          </w:p>
        </w:tc>
        <w:tc>
          <w:tcPr>
            <w:tcW w:w="0" w:type="auto"/>
            <w:tcBorders>
              <w:top w:val="nil"/>
              <w:left w:val="nil"/>
              <w:bottom w:val="nil"/>
              <w:right w:val="nil"/>
            </w:tcBorders>
          </w:tcPr>
          <w:p w14:paraId="58918A1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0.0328</w:t>
            </w:r>
          </w:p>
        </w:tc>
        <w:tc>
          <w:tcPr>
            <w:tcW w:w="0" w:type="auto"/>
            <w:tcBorders>
              <w:top w:val="nil"/>
              <w:left w:val="nil"/>
              <w:bottom w:val="nil"/>
              <w:right w:val="nil"/>
            </w:tcBorders>
          </w:tcPr>
          <w:p w14:paraId="626C707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0.0418</w:t>
            </w:r>
          </w:p>
        </w:tc>
      </w:tr>
      <w:tr w:rsidR="003E148C" w:rsidRPr="00145120" w14:paraId="621F6EA6" w14:textId="77777777" w:rsidTr="0026218B">
        <w:trPr>
          <w:trHeight w:val="20"/>
        </w:trPr>
        <w:tc>
          <w:tcPr>
            <w:tcW w:w="4590" w:type="dxa"/>
            <w:tcBorders>
              <w:top w:val="nil"/>
              <w:left w:val="nil"/>
              <w:bottom w:val="nil"/>
              <w:right w:val="nil"/>
            </w:tcBorders>
          </w:tcPr>
          <w:p w14:paraId="73F2C93F" w14:textId="77777777" w:rsidR="003E148C" w:rsidRPr="00145120" w:rsidRDefault="003E148C" w:rsidP="0026218B">
            <w:pPr>
              <w:widowControl w:val="0"/>
              <w:autoSpaceDE w:val="0"/>
              <w:autoSpaceDN w:val="0"/>
              <w:adjustRightInd w:val="0"/>
              <w:rPr>
                <w:iCs/>
                <w:sz w:val="20"/>
                <w:szCs w:val="20"/>
              </w:rPr>
            </w:pPr>
          </w:p>
        </w:tc>
        <w:tc>
          <w:tcPr>
            <w:tcW w:w="0" w:type="auto"/>
            <w:tcBorders>
              <w:top w:val="nil"/>
              <w:left w:val="nil"/>
              <w:bottom w:val="nil"/>
              <w:right w:val="nil"/>
            </w:tcBorders>
          </w:tcPr>
          <w:p w14:paraId="441F5D8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(0.0015)</w:t>
            </w:r>
          </w:p>
        </w:tc>
        <w:tc>
          <w:tcPr>
            <w:tcW w:w="0" w:type="auto"/>
            <w:tcBorders>
              <w:top w:val="nil"/>
              <w:left w:val="nil"/>
              <w:bottom w:val="nil"/>
              <w:right w:val="nil"/>
            </w:tcBorders>
          </w:tcPr>
          <w:p w14:paraId="02534C8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(0.0019)</w:t>
            </w:r>
          </w:p>
        </w:tc>
        <w:tc>
          <w:tcPr>
            <w:tcW w:w="0" w:type="auto"/>
            <w:tcBorders>
              <w:top w:val="nil"/>
              <w:left w:val="nil"/>
              <w:bottom w:val="nil"/>
              <w:right w:val="nil"/>
            </w:tcBorders>
          </w:tcPr>
          <w:p w14:paraId="50AB73AA"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(0.0026)</w:t>
            </w:r>
          </w:p>
        </w:tc>
        <w:tc>
          <w:tcPr>
            <w:tcW w:w="0" w:type="auto"/>
            <w:tcBorders>
              <w:top w:val="nil"/>
              <w:left w:val="nil"/>
              <w:bottom w:val="nil"/>
              <w:right w:val="nil"/>
            </w:tcBorders>
          </w:tcPr>
          <w:p w14:paraId="5C81296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(0.0019)</w:t>
            </w:r>
          </w:p>
        </w:tc>
      </w:tr>
      <w:tr w:rsidR="003E148C" w:rsidRPr="00145120" w14:paraId="408B115A" w14:textId="77777777" w:rsidTr="0026218B">
        <w:trPr>
          <w:trHeight w:val="20"/>
        </w:trPr>
        <w:tc>
          <w:tcPr>
            <w:tcW w:w="4590" w:type="dxa"/>
            <w:tcBorders>
              <w:top w:val="nil"/>
              <w:left w:val="nil"/>
              <w:bottom w:val="nil"/>
              <w:right w:val="nil"/>
            </w:tcBorders>
          </w:tcPr>
          <w:p w14:paraId="6AE4C2A6" w14:textId="77777777" w:rsidR="003E148C" w:rsidRPr="00145120" w:rsidRDefault="003E148C" w:rsidP="0026218B">
            <w:pPr>
              <w:widowControl w:val="0"/>
              <w:autoSpaceDE w:val="0"/>
              <w:autoSpaceDN w:val="0"/>
              <w:adjustRightInd w:val="0"/>
              <w:rPr>
                <w:iCs/>
                <w:sz w:val="20"/>
                <w:szCs w:val="20"/>
              </w:rPr>
            </w:pPr>
            <w:r w:rsidRPr="00145120">
              <w:rPr>
                <w:iCs/>
                <w:sz w:val="20"/>
                <w:szCs w:val="20"/>
              </w:rPr>
              <w:t>Constant</w:t>
            </w:r>
          </w:p>
        </w:tc>
        <w:tc>
          <w:tcPr>
            <w:tcW w:w="0" w:type="auto"/>
            <w:tcBorders>
              <w:top w:val="nil"/>
              <w:left w:val="nil"/>
              <w:bottom w:val="nil"/>
              <w:right w:val="nil"/>
            </w:tcBorders>
          </w:tcPr>
          <w:p w14:paraId="650C4D2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2.2296</w:t>
            </w:r>
          </w:p>
        </w:tc>
        <w:tc>
          <w:tcPr>
            <w:tcW w:w="0" w:type="auto"/>
            <w:tcBorders>
              <w:top w:val="nil"/>
              <w:left w:val="nil"/>
              <w:bottom w:val="nil"/>
              <w:right w:val="nil"/>
            </w:tcBorders>
          </w:tcPr>
          <w:p w14:paraId="23F955F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1.6998</w:t>
            </w:r>
          </w:p>
        </w:tc>
        <w:tc>
          <w:tcPr>
            <w:tcW w:w="0" w:type="auto"/>
            <w:tcBorders>
              <w:top w:val="nil"/>
              <w:left w:val="nil"/>
              <w:bottom w:val="nil"/>
              <w:right w:val="nil"/>
            </w:tcBorders>
          </w:tcPr>
          <w:p w14:paraId="2F64D64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1.6452</w:t>
            </w:r>
          </w:p>
        </w:tc>
        <w:tc>
          <w:tcPr>
            <w:tcW w:w="0" w:type="auto"/>
            <w:tcBorders>
              <w:top w:val="nil"/>
              <w:left w:val="nil"/>
              <w:bottom w:val="nil"/>
              <w:right w:val="nil"/>
            </w:tcBorders>
          </w:tcPr>
          <w:p w14:paraId="4A7D35F0"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1.7917</w:t>
            </w:r>
          </w:p>
        </w:tc>
      </w:tr>
      <w:tr w:rsidR="003E148C" w:rsidRPr="00145120" w14:paraId="15F5B99E" w14:textId="77777777" w:rsidTr="0026218B">
        <w:trPr>
          <w:trHeight w:val="20"/>
        </w:trPr>
        <w:tc>
          <w:tcPr>
            <w:tcW w:w="4590" w:type="dxa"/>
            <w:tcBorders>
              <w:top w:val="nil"/>
              <w:left w:val="nil"/>
              <w:bottom w:val="nil"/>
              <w:right w:val="nil"/>
            </w:tcBorders>
          </w:tcPr>
          <w:p w14:paraId="32258961" w14:textId="77777777" w:rsidR="003E148C" w:rsidRPr="00145120"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6514265A"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(0.2181)</w:t>
            </w:r>
          </w:p>
        </w:tc>
        <w:tc>
          <w:tcPr>
            <w:tcW w:w="0" w:type="auto"/>
            <w:tcBorders>
              <w:top w:val="nil"/>
              <w:left w:val="nil"/>
              <w:bottom w:val="nil"/>
              <w:right w:val="nil"/>
            </w:tcBorders>
          </w:tcPr>
          <w:p w14:paraId="51103BE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(0.0646)</w:t>
            </w:r>
          </w:p>
        </w:tc>
        <w:tc>
          <w:tcPr>
            <w:tcW w:w="0" w:type="auto"/>
            <w:tcBorders>
              <w:top w:val="nil"/>
              <w:left w:val="nil"/>
              <w:bottom w:val="nil"/>
              <w:right w:val="nil"/>
            </w:tcBorders>
          </w:tcPr>
          <w:p w14:paraId="76D7451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(0.0370)</w:t>
            </w:r>
          </w:p>
        </w:tc>
        <w:tc>
          <w:tcPr>
            <w:tcW w:w="0" w:type="auto"/>
            <w:tcBorders>
              <w:top w:val="nil"/>
              <w:left w:val="nil"/>
              <w:bottom w:val="nil"/>
              <w:right w:val="nil"/>
            </w:tcBorders>
          </w:tcPr>
          <w:p w14:paraId="3B826F5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(0.0450)</w:t>
            </w:r>
          </w:p>
        </w:tc>
      </w:tr>
      <w:tr w:rsidR="003E148C" w:rsidRPr="00145120" w14:paraId="014A780F" w14:textId="77777777" w:rsidTr="0026218B">
        <w:trPr>
          <w:trHeight w:val="20"/>
        </w:trPr>
        <w:tc>
          <w:tcPr>
            <w:tcW w:w="4590" w:type="dxa"/>
            <w:tcBorders>
              <w:top w:val="nil"/>
              <w:left w:val="nil"/>
              <w:bottom w:val="nil"/>
              <w:right w:val="nil"/>
            </w:tcBorders>
          </w:tcPr>
          <w:p w14:paraId="0EDE9C8C" w14:textId="77777777" w:rsidR="003E148C" w:rsidRPr="00145120" w:rsidRDefault="003E148C" w:rsidP="0026218B">
            <w:pPr>
              <w:widowControl w:val="0"/>
              <w:autoSpaceDE w:val="0"/>
              <w:autoSpaceDN w:val="0"/>
              <w:adjustRightInd w:val="0"/>
              <w:rPr>
                <w:sz w:val="20"/>
                <w:szCs w:val="20"/>
              </w:rPr>
            </w:pPr>
            <w:r w:rsidRPr="00145120">
              <w:rPr>
                <w:sz w:val="20"/>
                <w:szCs w:val="20"/>
              </w:rPr>
              <w:t xml:space="preserve">R2 </w:t>
            </w:r>
          </w:p>
        </w:tc>
        <w:tc>
          <w:tcPr>
            <w:tcW w:w="0" w:type="auto"/>
            <w:tcBorders>
              <w:top w:val="nil"/>
              <w:left w:val="nil"/>
              <w:bottom w:val="nil"/>
              <w:right w:val="nil"/>
            </w:tcBorders>
          </w:tcPr>
          <w:p w14:paraId="0D28588A"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0.66</w:t>
            </w:r>
          </w:p>
        </w:tc>
        <w:tc>
          <w:tcPr>
            <w:tcW w:w="0" w:type="auto"/>
            <w:tcBorders>
              <w:top w:val="nil"/>
              <w:left w:val="nil"/>
              <w:bottom w:val="nil"/>
              <w:right w:val="nil"/>
            </w:tcBorders>
          </w:tcPr>
          <w:p w14:paraId="5FD96A0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0.93</w:t>
            </w:r>
          </w:p>
        </w:tc>
        <w:tc>
          <w:tcPr>
            <w:tcW w:w="0" w:type="auto"/>
            <w:tcBorders>
              <w:top w:val="nil"/>
              <w:left w:val="nil"/>
              <w:bottom w:val="nil"/>
              <w:right w:val="nil"/>
            </w:tcBorders>
          </w:tcPr>
          <w:p w14:paraId="32C50B0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0.95</w:t>
            </w:r>
          </w:p>
        </w:tc>
        <w:tc>
          <w:tcPr>
            <w:tcW w:w="0" w:type="auto"/>
            <w:tcBorders>
              <w:top w:val="nil"/>
              <w:left w:val="nil"/>
              <w:bottom w:val="nil"/>
              <w:right w:val="nil"/>
            </w:tcBorders>
          </w:tcPr>
          <w:p w14:paraId="4C44AA6A"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0.95</w:t>
            </w:r>
          </w:p>
        </w:tc>
      </w:tr>
      <w:tr w:rsidR="003E148C" w:rsidRPr="00145120" w14:paraId="3A732906" w14:textId="77777777" w:rsidTr="0026218B">
        <w:trPr>
          <w:trHeight w:val="20"/>
        </w:trPr>
        <w:tc>
          <w:tcPr>
            <w:tcW w:w="4590" w:type="dxa"/>
            <w:tcBorders>
              <w:top w:val="nil"/>
              <w:left w:val="nil"/>
              <w:bottom w:val="nil"/>
              <w:right w:val="nil"/>
            </w:tcBorders>
          </w:tcPr>
          <w:p w14:paraId="20EC78DF" w14:textId="77777777" w:rsidR="003E148C" w:rsidRPr="00145120" w:rsidRDefault="003E148C" w:rsidP="0026218B">
            <w:pPr>
              <w:widowControl w:val="0"/>
              <w:autoSpaceDE w:val="0"/>
              <w:autoSpaceDN w:val="0"/>
              <w:adjustRightInd w:val="0"/>
              <w:rPr>
                <w:sz w:val="20"/>
                <w:szCs w:val="20"/>
              </w:rPr>
            </w:pPr>
            <w:r w:rsidRPr="00145120">
              <w:rPr>
                <w:i/>
                <w:iCs/>
                <w:sz w:val="20"/>
                <w:szCs w:val="20"/>
              </w:rPr>
              <w:t>N</w:t>
            </w:r>
          </w:p>
        </w:tc>
        <w:tc>
          <w:tcPr>
            <w:tcW w:w="0" w:type="auto"/>
            <w:tcBorders>
              <w:top w:val="nil"/>
              <w:left w:val="nil"/>
              <w:bottom w:val="nil"/>
              <w:right w:val="nil"/>
            </w:tcBorders>
          </w:tcPr>
          <w:p w14:paraId="2AE5B6F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19,319,837</w:t>
            </w:r>
          </w:p>
        </w:tc>
        <w:tc>
          <w:tcPr>
            <w:tcW w:w="0" w:type="auto"/>
            <w:tcBorders>
              <w:top w:val="nil"/>
              <w:left w:val="nil"/>
              <w:bottom w:val="nil"/>
              <w:right w:val="nil"/>
            </w:tcBorders>
          </w:tcPr>
          <w:p w14:paraId="49A7F5C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18,226,663</w:t>
            </w:r>
          </w:p>
        </w:tc>
        <w:tc>
          <w:tcPr>
            <w:tcW w:w="0" w:type="auto"/>
            <w:tcBorders>
              <w:top w:val="nil"/>
              <w:left w:val="nil"/>
              <w:bottom w:val="nil"/>
              <w:right w:val="nil"/>
            </w:tcBorders>
          </w:tcPr>
          <w:p w14:paraId="4B8DD58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18,147,279</w:t>
            </w:r>
          </w:p>
        </w:tc>
        <w:tc>
          <w:tcPr>
            <w:tcW w:w="0" w:type="auto"/>
            <w:tcBorders>
              <w:top w:val="nil"/>
              <w:left w:val="nil"/>
              <w:bottom w:val="nil"/>
              <w:right w:val="nil"/>
            </w:tcBorders>
          </w:tcPr>
          <w:p w14:paraId="1B44D38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16,357,696</w:t>
            </w:r>
          </w:p>
        </w:tc>
      </w:tr>
      <w:tr w:rsidR="003E148C" w:rsidRPr="00145120" w14:paraId="38E58CAD" w14:textId="77777777" w:rsidTr="0026218B">
        <w:trPr>
          <w:trHeight w:val="20"/>
        </w:trPr>
        <w:tc>
          <w:tcPr>
            <w:tcW w:w="4590" w:type="dxa"/>
            <w:tcBorders>
              <w:top w:val="nil"/>
              <w:left w:val="nil"/>
              <w:bottom w:val="nil"/>
              <w:right w:val="nil"/>
            </w:tcBorders>
          </w:tcPr>
          <w:p w14:paraId="6EF99C40" w14:textId="77777777" w:rsidR="003E148C" w:rsidRPr="00145120" w:rsidRDefault="003E148C" w:rsidP="0026218B">
            <w:pPr>
              <w:widowControl w:val="0"/>
              <w:autoSpaceDE w:val="0"/>
              <w:autoSpaceDN w:val="0"/>
              <w:adjustRightInd w:val="0"/>
              <w:rPr>
                <w:iCs/>
                <w:sz w:val="20"/>
                <w:szCs w:val="20"/>
              </w:rPr>
            </w:pPr>
            <w:r w:rsidRPr="00145120">
              <w:rPr>
                <w:iCs/>
                <w:sz w:val="20"/>
                <w:szCs w:val="20"/>
              </w:rPr>
              <w:t>Occupation FE</w:t>
            </w:r>
          </w:p>
        </w:tc>
        <w:tc>
          <w:tcPr>
            <w:tcW w:w="0" w:type="auto"/>
            <w:tcBorders>
              <w:top w:val="nil"/>
              <w:left w:val="nil"/>
              <w:bottom w:val="nil"/>
              <w:right w:val="nil"/>
            </w:tcBorders>
          </w:tcPr>
          <w:p w14:paraId="78EC319E"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183869A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473A94EB"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2D6FE65F"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145120" w14:paraId="7CF0E42B" w14:textId="77777777" w:rsidTr="0026218B">
        <w:trPr>
          <w:trHeight w:val="20"/>
        </w:trPr>
        <w:tc>
          <w:tcPr>
            <w:tcW w:w="4590" w:type="dxa"/>
            <w:tcBorders>
              <w:top w:val="nil"/>
              <w:left w:val="nil"/>
              <w:bottom w:val="nil"/>
              <w:right w:val="nil"/>
            </w:tcBorders>
          </w:tcPr>
          <w:p w14:paraId="59528B3C" w14:textId="77777777" w:rsidR="003E148C" w:rsidRPr="00145120" w:rsidRDefault="003E148C" w:rsidP="0026218B">
            <w:pPr>
              <w:widowControl w:val="0"/>
              <w:autoSpaceDE w:val="0"/>
              <w:autoSpaceDN w:val="0"/>
              <w:adjustRightInd w:val="0"/>
              <w:rPr>
                <w:sz w:val="20"/>
                <w:szCs w:val="20"/>
              </w:rPr>
            </w:pPr>
            <w:r w:rsidRPr="00145120">
              <w:rPr>
                <w:sz w:val="20"/>
                <w:szCs w:val="20"/>
              </w:rPr>
              <w:t>Year FE</w:t>
            </w:r>
          </w:p>
        </w:tc>
        <w:tc>
          <w:tcPr>
            <w:tcW w:w="0" w:type="auto"/>
            <w:tcBorders>
              <w:top w:val="nil"/>
              <w:left w:val="nil"/>
              <w:bottom w:val="nil"/>
              <w:right w:val="nil"/>
            </w:tcBorders>
          </w:tcPr>
          <w:p w14:paraId="4EB45416"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770AC14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72A5D992"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5F989DF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145120" w14:paraId="6736B62B" w14:textId="77777777" w:rsidTr="0026218B">
        <w:trPr>
          <w:trHeight w:val="20"/>
        </w:trPr>
        <w:tc>
          <w:tcPr>
            <w:tcW w:w="4590" w:type="dxa"/>
            <w:tcBorders>
              <w:top w:val="nil"/>
              <w:left w:val="nil"/>
              <w:bottom w:val="nil"/>
              <w:right w:val="nil"/>
            </w:tcBorders>
          </w:tcPr>
          <w:p w14:paraId="406E44DA" w14:textId="1085A1E3" w:rsidR="003E148C" w:rsidRPr="00145120" w:rsidRDefault="004358A2" w:rsidP="0026218B">
            <w:pPr>
              <w:widowControl w:val="0"/>
              <w:autoSpaceDE w:val="0"/>
              <w:autoSpaceDN w:val="0"/>
              <w:adjustRightInd w:val="0"/>
              <w:rPr>
                <w:sz w:val="20"/>
                <w:szCs w:val="20"/>
              </w:rPr>
            </w:pPr>
            <w:r>
              <w:rPr>
                <w:sz w:val="20"/>
                <w:szCs w:val="20"/>
              </w:rPr>
              <w:t>Municipality</w:t>
            </w:r>
            <w:r w:rsidR="003E148C" w:rsidRPr="00145120">
              <w:rPr>
                <w:sz w:val="20"/>
                <w:szCs w:val="20"/>
              </w:rPr>
              <w:t xml:space="preserve"> FE</w:t>
            </w:r>
          </w:p>
        </w:tc>
        <w:tc>
          <w:tcPr>
            <w:tcW w:w="0" w:type="auto"/>
            <w:tcBorders>
              <w:top w:val="nil"/>
              <w:left w:val="nil"/>
              <w:bottom w:val="nil"/>
              <w:right w:val="nil"/>
            </w:tcBorders>
          </w:tcPr>
          <w:p w14:paraId="6154232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73D585B4"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617731DD"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34C0E5A5"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145120" w14:paraId="1B2861A9" w14:textId="77777777" w:rsidTr="0026218B">
        <w:trPr>
          <w:trHeight w:val="20"/>
        </w:trPr>
        <w:tc>
          <w:tcPr>
            <w:tcW w:w="4590" w:type="dxa"/>
            <w:tcBorders>
              <w:top w:val="nil"/>
              <w:left w:val="nil"/>
              <w:bottom w:val="nil"/>
              <w:right w:val="nil"/>
            </w:tcBorders>
          </w:tcPr>
          <w:p w14:paraId="38F7778C" w14:textId="77777777" w:rsidR="003E148C" w:rsidRPr="00145120" w:rsidRDefault="003E148C" w:rsidP="0026218B">
            <w:pPr>
              <w:widowControl w:val="0"/>
              <w:autoSpaceDE w:val="0"/>
              <w:autoSpaceDN w:val="0"/>
              <w:adjustRightInd w:val="0"/>
              <w:rPr>
                <w:sz w:val="20"/>
                <w:szCs w:val="20"/>
              </w:rPr>
            </w:pPr>
            <w:r w:rsidRPr="00145120">
              <w:rPr>
                <w:sz w:val="20"/>
                <w:szCs w:val="20"/>
              </w:rPr>
              <w:t>Worker FE</w:t>
            </w:r>
          </w:p>
        </w:tc>
        <w:tc>
          <w:tcPr>
            <w:tcW w:w="0" w:type="auto"/>
            <w:tcBorders>
              <w:top w:val="nil"/>
              <w:left w:val="nil"/>
              <w:bottom w:val="nil"/>
              <w:right w:val="nil"/>
            </w:tcBorders>
          </w:tcPr>
          <w:p w14:paraId="08B20D3B"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31B23BF8"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1DB36107"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bottom w:val="nil"/>
              <w:right w:val="nil"/>
            </w:tcBorders>
          </w:tcPr>
          <w:p w14:paraId="059E0B69"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145120" w14:paraId="2C3C2B0E" w14:textId="77777777" w:rsidTr="0026218B">
        <w:trPr>
          <w:trHeight w:val="20"/>
        </w:trPr>
        <w:tc>
          <w:tcPr>
            <w:tcW w:w="4590" w:type="dxa"/>
            <w:tcBorders>
              <w:top w:val="nil"/>
              <w:left w:val="nil"/>
              <w:right w:val="nil"/>
            </w:tcBorders>
          </w:tcPr>
          <w:p w14:paraId="773751CE" w14:textId="77777777" w:rsidR="003E148C" w:rsidRPr="00145120" w:rsidRDefault="003E148C" w:rsidP="0026218B">
            <w:pPr>
              <w:widowControl w:val="0"/>
              <w:autoSpaceDE w:val="0"/>
              <w:autoSpaceDN w:val="0"/>
              <w:adjustRightInd w:val="0"/>
              <w:rPr>
                <w:sz w:val="20"/>
                <w:szCs w:val="20"/>
              </w:rPr>
            </w:pPr>
            <w:r w:rsidRPr="00145120">
              <w:rPr>
                <w:sz w:val="20"/>
                <w:szCs w:val="20"/>
              </w:rPr>
              <w:t>Firm FE</w:t>
            </w:r>
          </w:p>
        </w:tc>
        <w:tc>
          <w:tcPr>
            <w:tcW w:w="0" w:type="auto"/>
            <w:tcBorders>
              <w:top w:val="nil"/>
              <w:left w:val="nil"/>
              <w:right w:val="nil"/>
            </w:tcBorders>
          </w:tcPr>
          <w:p w14:paraId="204A3BA2"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right w:val="nil"/>
            </w:tcBorders>
          </w:tcPr>
          <w:p w14:paraId="5ADE69A0"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right w:val="nil"/>
            </w:tcBorders>
          </w:tcPr>
          <w:p w14:paraId="21870CAC"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c>
          <w:tcPr>
            <w:tcW w:w="0" w:type="auto"/>
            <w:tcBorders>
              <w:top w:val="nil"/>
              <w:left w:val="nil"/>
              <w:right w:val="nil"/>
            </w:tcBorders>
          </w:tcPr>
          <w:p w14:paraId="54FDEB63"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145120" w14:paraId="644CD497" w14:textId="77777777" w:rsidTr="0026218B">
        <w:trPr>
          <w:trHeight w:val="20"/>
        </w:trPr>
        <w:tc>
          <w:tcPr>
            <w:tcW w:w="4590" w:type="dxa"/>
            <w:tcBorders>
              <w:top w:val="nil"/>
              <w:left w:val="nil"/>
              <w:bottom w:val="single" w:sz="4" w:space="0" w:color="auto"/>
              <w:right w:val="nil"/>
            </w:tcBorders>
          </w:tcPr>
          <w:p w14:paraId="1B4C75C1" w14:textId="77777777" w:rsidR="003E148C" w:rsidRPr="00145120" w:rsidRDefault="003E148C" w:rsidP="0026218B">
            <w:pPr>
              <w:widowControl w:val="0"/>
              <w:autoSpaceDE w:val="0"/>
              <w:autoSpaceDN w:val="0"/>
              <w:adjustRightInd w:val="0"/>
              <w:rPr>
                <w:sz w:val="20"/>
                <w:szCs w:val="20"/>
              </w:rPr>
            </w:pPr>
            <w:r w:rsidRPr="00145120">
              <w:rPr>
                <w:sz w:val="20"/>
                <w:szCs w:val="20"/>
              </w:rPr>
              <w:t>Worker&amp;Firm FE</w:t>
            </w:r>
          </w:p>
        </w:tc>
        <w:tc>
          <w:tcPr>
            <w:tcW w:w="0" w:type="auto"/>
            <w:tcBorders>
              <w:top w:val="nil"/>
              <w:left w:val="nil"/>
              <w:bottom w:val="single" w:sz="4" w:space="0" w:color="auto"/>
              <w:right w:val="nil"/>
            </w:tcBorders>
          </w:tcPr>
          <w:p w14:paraId="5F4E3365"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56169211"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3AEE70FD" w14:textId="77777777" w:rsidR="003E148C" w:rsidRPr="00145120"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68717971" w14:textId="77777777" w:rsidR="003E148C" w:rsidRPr="00145120" w:rsidRDefault="003E148C" w:rsidP="0026218B">
            <w:pPr>
              <w:widowControl w:val="0"/>
              <w:autoSpaceDE w:val="0"/>
              <w:autoSpaceDN w:val="0"/>
              <w:adjustRightInd w:val="0"/>
              <w:jc w:val="center"/>
              <w:rPr>
                <w:sz w:val="20"/>
                <w:szCs w:val="20"/>
                <w:lang w:val="fr-FR" w:eastAsia="fr-FR"/>
              </w:rPr>
            </w:pPr>
            <w:r w:rsidRPr="00145120">
              <w:rPr>
                <w:sz w:val="20"/>
                <w:szCs w:val="20"/>
                <w:lang w:val="fr-FR" w:eastAsia="fr-FR"/>
              </w:rPr>
              <w:t>YES</w:t>
            </w:r>
          </w:p>
        </w:tc>
      </w:tr>
      <w:tr w:rsidR="003E148C" w:rsidRPr="00B200A7" w14:paraId="64BA4DC2" w14:textId="77777777" w:rsidTr="0026218B">
        <w:tblPrEx>
          <w:tblCellMar>
            <w:left w:w="70" w:type="dxa"/>
            <w:right w:w="70" w:type="dxa"/>
          </w:tblCellMar>
          <w:tblLook w:val="04A0" w:firstRow="1" w:lastRow="0" w:firstColumn="1" w:lastColumn="0" w:noHBand="0" w:noVBand="1"/>
        </w:tblPrEx>
        <w:trPr>
          <w:gridAfter w:val="2"/>
          <w:trHeight w:val="20"/>
        </w:trPr>
        <w:tc>
          <w:tcPr>
            <w:tcW w:w="6966" w:type="dxa"/>
            <w:gridSpan w:val="3"/>
            <w:tcBorders>
              <w:top w:val="nil"/>
              <w:left w:val="nil"/>
              <w:bottom w:val="nil"/>
            </w:tcBorders>
            <w:shd w:val="clear" w:color="auto" w:fill="auto"/>
            <w:noWrap/>
            <w:vAlign w:val="bottom"/>
            <w:hideMark/>
          </w:tcPr>
          <w:p w14:paraId="72849E50" w14:textId="77777777" w:rsidR="003E148C" w:rsidRPr="00B200A7" w:rsidRDefault="003E148C" w:rsidP="0026218B">
            <w:pPr>
              <w:rPr>
                <w:sz w:val="20"/>
                <w:szCs w:val="20"/>
                <w:lang w:eastAsia="pt-PT"/>
              </w:rPr>
            </w:pPr>
            <w:r w:rsidRPr="00B200A7">
              <w:rPr>
                <w:sz w:val="20"/>
                <w:szCs w:val="20"/>
                <w:lang w:eastAsia="pt-PT"/>
              </w:rPr>
              <w:t>Robust standard errors clustered by municipality in brackets</w:t>
            </w:r>
          </w:p>
        </w:tc>
      </w:tr>
    </w:tbl>
    <w:p w14:paraId="5A45FE7D" w14:textId="77777777" w:rsidR="003E148C" w:rsidRPr="00B200A7" w:rsidRDefault="003E148C" w:rsidP="003E148C">
      <w:pPr>
        <w:rPr>
          <w:b/>
          <w:sz w:val="20"/>
          <w:szCs w:val="20"/>
        </w:rPr>
      </w:pPr>
      <w:r w:rsidRPr="00B200A7">
        <w:rPr>
          <w:b/>
          <w:sz w:val="20"/>
          <w:szCs w:val="20"/>
        </w:rPr>
        <w:br w:type="page"/>
      </w:r>
    </w:p>
    <w:p w14:paraId="4A40FAA5" w14:textId="77777777" w:rsidR="003E148C" w:rsidRDefault="003E148C" w:rsidP="003E148C">
      <w:pPr>
        <w:spacing w:after="160" w:line="259" w:lineRule="auto"/>
      </w:pPr>
      <w:r w:rsidRPr="00B200A7">
        <w:rPr>
          <w:b/>
        </w:rPr>
        <w:t>Table A</w:t>
      </w:r>
      <w:r>
        <w:rPr>
          <w:b/>
        </w:rPr>
        <w:t>9</w:t>
      </w:r>
      <w:r w:rsidRPr="00B200A7">
        <w:rPr>
          <w:b/>
        </w:rPr>
        <w:t>. Effect of the reform on entrepreneurship –</w:t>
      </w:r>
      <w:r>
        <w:rPr>
          <w:b/>
        </w:rPr>
        <w:t xml:space="preserve"> </w:t>
      </w:r>
      <w:r w:rsidRPr="00B200A7">
        <w:rPr>
          <w:b/>
        </w:rPr>
        <w:t xml:space="preserve">startups </w:t>
      </w:r>
      <w:r>
        <w:rPr>
          <w:b/>
        </w:rPr>
        <w:t>with a number of employees equal or higher than 5 employees</w:t>
      </w:r>
    </w:p>
    <w:tbl>
      <w:tblPr>
        <w:tblW w:w="9722" w:type="dxa"/>
        <w:jc w:val="center"/>
        <w:tblCellMar>
          <w:left w:w="144" w:type="dxa"/>
          <w:right w:w="144" w:type="dxa"/>
        </w:tblCellMar>
        <w:tblLook w:val="0000" w:firstRow="0" w:lastRow="0" w:firstColumn="0" w:lastColumn="0" w:noHBand="0" w:noVBand="0"/>
      </w:tblPr>
      <w:tblGrid>
        <w:gridCol w:w="4345"/>
        <w:gridCol w:w="1271"/>
        <w:gridCol w:w="642"/>
        <w:gridCol w:w="546"/>
        <w:gridCol w:w="1267"/>
        <w:gridCol w:w="1651"/>
      </w:tblGrid>
      <w:tr w:rsidR="003E148C" w:rsidRPr="008F234C" w14:paraId="7982F236" w14:textId="77777777" w:rsidTr="0026218B">
        <w:trPr>
          <w:jc w:val="center"/>
        </w:trPr>
        <w:tc>
          <w:tcPr>
            <w:tcW w:w="4345" w:type="dxa"/>
            <w:tcBorders>
              <w:top w:val="single" w:sz="6" w:space="0" w:color="auto"/>
              <w:left w:val="nil"/>
              <w:bottom w:val="nil"/>
              <w:right w:val="nil"/>
            </w:tcBorders>
          </w:tcPr>
          <w:p w14:paraId="39DC61BC" w14:textId="77777777" w:rsidR="003E148C" w:rsidRPr="008F234C" w:rsidRDefault="003E148C" w:rsidP="0026218B">
            <w:pPr>
              <w:widowControl w:val="0"/>
              <w:autoSpaceDE w:val="0"/>
              <w:autoSpaceDN w:val="0"/>
              <w:adjustRightInd w:val="0"/>
              <w:jc w:val="center"/>
              <w:rPr>
                <w:sz w:val="20"/>
                <w:szCs w:val="20"/>
              </w:rPr>
            </w:pPr>
          </w:p>
        </w:tc>
        <w:tc>
          <w:tcPr>
            <w:tcW w:w="1271" w:type="dxa"/>
            <w:tcBorders>
              <w:top w:val="single" w:sz="6" w:space="0" w:color="auto"/>
              <w:left w:val="nil"/>
              <w:bottom w:val="nil"/>
              <w:right w:val="nil"/>
            </w:tcBorders>
          </w:tcPr>
          <w:p w14:paraId="569E4250"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1</w:t>
            </w:r>
          </w:p>
        </w:tc>
        <w:tc>
          <w:tcPr>
            <w:tcW w:w="1188" w:type="dxa"/>
            <w:gridSpan w:val="2"/>
            <w:tcBorders>
              <w:top w:val="single" w:sz="6" w:space="0" w:color="auto"/>
              <w:left w:val="nil"/>
              <w:bottom w:val="nil"/>
              <w:right w:val="nil"/>
            </w:tcBorders>
          </w:tcPr>
          <w:p w14:paraId="1062C8D0"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2</w:t>
            </w:r>
          </w:p>
        </w:tc>
        <w:tc>
          <w:tcPr>
            <w:tcW w:w="1267" w:type="dxa"/>
            <w:tcBorders>
              <w:top w:val="single" w:sz="6" w:space="0" w:color="auto"/>
              <w:left w:val="nil"/>
              <w:bottom w:val="nil"/>
              <w:right w:val="nil"/>
            </w:tcBorders>
          </w:tcPr>
          <w:p w14:paraId="38BE8D8F"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3</w:t>
            </w:r>
          </w:p>
        </w:tc>
        <w:tc>
          <w:tcPr>
            <w:tcW w:w="1651" w:type="dxa"/>
            <w:tcBorders>
              <w:top w:val="single" w:sz="6" w:space="0" w:color="auto"/>
              <w:left w:val="nil"/>
              <w:bottom w:val="nil"/>
              <w:right w:val="nil"/>
            </w:tcBorders>
          </w:tcPr>
          <w:p w14:paraId="0149710F"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4</w:t>
            </w:r>
          </w:p>
        </w:tc>
      </w:tr>
      <w:tr w:rsidR="003E148C" w:rsidRPr="008F234C" w14:paraId="533CA051" w14:textId="77777777" w:rsidTr="0026218B">
        <w:trPr>
          <w:jc w:val="center"/>
        </w:trPr>
        <w:tc>
          <w:tcPr>
            <w:tcW w:w="4590" w:type="dxa"/>
            <w:tcBorders>
              <w:top w:val="single" w:sz="6" w:space="0" w:color="auto"/>
              <w:left w:val="nil"/>
              <w:bottom w:val="nil"/>
              <w:right w:val="nil"/>
            </w:tcBorders>
          </w:tcPr>
          <w:p w14:paraId="2F92F070" w14:textId="77777777" w:rsidR="003E148C" w:rsidRPr="008F234C" w:rsidRDefault="003E148C" w:rsidP="0026218B">
            <w:pPr>
              <w:widowControl w:val="0"/>
              <w:autoSpaceDE w:val="0"/>
              <w:autoSpaceDN w:val="0"/>
              <w:adjustRightInd w:val="0"/>
              <w:rPr>
                <w:sz w:val="20"/>
                <w:szCs w:val="20"/>
              </w:rPr>
            </w:pPr>
            <w:r w:rsidRPr="008F234C">
              <w:rPr>
                <w:sz w:val="20"/>
                <w:szCs w:val="20"/>
              </w:rPr>
              <w:t>Entry deregulation</w:t>
            </w:r>
          </w:p>
        </w:tc>
        <w:tc>
          <w:tcPr>
            <w:tcW w:w="1283" w:type="dxa"/>
            <w:tcBorders>
              <w:top w:val="single" w:sz="6" w:space="0" w:color="auto"/>
              <w:left w:val="nil"/>
              <w:bottom w:val="nil"/>
              <w:right w:val="nil"/>
            </w:tcBorders>
          </w:tcPr>
          <w:p w14:paraId="331ED09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gridSpan w:val="2"/>
            <w:tcBorders>
              <w:top w:val="single" w:sz="6" w:space="0" w:color="auto"/>
              <w:left w:val="nil"/>
              <w:bottom w:val="nil"/>
              <w:right w:val="nil"/>
            </w:tcBorders>
          </w:tcPr>
          <w:p w14:paraId="40349A1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c>
          <w:tcPr>
            <w:tcW w:w="1283" w:type="dxa"/>
            <w:tcBorders>
              <w:top w:val="single" w:sz="6" w:space="0" w:color="auto"/>
              <w:left w:val="nil"/>
              <w:bottom w:val="nil"/>
              <w:right w:val="nil"/>
            </w:tcBorders>
          </w:tcPr>
          <w:p w14:paraId="3D07C2B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0.0015</w:t>
            </w:r>
          </w:p>
        </w:tc>
        <w:tc>
          <w:tcPr>
            <w:tcW w:w="1283" w:type="dxa"/>
            <w:tcBorders>
              <w:top w:val="single" w:sz="6" w:space="0" w:color="auto"/>
              <w:left w:val="nil"/>
              <w:bottom w:val="nil"/>
              <w:right w:val="nil"/>
            </w:tcBorders>
          </w:tcPr>
          <w:p w14:paraId="6DC5AAF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0.0020</w:t>
            </w:r>
          </w:p>
        </w:tc>
      </w:tr>
      <w:tr w:rsidR="003E148C" w:rsidRPr="008F234C" w14:paraId="647501F4" w14:textId="77777777" w:rsidTr="0026218B">
        <w:trPr>
          <w:jc w:val="center"/>
        </w:trPr>
        <w:tc>
          <w:tcPr>
            <w:tcW w:w="4590" w:type="dxa"/>
            <w:tcBorders>
              <w:top w:val="nil"/>
              <w:left w:val="nil"/>
              <w:bottom w:val="nil"/>
              <w:right w:val="nil"/>
            </w:tcBorders>
          </w:tcPr>
          <w:p w14:paraId="57DF347E"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28EDA349"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(0.0003)</w:t>
            </w:r>
          </w:p>
        </w:tc>
        <w:tc>
          <w:tcPr>
            <w:tcW w:w="1283" w:type="dxa"/>
            <w:gridSpan w:val="2"/>
            <w:tcBorders>
              <w:top w:val="nil"/>
              <w:left w:val="nil"/>
              <w:bottom w:val="nil"/>
              <w:right w:val="nil"/>
            </w:tcBorders>
          </w:tcPr>
          <w:p w14:paraId="3F9DF55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(0.0003)</w:t>
            </w:r>
          </w:p>
        </w:tc>
        <w:tc>
          <w:tcPr>
            <w:tcW w:w="1283" w:type="dxa"/>
            <w:tcBorders>
              <w:top w:val="nil"/>
              <w:left w:val="nil"/>
              <w:bottom w:val="nil"/>
              <w:right w:val="nil"/>
            </w:tcBorders>
          </w:tcPr>
          <w:p w14:paraId="29DB0CCA"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c>
          <w:tcPr>
            <w:tcW w:w="1283" w:type="dxa"/>
            <w:tcBorders>
              <w:top w:val="nil"/>
              <w:left w:val="nil"/>
              <w:bottom w:val="nil"/>
              <w:right w:val="nil"/>
            </w:tcBorders>
          </w:tcPr>
          <w:p w14:paraId="53865B9A"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r>
      <w:tr w:rsidR="003E148C" w:rsidRPr="008F234C" w14:paraId="3C4072F0" w14:textId="77777777" w:rsidTr="0026218B">
        <w:trPr>
          <w:jc w:val="center"/>
        </w:trPr>
        <w:tc>
          <w:tcPr>
            <w:tcW w:w="4590" w:type="dxa"/>
            <w:tcBorders>
              <w:top w:val="nil"/>
              <w:left w:val="nil"/>
              <w:bottom w:val="nil"/>
              <w:right w:val="nil"/>
            </w:tcBorders>
          </w:tcPr>
          <w:p w14:paraId="77D8D3C4" w14:textId="77777777" w:rsidR="003E148C" w:rsidRPr="008F234C" w:rsidRDefault="003E148C" w:rsidP="0026218B">
            <w:pPr>
              <w:widowControl w:val="0"/>
              <w:autoSpaceDE w:val="0"/>
              <w:autoSpaceDN w:val="0"/>
              <w:adjustRightInd w:val="0"/>
              <w:rPr>
                <w:sz w:val="20"/>
                <w:szCs w:val="20"/>
              </w:rPr>
            </w:pPr>
            <w:r w:rsidRPr="008F234C">
              <w:rPr>
                <w:sz w:val="20"/>
                <w:szCs w:val="20"/>
              </w:rPr>
              <w:t>Female</w:t>
            </w:r>
          </w:p>
        </w:tc>
        <w:tc>
          <w:tcPr>
            <w:tcW w:w="1283" w:type="dxa"/>
            <w:tcBorders>
              <w:top w:val="nil"/>
              <w:left w:val="nil"/>
              <w:bottom w:val="nil"/>
              <w:right w:val="nil"/>
            </w:tcBorders>
          </w:tcPr>
          <w:p w14:paraId="5440F625"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-0.0007</w:t>
            </w:r>
          </w:p>
        </w:tc>
        <w:tc>
          <w:tcPr>
            <w:tcW w:w="1283" w:type="dxa"/>
            <w:gridSpan w:val="2"/>
            <w:tcBorders>
              <w:top w:val="nil"/>
              <w:left w:val="nil"/>
              <w:bottom w:val="nil"/>
              <w:right w:val="nil"/>
            </w:tcBorders>
          </w:tcPr>
          <w:p w14:paraId="5B2FD1AA"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548B59F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-0.0011</w:t>
            </w:r>
          </w:p>
        </w:tc>
        <w:tc>
          <w:tcPr>
            <w:tcW w:w="1283" w:type="dxa"/>
            <w:tcBorders>
              <w:top w:val="nil"/>
              <w:left w:val="nil"/>
              <w:bottom w:val="nil"/>
              <w:right w:val="nil"/>
            </w:tcBorders>
          </w:tcPr>
          <w:p w14:paraId="0108736B" w14:textId="77777777" w:rsidR="003E148C" w:rsidRPr="00E1742D" w:rsidRDefault="003E148C" w:rsidP="0026218B">
            <w:pPr>
              <w:widowControl w:val="0"/>
              <w:autoSpaceDE w:val="0"/>
              <w:autoSpaceDN w:val="0"/>
              <w:adjustRightInd w:val="0"/>
              <w:jc w:val="center"/>
              <w:rPr>
                <w:sz w:val="20"/>
                <w:szCs w:val="20"/>
                <w:lang w:val="fr-FR" w:eastAsia="fr-FR"/>
              </w:rPr>
            </w:pPr>
          </w:p>
        </w:tc>
      </w:tr>
      <w:tr w:rsidR="003E148C" w:rsidRPr="008F234C" w14:paraId="4D758191" w14:textId="77777777" w:rsidTr="0026218B">
        <w:trPr>
          <w:jc w:val="center"/>
        </w:trPr>
        <w:tc>
          <w:tcPr>
            <w:tcW w:w="4590" w:type="dxa"/>
            <w:tcBorders>
              <w:top w:val="nil"/>
              <w:left w:val="nil"/>
              <w:bottom w:val="nil"/>
              <w:right w:val="nil"/>
            </w:tcBorders>
          </w:tcPr>
          <w:p w14:paraId="0F863B55"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2B9ED82A"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gridSpan w:val="2"/>
            <w:tcBorders>
              <w:top w:val="nil"/>
              <w:left w:val="nil"/>
              <w:bottom w:val="nil"/>
              <w:right w:val="nil"/>
            </w:tcBorders>
          </w:tcPr>
          <w:p w14:paraId="07D78426"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71F564D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6E299CE9" w14:textId="77777777" w:rsidR="003E148C" w:rsidRPr="00E1742D" w:rsidRDefault="003E148C" w:rsidP="0026218B">
            <w:pPr>
              <w:widowControl w:val="0"/>
              <w:autoSpaceDE w:val="0"/>
              <w:autoSpaceDN w:val="0"/>
              <w:adjustRightInd w:val="0"/>
              <w:jc w:val="center"/>
              <w:rPr>
                <w:sz w:val="20"/>
                <w:szCs w:val="20"/>
                <w:lang w:val="fr-FR" w:eastAsia="fr-FR"/>
              </w:rPr>
            </w:pPr>
          </w:p>
        </w:tc>
      </w:tr>
      <w:tr w:rsidR="003E148C" w:rsidRPr="008F234C" w14:paraId="4EFD2A8D" w14:textId="77777777" w:rsidTr="0026218B">
        <w:trPr>
          <w:jc w:val="center"/>
        </w:trPr>
        <w:tc>
          <w:tcPr>
            <w:tcW w:w="4590" w:type="dxa"/>
            <w:tcBorders>
              <w:top w:val="nil"/>
              <w:left w:val="nil"/>
              <w:bottom w:val="nil"/>
              <w:right w:val="nil"/>
            </w:tcBorders>
          </w:tcPr>
          <w:p w14:paraId="2FF8794F" w14:textId="77777777" w:rsidR="003E148C" w:rsidRPr="008F234C" w:rsidRDefault="003E148C" w:rsidP="0026218B">
            <w:pPr>
              <w:widowControl w:val="0"/>
              <w:autoSpaceDE w:val="0"/>
              <w:autoSpaceDN w:val="0"/>
              <w:adjustRightInd w:val="0"/>
              <w:rPr>
                <w:sz w:val="20"/>
                <w:szCs w:val="20"/>
              </w:rPr>
            </w:pPr>
            <w:r w:rsidRPr="008F234C">
              <w:rPr>
                <w:sz w:val="20"/>
                <w:szCs w:val="20"/>
              </w:rPr>
              <w:t>Entry deregulation*Female</w:t>
            </w:r>
          </w:p>
        </w:tc>
        <w:tc>
          <w:tcPr>
            <w:tcW w:w="1283" w:type="dxa"/>
            <w:tcBorders>
              <w:top w:val="nil"/>
              <w:left w:val="nil"/>
              <w:bottom w:val="nil"/>
              <w:right w:val="nil"/>
            </w:tcBorders>
          </w:tcPr>
          <w:p w14:paraId="6A52992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0.0009</w:t>
            </w:r>
          </w:p>
        </w:tc>
        <w:tc>
          <w:tcPr>
            <w:tcW w:w="1283" w:type="dxa"/>
            <w:gridSpan w:val="2"/>
            <w:tcBorders>
              <w:top w:val="nil"/>
              <w:left w:val="nil"/>
              <w:bottom w:val="nil"/>
              <w:right w:val="nil"/>
            </w:tcBorders>
          </w:tcPr>
          <w:p w14:paraId="7DCB262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0.0015</w:t>
            </w:r>
          </w:p>
        </w:tc>
        <w:tc>
          <w:tcPr>
            <w:tcW w:w="1283" w:type="dxa"/>
            <w:tcBorders>
              <w:top w:val="nil"/>
              <w:left w:val="nil"/>
              <w:bottom w:val="nil"/>
              <w:right w:val="nil"/>
            </w:tcBorders>
          </w:tcPr>
          <w:p w14:paraId="7583284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43AC95D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0.0005</w:t>
            </w:r>
          </w:p>
        </w:tc>
      </w:tr>
      <w:tr w:rsidR="003E148C" w:rsidRPr="008F234C" w14:paraId="12979095" w14:textId="77777777" w:rsidTr="0026218B">
        <w:trPr>
          <w:jc w:val="center"/>
        </w:trPr>
        <w:tc>
          <w:tcPr>
            <w:tcW w:w="4590" w:type="dxa"/>
            <w:tcBorders>
              <w:top w:val="nil"/>
              <w:left w:val="nil"/>
              <w:bottom w:val="nil"/>
              <w:right w:val="nil"/>
            </w:tcBorders>
          </w:tcPr>
          <w:p w14:paraId="61564E12"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46FDE32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gridSpan w:val="2"/>
            <w:tcBorders>
              <w:top w:val="nil"/>
              <w:left w:val="nil"/>
              <w:bottom w:val="nil"/>
              <w:right w:val="nil"/>
            </w:tcBorders>
          </w:tcPr>
          <w:p w14:paraId="14FF339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c>
          <w:tcPr>
            <w:tcW w:w="1283" w:type="dxa"/>
            <w:tcBorders>
              <w:top w:val="nil"/>
              <w:left w:val="nil"/>
              <w:bottom w:val="nil"/>
              <w:right w:val="nil"/>
            </w:tcBorders>
          </w:tcPr>
          <w:p w14:paraId="1D6C0AF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54EC9185"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r>
      <w:tr w:rsidR="003E148C" w:rsidRPr="008F234C" w14:paraId="4140B1AF" w14:textId="77777777" w:rsidTr="0026218B">
        <w:trPr>
          <w:jc w:val="center"/>
        </w:trPr>
        <w:tc>
          <w:tcPr>
            <w:tcW w:w="4590" w:type="dxa"/>
            <w:tcBorders>
              <w:top w:val="nil"/>
              <w:left w:val="nil"/>
              <w:bottom w:val="nil"/>
              <w:right w:val="nil"/>
            </w:tcBorders>
          </w:tcPr>
          <w:p w14:paraId="5B9261DE" w14:textId="77777777" w:rsidR="003E148C" w:rsidRPr="008F234C" w:rsidRDefault="003E148C" w:rsidP="0026218B">
            <w:pPr>
              <w:widowControl w:val="0"/>
              <w:autoSpaceDE w:val="0"/>
              <w:autoSpaceDN w:val="0"/>
              <w:adjustRightInd w:val="0"/>
              <w:rPr>
                <w:sz w:val="20"/>
                <w:szCs w:val="20"/>
              </w:rPr>
            </w:pPr>
            <w:r w:rsidRPr="008F234C">
              <w:rPr>
                <w:sz w:val="20"/>
                <w:szCs w:val="20"/>
              </w:rPr>
              <w:t>Managerial position</w:t>
            </w:r>
          </w:p>
        </w:tc>
        <w:tc>
          <w:tcPr>
            <w:tcW w:w="1283" w:type="dxa"/>
            <w:tcBorders>
              <w:top w:val="nil"/>
              <w:left w:val="nil"/>
              <w:bottom w:val="nil"/>
              <w:right w:val="nil"/>
            </w:tcBorders>
          </w:tcPr>
          <w:p w14:paraId="19C17544"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gridSpan w:val="2"/>
            <w:tcBorders>
              <w:top w:val="nil"/>
              <w:left w:val="nil"/>
              <w:bottom w:val="nil"/>
              <w:right w:val="nil"/>
            </w:tcBorders>
          </w:tcPr>
          <w:p w14:paraId="2DBC6F98"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3111F56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-0.0133</w:t>
            </w:r>
          </w:p>
        </w:tc>
        <w:tc>
          <w:tcPr>
            <w:tcW w:w="1283" w:type="dxa"/>
            <w:tcBorders>
              <w:top w:val="nil"/>
              <w:left w:val="nil"/>
              <w:bottom w:val="nil"/>
              <w:right w:val="nil"/>
            </w:tcBorders>
          </w:tcPr>
          <w:p w14:paraId="190072CC" w14:textId="77777777" w:rsidR="003E148C" w:rsidRPr="00E1742D" w:rsidRDefault="003E148C" w:rsidP="0026218B">
            <w:pPr>
              <w:widowControl w:val="0"/>
              <w:autoSpaceDE w:val="0"/>
              <w:autoSpaceDN w:val="0"/>
              <w:adjustRightInd w:val="0"/>
              <w:jc w:val="center"/>
              <w:rPr>
                <w:sz w:val="20"/>
                <w:szCs w:val="20"/>
                <w:lang w:val="fr-FR" w:eastAsia="fr-FR"/>
              </w:rPr>
            </w:pPr>
          </w:p>
        </w:tc>
      </w:tr>
      <w:tr w:rsidR="003E148C" w:rsidRPr="008F234C" w14:paraId="5101125E" w14:textId="77777777" w:rsidTr="0026218B">
        <w:trPr>
          <w:jc w:val="center"/>
        </w:trPr>
        <w:tc>
          <w:tcPr>
            <w:tcW w:w="4590" w:type="dxa"/>
            <w:tcBorders>
              <w:top w:val="nil"/>
              <w:left w:val="nil"/>
              <w:bottom w:val="nil"/>
              <w:right w:val="nil"/>
            </w:tcBorders>
          </w:tcPr>
          <w:p w14:paraId="69ED5B8A"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51DDBC96"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gridSpan w:val="2"/>
            <w:tcBorders>
              <w:top w:val="nil"/>
              <w:left w:val="nil"/>
              <w:bottom w:val="nil"/>
              <w:right w:val="nil"/>
            </w:tcBorders>
          </w:tcPr>
          <w:p w14:paraId="42989F35"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7420907D"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(0.0017)</w:t>
            </w:r>
          </w:p>
        </w:tc>
        <w:tc>
          <w:tcPr>
            <w:tcW w:w="1283" w:type="dxa"/>
            <w:tcBorders>
              <w:top w:val="nil"/>
              <w:left w:val="nil"/>
              <w:bottom w:val="nil"/>
              <w:right w:val="nil"/>
            </w:tcBorders>
          </w:tcPr>
          <w:p w14:paraId="2053FC41" w14:textId="77777777" w:rsidR="003E148C" w:rsidRPr="00E1742D" w:rsidRDefault="003E148C" w:rsidP="0026218B">
            <w:pPr>
              <w:widowControl w:val="0"/>
              <w:autoSpaceDE w:val="0"/>
              <w:autoSpaceDN w:val="0"/>
              <w:adjustRightInd w:val="0"/>
              <w:jc w:val="center"/>
              <w:rPr>
                <w:sz w:val="20"/>
                <w:szCs w:val="20"/>
                <w:lang w:val="fr-FR" w:eastAsia="fr-FR"/>
              </w:rPr>
            </w:pPr>
          </w:p>
        </w:tc>
      </w:tr>
      <w:tr w:rsidR="003E148C" w:rsidRPr="008F234C" w14:paraId="3E869B5C" w14:textId="77777777" w:rsidTr="0026218B">
        <w:trPr>
          <w:jc w:val="center"/>
        </w:trPr>
        <w:tc>
          <w:tcPr>
            <w:tcW w:w="4590" w:type="dxa"/>
            <w:tcBorders>
              <w:top w:val="nil"/>
              <w:left w:val="nil"/>
              <w:bottom w:val="nil"/>
              <w:right w:val="nil"/>
            </w:tcBorders>
          </w:tcPr>
          <w:p w14:paraId="312A884D" w14:textId="77777777" w:rsidR="003E148C" w:rsidRPr="008F234C" w:rsidRDefault="003E148C" w:rsidP="0026218B">
            <w:pPr>
              <w:widowControl w:val="0"/>
              <w:autoSpaceDE w:val="0"/>
              <w:autoSpaceDN w:val="0"/>
              <w:adjustRightInd w:val="0"/>
              <w:rPr>
                <w:sz w:val="20"/>
                <w:szCs w:val="20"/>
              </w:rPr>
            </w:pPr>
            <w:r w:rsidRPr="008F234C">
              <w:rPr>
                <w:sz w:val="20"/>
                <w:szCs w:val="20"/>
              </w:rPr>
              <w:t>Entry deregulation*Managerial position</w:t>
            </w:r>
          </w:p>
        </w:tc>
        <w:tc>
          <w:tcPr>
            <w:tcW w:w="1283" w:type="dxa"/>
            <w:tcBorders>
              <w:top w:val="nil"/>
              <w:left w:val="nil"/>
              <w:bottom w:val="nil"/>
              <w:right w:val="nil"/>
            </w:tcBorders>
          </w:tcPr>
          <w:p w14:paraId="47BBB7E1"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gridSpan w:val="2"/>
            <w:tcBorders>
              <w:top w:val="nil"/>
              <w:left w:val="nil"/>
              <w:bottom w:val="nil"/>
              <w:right w:val="nil"/>
            </w:tcBorders>
          </w:tcPr>
          <w:p w14:paraId="078A1EA4"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58C61C45"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-0.0108</w:t>
            </w:r>
          </w:p>
        </w:tc>
        <w:tc>
          <w:tcPr>
            <w:tcW w:w="1283" w:type="dxa"/>
            <w:tcBorders>
              <w:top w:val="nil"/>
              <w:left w:val="nil"/>
              <w:bottom w:val="nil"/>
              <w:right w:val="nil"/>
            </w:tcBorders>
          </w:tcPr>
          <w:p w14:paraId="433760BA"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-0.0147</w:t>
            </w:r>
          </w:p>
        </w:tc>
      </w:tr>
      <w:tr w:rsidR="003E148C" w:rsidRPr="008F234C" w14:paraId="06B84FD1" w14:textId="77777777" w:rsidTr="0026218B">
        <w:trPr>
          <w:jc w:val="center"/>
        </w:trPr>
        <w:tc>
          <w:tcPr>
            <w:tcW w:w="4590" w:type="dxa"/>
            <w:tcBorders>
              <w:top w:val="nil"/>
              <w:left w:val="nil"/>
              <w:bottom w:val="nil"/>
              <w:right w:val="nil"/>
            </w:tcBorders>
          </w:tcPr>
          <w:p w14:paraId="4D02DF74"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0243467A"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gridSpan w:val="2"/>
            <w:tcBorders>
              <w:top w:val="nil"/>
              <w:left w:val="nil"/>
              <w:bottom w:val="nil"/>
              <w:right w:val="nil"/>
            </w:tcBorders>
          </w:tcPr>
          <w:p w14:paraId="69F367EC"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39E6AC0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(0.0019)</w:t>
            </w:r>
          </w:p>
        </w:tc>
        <w:tc>
          <w:tcPr>
            <w:tcW w:w="1283" w:type="dxa"/>
            <w:tcBorders>
              <w:top w:val="nil"/>
              <w:left w:val="nil"/>
              <w:bottom w:val="nil"/>
              <w:right w:val="nil"/>
            </w:tcBorders>
          </w:tcPr>
          <w:p w14:paraId="6161F9C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(0.0019)</w:t>
            </w:r>
          </w:p>
        </w:tc>
      </w:tr>
      <w:tr w:rsidR="003E148C" w:rsidRPr="008F234C" w14:paraId="44E384CB" w14:textId="77777777" w:rsidTr="0026218B">
        <w:trPr>
          <w:jc w:val="center"/>
        </w:trPr>
        <w:tc>
          <w:tcPr>
            <w:tcW w:w="4590" w:type="dxa"/>
            <w:tcBorders>
              <w:top w:val="nil"/>
              <w:left w:val="nil"/>
              <w:bottom w:val="nil"/>
              <w:right w:val="nil"/>
            </w:tcBorders>
          </w:tcPr>
          <w:p w14:paraId="67DAB674" w14:textId="77777777" w:rsidR="003E148C" w:rsidRPr="008F234C" w:rsidRDefault="003E148C" w:rsidP="0026218B">
            <w:pPr>
              <w:widowControl w:val="0"/>
              <w:autoSpaceDE w:val="0"/>
              <w:autoSpaceDN w:val="0"/>
              <w:adjustRightInd w:val="0"/>
              <w:rPr>
                <w:sz w:val="20"/>
                <w:szCs w:val="20"/>
              </w:rPr>
            </w:pPr>
            <w:r w:rsidRPr="008F234C">
              <w:rPr>
                <w:sz w:val="20"/>
                <w:szCs w:val="20"/>
              </w:rPr>
              <w:t>Female*Managerial position</w:t>
            </w:r>
          </w:p>
        </w:tc>
        <w:tc>
          <w:tcPr>
            <w:tcW w:w="1283" w:type="dxa"/>
            <w:tcBorders>
              <w:top w:val="nil"/>
              <w:left w:val="nil"/>
              <w:bottom w:val="nil"/>
              <w:right w:val="nil"/>
            </w:tcBorders>
          </w:tcPr>
          <w:p w14:paraId="4C965C74"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gridSpan w:val="2"/>
            <w:tcBorders>
              <w:top w:val="nil"/>
              <w:left w:val="nil"/>
              <w:bottom w:val="nil"/>
              <w:right w:val="nil"/>
            </w:tcBorders>
          </w:tcPr>
          <w:p w14:paraId="3F659F97"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38A8285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0.0030</w:t>
            </w:r>
          </w:p>
        </w:tc>
        <w:tc>
          <w:tcPr>
            <w:tcW w:w="1283" w:type="dxa"/>
            <w:tcBorders>
              <w:top w:val="nil"/>
              <w:left w:val="nil"/>
              <w:bottom w:val="nil"/>
              <w:right w:val="nil"/>
            </w:tcBorders>
          </w:tcPr>
          <w:p w14:paraId="26206C32" w14:textId="77777777" w:rsidR="003E148C" w:rsidRPr="00E1742D" w:rsidRDefault="003E148C" w:rsidP="0026218B">
            <w:pPr>
              <w:widowControl w:val="0"/>
              <w:autoSpaceDE w:val="0"/>
              <w:autoSpaceDN w:val="0"/>
              <w:adjustRightInd w:val="0"/>
              <w:jc w:val="center"/>
              <w:rPr>
                <w:sz w:val="20"/>
                <w:szCs w:val="20"/>
                <w:lang w:val="fr-FR" w:eastAsia="fr-FR"/>
              </w:rPr>
            </w:pPr>
          </w:p>
        </w:tc>
      </w:tr>
      <w:tr w:rsidR="003E148C" w:rsidRPr="008F234C" w14:paraId="53A456E1" w14:textId="77777777" w:rsidTr="0026218B">
        <w:trPr>
          <w:jc w:val="center"/>
        </w:trPr>
        <w:tc>
          <w:tcPr>
            <w:tcW w:w="4590" w:type="dxa"/>
            <w:tcBorders>
              <w:top w:val="nil"/>
              <w:left w:val="nil"/>
              <w:bottom w:val="nil"/>
              <w:right w:val="nil"/>
            </w:tcBorders>
          </w:tcPr>
          <w:p w14:paraId="676A3649"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70B186DA"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gridSpan w:val="2"/>
            <w:tcBorders>
              <w:top w:val="nil"/>
              <w:left w:val="nil"/>
              <w:bottom w:val="nil"/>
              <w:right w:val="nil"/>
            </w:tcBorders>
          </w:tcPr>
          <w:p w14:paraId="658F4E75"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45C1C2A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(0.0004)</w:t>
            </w:r>
          </w:p>
        </w:tc>
        <w:tc>
          <w:tcPr>
            <w:tcW w:w="1283" w:type="dxa"/>
            <w:tcBorders>
              <w:top w:val="nil"/>
              <w:left w:val="nil"/>
              <w:bottom w:val="nil"/>
              <w:right w:val="nil"/>
            </w:tcBorders>
          </w:tcPr>
          <w:p w14:paraId="355687CB" w14:textId="77777777" w:rsidR="003E148C" w:rsidRPr="00E1742D" w:rsidRDefault="003E148C" w:rsidP="0026218B">
            <w:pPr>
              <w:widowControl w:val="0"/>
              <w:autoSpaceDE w:val="0"/>
              <w:autoSpaceDN w:val="0"/>
              <w:adjustRightInd w:val="0"/>
              <w:jc w:val="center"/>
              <w:rPr>
                <w:sz w:val="20"/>
                <w:szCs w:val="20"/>
                <w:lang w:val="fr-FR" w:eastAsia="fr-FR"/>
              </w:rPr>
            </w:pPr>
          </w:p>
        </w:tc>
      </w:tr>
      <w:tr w:rsidR="003E148C" w:rsidRPr="008F234C" w14:paraId="2115D3DF" w14:textId="77777777" w:rsidTr="0026218B">
        <w:trPr>
          <w:jc w:val="center"/>
        </w:trPr>
        <w:tc>
          <w:tcPr>
            <w:tcW w:w="4590" w:type="dxa"/>
            <w:tcBorders>
              <w:top w:val="nil"/>
              <w:left w:val="nil"/>
              <w:bottom w:val="nil"/>
              <w:right w:val="nil"/>
            </w:tcBorders>
          </w:tcPr>
          <w:p w14:paraId="62A5D14D" w14:textId="77777777" w:rsidR="003E148C" w:rsidRPr="008F234C" w:rsidRDefault="003E148C" w:rsidP="0026218B">
            <w:pPr>
              <w:widowControl w:val="0"/>
              <w:autoSpaceDE w:val="0"/>
              <w:autoSpaceDN w:val="0"/>
              <w:adjustRightInd w:val="0"/>
              <w:rPr>
                <w:sz w:val="20"/>
                <w:szCs w:val="20"/>
              </w:rPr>
            </w:pPr>
            <w:r w:rsidRPr="008F234C">
              <w:rPr>
                <w:sz w:val="20"/>
                <w:szCs w:val="20"/>
              </w:rPr>
              <w:t>Entry deregulation*Female*Managerial position</w:t>
            </w:r>
          </w:p>
        </w:tc>
        <w:tc>
          <w:tcPr>
            <w:tcW w:w="1283" w:type="dxa"/>
            <w:tcBorders>
              <w:top w:val="nil"/>
              <w:left w:val="nil"/>
              <w:bottom w:val="nil"/>
              <w:right w:val="nil"/>
            </w:tcBorders>
          </w:tcPr>
          <w:p w14:paraId="0E5B4F77" w14:textId="77777777" w:rsidR="003E148C" w:rsidRPr="00524EAB" w:rsidRDefault="003E148C" w:rsidP="0026218B">
            <w:pPr>
              <w:widowControl w:val="0"/>
              <w:autoSpaceDE w:val="0"/>
              <w:autoSpaceDN w:val="0"/>
              <w:adjustRightInd w:val="0"/>
              <w:jc w:val="center"/>
              <w:rPr>
                <w:sz w:val="20"/>
                <w:szCs w:val="20"/>
                <w:lang w:eastAsia="fr-FR"/>
              </w:rPr>
            </w:pPr>
          </w:p>
        </w:tc>
        <w:tc>
          <w:tcPr>
            <w:tcW w:w="1283" w:type="dxa"/>
            <w:gridSpan w:val="2"/>
            <w:tcBorders>
              <w:top w:val="nil"/>
              <w:left w:val="nil"/>
              <w:bottom w:val="nil"/>
              <w:right w:val="nil"/>
            </w:tcBorders>
          </w:tcPr>
          <w:p w14:paraId="60044F90" w14:textId="77777777" w:rsidR="003E148C" w:rsidRPr="00524EAB" w:rsidRDefault="003E148C" w:rsidP="0026218B">
            <w:pPr>
              <w:widowControl w:val="0"/>
              <w:autoSpaceDE w:val="0"/>
              <w:autoSpaceDN w:val="0"/>
              <w:adjustRightInd w:val="0"/>
              <w:jc w:val="center"/>
              <w:rPr>
                <w:sz w:val="20"/>
                <w:szCs w:val="20"/>
                <w:lang w:eastAsia="fr-FR"/>
              </w:rPr>
            </w:pPr>
          </w:p>
        </w:tc>
        <w:tc>
          <w:tcPr>
            <w:tcW w:w="1283" w:type="dxa"/>
            <w:tcBorders>
              <w:top w:val="nil"/>
              <w:left w:val="nil"/>
              <w:bottom w:val="nil"/>
              <w:right w:val="nil"/>
            </w:tcBorders>
          </w:tcPr>
          <w:p w14:paraId="206D1E2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0.0025</w:t>
            </w:r>
          </w:p>
        </w:tc>
        <w:tc>
          <w:tcPr>
            <w:tcW w:w="1283" w:type="dxa"/>
            <w:tcBorders>
              <w:top w:val="nil"/>
              <w:left w:val="nil"/>
              <w:bottom w:val="nil"/>
              <w:right w:val="nil"/>
            </w:tcBorders>
          </w:tcPr>
          <w:p w14:paraId="152AAC0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0.0030</w:t>
            </w:r>
          </w:p>
        </w:tc>
      </w:tr>
      <w:tr w:rsidR="003E148C" w:rsidRPr="008F234C" w14:paraId="57B09E0A" w14:textId="77777777" w:rsidTr="0026218B">
        <w:trPr>
          <w:jc w:val="center"/>
        </w:trPr>
        <w:tc>
          <w:tcPr>
            <w:tcW w:w="4590" w:type="dxa"/>
            <w:tcBorders>
              <w:top w:val="nil"/>
              <w:left w:val="nil"/>
              <w:bottom w:val="nil"/>
              <w:right w:val="nil"/>
            </w:tcBorders>
          </w:tcPr>
          <w:p w14:paraId="5D6DD140"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590169C7"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gridSpan w:val="2"/>
            <w:tcBorders>
              <w:top w:val="nil"/>
              <w:left w:val="nil"/>
              <w:bottom w:val="nil"/>
              <w:right w:val="nil"/>
            </w:tcBorders>
          </w:tcPr>
          <w:p w14:paraId="2643D5DB"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nil"/>
              <w:right w:val="nil"/>
            </w:tcBorders>
          </w:tcPr>
          <w:p w14:paraId="136FEEE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(0.0005)</w:t>
            </w:r>
          </w:p>
        </w:tc>
        <w:tc>
          <w:tcPr>
            <w:tcW w:w="1283" w:type="dxa"/>
            <w:tcBorders>
              <w:top w:val="nil"/>
              <w:left w:val="nil"/>
              <w:bottom w:val="nil"/>
              <w:right w:val="nil"/>
            </w:tcBorders>
          </w:tcPr>
          <w:p w14:paraId="482BE9A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(0.0005)</w:t>
            </w:r>
          </w:p>
        </w:tc>
      </w:tr>
      <w:tr w:rsidR="003E148C" w:rsidRPr="008F234C" w14:paraId="5C74F43A" w14:textId="77777777" w:rsidTr="0026218B">
        <w:trPr>
          <w:jc w:val="center"/>
        </w:trPr>
        <w:tc>
          <w:tcPr>
            <w:tcW w:w="4590" w:type="dxa"/>
            <w:tcBorders>
              <w:top w:val="nil"/>
              <w:left w:val="nil"/>
              <w:bottom w:val="nil"/>
              <w:right w:val="nil"/>
            </w:tcBorders>
          </w:tcPr>
          <w:p w14:paraId="2DABB9B4" w14:textId="77777777" w:rsidR="003E148C" w:rsidRPr="008F234C" w:rsidRDefault="003E148C" w:rsidP="0026218B">
            <w:pPr>
              <w:widowControl w:val="0"/>
              <w:autoSpaceDE w:val="0"/>
              <w:autoSpaceDN w:val="0"/>
              <w:adjustRightInd w:val="0"/>
              <w:rPr>
                <w:sz w:val="20"/>
                <w:szCs w:val="20"/>
              </w:rPr>
            </w:pPr>
            <w:r w:rsidRPr="008F234C">
              <w:rPr>
                <w:sz w:val="20"/>
                <w:szCs w:val="20"/>
              </w:rPr>
              <w:t>Age</w:t>
            </w:r>
          </w:p>
        </w:tc>
        <w:tc>
          <w:tcPr>
            <w:tcW w:w="1283" w:type="dxa"/>
            <w:tcBorders>
              <w:top w:val="nil"/>
              <w:left w:val="nil"/>
              <w:bottom w:val="nil"/>
              <w:right w:val="nil"/>
            </w:tcBorders>
          </w:tcPr>
          <w:p w14:paraId="3000009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0.0006</w:t>
            </w:r>
          </w:p>
        </w:tc>
        <w:tc>
          <w:tcPr>
            <w:tcW w:w="1283" w:type="dxa"/>
            <w:gridSpan w:val="2"/>
            <w:tcBorders>
              <w:top w:val="nil"/>
              <w:left w:val="nil"/>
              <w:bottom w:val="nil"/>
              <w:right w:val="nil"/>
            </w:tcBorders>
          </w:tcPr>
          <w:p w14:paraId="0B235E4D"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0.0006</w:t>
            </w:r>
          </w:p>
        </w:tc>
        <w:tc>
          <w:tcPr>
            <w:tcW w:w="1283" w:type="dxa"/>
            <w:tcBorders>
              <w:top w:val="nil"/>
              <w:left w:val="nil"/>
              <w:bottom w:val="nil"/>
              <w:right w:val="nil"/>
            </w:tcBorders>
          </w:tcPr>
          <w:p w14:paraId="66E56159"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0.0007</w:t>
            </w:r>
          </w:p>
        </w:tc>
        <w:tc>
          <w:tcPr>
            <w:tcW w:w="1283" w:type="dxa"/>
            <w:tcBorders>
              <w:top w:val="nil"/>
              <w:left w:val="nil"/>
              <w:bottom w:val="nil"/>
              <w:right w:val="nil"/>
            </w:tcBorders>
          </w:tcPr>
          <w:p w14:paraId="08D4881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0.0003</w:t>
            </w:r>
          </w:p>
        </w:tc>
      </w:tr>
      <w:tr w:rsidR="003E148C" w:rsidRPr="008F234C" w14:paraId="060C155C" w14:textId="77777777" w:rsidTr="0026218B">
        <w:trPr>
          <w:jc w:val="center"/>
        </w:trPr>
        <w:tc>
          <w:tcPr>
            <w:tcW w:w="4590" w:type="dxa"/>
            <w:tcBorders>
              <w:top w:val="nil"/>
              <w:left w:val="nil"/>
              <w:bottom w:val="nil"/>
              <w:right w:val="nil"/>
            </w:tcBorders>
          </w:tcPr>
          <w:p w14:paraId="0DCA3F2C"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22E6364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gridSpan w:val="2"/>
            <w:tcBorders>
              <w:top w:val="nil"/>
              <w:left w:val="nil"/>
              <w:bottom w:val="nil"/>
              <w:right w:val="nil"/>
            </w:tcBorders>
          </w:tcPr>
          <w:p w14:paraId="74BC291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71812A2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tcBorders>
              <w:top w:val="nil"/>
              <w:left w:val="nil"/>
              <w:bottom w:val="nil"/>
              <w:right w:val="nil"/>
            </w:tcBorders>
          </w:tcPr>
          <w:p w14:paraId="033AE912"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r>
      <w:tr w:rsidR="003E148C" w:rsidRPr="008F234C" w14:paraId="79913134" w14:textId="77777777" w:rsidTr="0026218B">
        <w:trPr>
          <w:jc w:val="center"/>
        </w:trPr>
        <w:tc>
          <w:tcPr>
            <w:tcW w:w="4590" w:type="dxa"/>
            <w:tcBorders>
              <w:top w:val="nil"/>
              <w:left w:val="nil"/>
              <w:bottom w:val="nil"/>
              <w:right w:val="nil"/>
            </w:tcBorders>
          </w:tcPr>
          <w:p w14:paraId="189C1848" w14:textId="77777777" w:rsidR="003E148C" w:rsidRPr="008F234C" w:rsidRDefault="003E148C" w:rsidP="0026218B">
            <w:pPr>
              <w:widowControl w:val="0"/>
              <w:autoSpaceDE w:val="0"/>
              <w:autoSpaceDN w:val="0"/>
              <w:adjustRightInd w:val="0"/>
              <w:rPr>
                <w:sz w:val="20"/>
                <w:szCs w:val="20"/>
              </w:rPr>
            </w:pPr>
            <w:r w:rsidRPr="008F234C">
              <w:rPr>
                <w:sz w:val="20"/>
                <w:szCs w:val="20"/>
              </w:rPr>
              <w:t>Age squared</w:t>
            </w:r>
          </w:p>
        </w:tc>
        <w:tc>
          <w:tcPr>
            <w:tcW w:w="1283" w:type="dxa"/>
            <w:tcBorders>
              <w:top w:val="nil"/>
              <w:left w:val="nil"/>
              <w:bottom w:val="nil"/>
              <w:right w:val="nil"/>
            </w:tcBorders>
          </w:tcPr>
          <w:p w14:paraId="375C52E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gridSpan w:val="2"/>
            <w:tcBorders>
              <w:top w:val="nil"/>
              <w:left w:val="nil"/>
              <w:bottom w:val="nil"/>
              <w:right w:val="nil"/>
            </w:tcBorders>
          </w:tcPr>
          <w:p w14:paraId="6BE5EAFB"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tcBorders>
              <w:top w:val="nil"/>
              <w:left w:val="nil"/>
              <w:bottom w:val="nil"/>
              <w:right w:val="nil"/>
            </w:tcBorders>
          </w:tcPr>
          <w:p w14:paraId="6E748D0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tcBorders>
              <w:top w:val="nil"/>
              <w:left w:val="nil"/>
              <w:bottom w:val="nil"/>
              <w:right w:val="nil"/>
            </w:tcBorders>
          </w:tcPr>
          <w:p w14:paraId="08532A7A"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r>
      <w:tr w:rsidR="003E148C" w:rsidRPr="008F234C" w14:paraId="7FD765F4" w14:textId="77777777" w:rsidTr="0026218B">
        <w:trPr>
          <w:jc w:val="center"/>
        </w:trPr>
        <w:tc>
          <w:tcPr>
            <w:tcW w:w="4590" w:type="dxa"/>
            <w:tcBorders>
              <w:top w:val="nil"/>
              <w:left w:val="nil"/>
              <w:bottom w:val="nil"/>
              <w:right w:val="nil"/>
            </w:tcBorders>
          </w:tcPr>
          <w:p w14:paraId="5219A282"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3C7C309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gridSpan w:val="2"/>
            <w:tcBorders>
              <w:top w:val="nil"/>
              <w:left w:val="nil"/>
              <w:bottom w:val="nil"/>
              <w:right w:val="nil"/>
            </w:tcBorders>
          </w:tcPr>
          <w:p w14:paraId="035FEE4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tcBorders>
              <w:top w:val="nil"/>
              <w:left w:val="nil"/>
              <w:bottom w:val="nil"/>
              <w:right w:val="nil"/>
            </w:tcBorders>
          </w:tcPr>
          <w:p w14:paraId="1244540A"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tcBorders>
              <w:top w:val="nil"/>
              <w:left w:val="nil"/>
              <w:bottom w:val="nil"/>
              <w:right w:val="nil"/>
            </w:tcBorders>
          </w:tcPr>
          <w:p w14:paraId="6258B2F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r>
      <w:tr w:rsidR="003E148C" w:rsidRPr="008F234C" w14:paraId="429C5EAC" w14:textId="77777777" w:rsidTr="0026218B">
        <w:trPr>
          <w:jc w:val="center"/>
        </w:trPr>
        <w:tc>
          <w:tcPr>
            <w:tcW w:w="4590" w:type="dxa"/>
            <w:tcBorders>
              <w:top w:val="nil"/>
              <w:left w:val="nil"/>
              <w:bottom w:val="nil"/>
              <w:right w:val="nil"/>
            </w:tcBorders>
          </w:tcPr>
          <w:p w14:paraId="056F3DE0" w14:textId="77777777" w:rsidR="003E148C" w:rsidRPr="008F234C" w:rsidRDefault="003E148C" w:rsidP="0026218B">
            <w:pPr>
              <w:widowControl w:val="0"/>
              <w:autoSpaceDE w:val="0"/>
              <w:autoSpaceDN w:val="0"/>
              <w:adjustRightInd w:val="0"/>
              <w:rPr>
                <w:sz w:val="20"/>
                <w:szCs w:val="20"/>
              </w:rPr>
            </w:pPr>
            <w:r w:rsidRPr="008F234C">
              <w:rPr>
                <w:sz w:val="20"/>
                <w:szCs w:val="20"/>
              </w:rPr>
              <w:t>Mid education</w:t>
            </w:r>
          </w:p>
        </w:tc>
        <w:tc>
          <w:tcPr>
            <w:tcW w:w="1283" w:type="dxa"/>
            <w:tcBorders>
              <w:top w:val="nil"/>
              <w:left w:val="nil"/>
              <w:bottom w:val="nil"/>
              <w:right w:val="nil"/>
            </w:tcBorders>
          </w:tcPr>
          <w:p w14:paraId="17A5742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0.0008</w:t>
            </w:r>
          </w:p>
        </w:tc>
        <w:tc>
          <w:tcPr>
            <w:tcW w:w="1283" w:type="dxa"/>
            <w:gridSpan w:val="2"/>
            <w:tcBorders>
              <w:top w:val="nil"/>
              <w:left w:val="nil"/>
              <w:bottom w:val="nil"/>
              <w:right w:val="nil"/>
            </w:tcBorders>
          </w:tcPr>
          <w:p w14:paraId="41658B0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0.0014</w:t>
            </w:r>
          </w:p>
        </w:tc>
        <w:tc>
          <w:tcPr>
            <w:tcW w:w="1283" w:type="dxa"/>
            <w:tcBorders>
              <w:top w:val="nil"/>
              <w:left w:val="nil"/>
              <w:bottom w:val="nil"/>
              <w:right w:val="nil"/>
            </w:tcBorders>
          </w:tcPr>
          <w:p w14:paraId="6F927DDA"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0.0010</w:t>
            </w:r>
          </w:p>
        </w:tc>
        <w:tc>
          <w:tcPr>
            <w:tcW w:w="1283" w:type="dxa"/>
            <w:tcBorders>
              <w:top w:val="nil"/>
              <w:left w:val="nil"/>
              <w:bottom w:val="nil"/>
              <w:right w:val="nil"/>
            </w:tcBorders>
          </w:tcPr>
          <w:p w14:paraId="61F301E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0.0013</w:t>
            </w:r>
          </w:p>
        </w:tc>
      </w:tr>
      <w:tr w:rsidR="003E148C" w:rsidRPr="008F234C" w14:paraId="030C7BEC" w14:textId="77777777" w:rsidTr="0026218B">
        <w:trPr>
          <w:jc w:val="center"/>
        </w:trPr>
        <w:tc>
          <w:tcPr>
            <w:tcW w:w="4590" w:type="dxa"/>
            <w:tcBorders>
              <w:top w:val="nil"/>
              <w:left w:val="nil"/>
              <w:bottom w:val="nil"/>
              <w:right w:val="nil"/>
            </w:tcBorders>
          </w:tcPr>
          <w:p w14:paraId="03E8B3F8"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114CEF8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gridSpan w:val="2"/>
            <w:tcBorders>
              <w:top w:val="nil"/>
              <w:left w:val="nil"/>
              <w:bottom w:val="nil"/>
              <w:right w:val="nil"/>
            </w:tcBorders>
          </w:tcPr>
          <w:p w14:paraId="4F8D33D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770A318A"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5D1B800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r>
      <w:tr w:rsidR="003E148C" w:rsidRPr="008F234C" w14:paraId="3B108A74" w14:textId="77777777" w:rsidTr="0026218B">
        <w:trPr>
          <w:jc w:val="center"/>
        </w:trPr>
        <w:tc>
          <w:tcPr>
            <w:tcW w:w="4590" w:type="dxa"/>
            <w:tcBorders>
              <w:top w:val="nil"/>
              <w:left w:val="nil"/>
              <w:bottom w:val="nil"/>
              <w:right w:val="nil"/>
            </w:tcBorders>
          </w:tcPr>
          <w:p w14:paraId="10FAB041" w14:textId="77777777" w:rsidR="003E148C" w:rsidRPr="008F234C" w:rsidRDefault="003E148C" w:rsidP="0026218B">
            <w:pPr>
              <w:widowControl w:val="0"/>
              <w:autoSpaceDE w:val="0"/>
              <w:autoSpaceDN w:val="0"/>
              <w:adjustRightInd w:val="0"/>
              <w:rPr>
                <w:sz w:val="20"/>
                <w:szCs w:val="20"/>
              </w:rPr>
            </w:pPr>
            <w:r w:rsidRPr="008F234C">
              <w:rPr>
                <w:sz w:val="20"/>
                <w:szCs w:val="20"/>
              </w:rPr>
              <w:t>High education</w:t>
            </w:r>
          </w:p>
        </w:tc>
        <w:tc>
          <w:tcPr>
            <w:tcW w:w="1283" w:type="dxa"/>
            <w:tcBorders>
              <w:top w:val="nil"/>
              <w:left w:val="nil"/>
              <w:bottom w:val="nil"/>
              <w:right w:val="nil"/>
            </w:tcBorders>
          </w:tcPr>
          <w:p w14:paraId="7C4864D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-0.0015</w:t>
            </w:r>
          </w:p>
        </w:tc>
        <w:tc>
          <w:tcPr>
            <w:tcW w:w="1283" w:type="dxa"/>
            <w:gridSpan w:val="2"/>
            <w:tcBorders>
              <w:top w:val="nil"/>
              <w:left w:val="nil"/>
              <w:bottom w:val="nil"/>
              <w:right w:val="nil"/>
            </w:tcBorders>
          </w:tcPr>
          <w:p w14:paraId="0051519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4AB2E9D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4CC19F7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0.0004</w:t>
            </w:r>
          </w:p>
        </w:tc>
      </w:tr>
      <w:tr w:rsidR="003E148C" w:rsidRPr="008F234C" w14:paraId="0E3B61EB" w14:textId="77777777" w:rsidTr="0026218B">
        <w:trPr>
          <w:jc w:val="center"/>
        </w:trPr>
        <w:tc>
          <w:tcPr>
            <w:tcW w:w="4590" w:type="dxa"/>
            <w:tcBorders>
              <w:top w:val="nil"/>
              <w:left w:val="nil"/>
              <w:bottom w:val="nil"/>
              <w:right w:val="nil"/>
            </w:tcBorders>
          </w:tcPr>
          <w:p w14:paraId="049C4A47"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7ADA39DD"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(0.0003)</w:t>
            </w:r>
          </w:p>
        </w:tc>
        <w:tc>
          <w:tcPr>
            <w:tcW w:w="1283" w:type="dxa"/>
            <w:gridSpan w:val="2"/>
            <w:tcBorders>
              <w:top w:val="nil"/>
              <w:left w:val="nil"/>
              <w:bottom w:val="nil"/>
              <w:right w:val="nil"/>
            </w:tcBorders>
          </w:tcPr>
          <w:p w14:paraId="20EADCB5"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(0.0004)</w:t>
            </w:r>
          </w:p>
        </w:tc>
        <w:tc>
          <w:tcPr>
            <w:tcW w:w="1283" w:type="dxa"/>
            <w:tcBorders>
              <w:top w:val="nil"/>
              <w:left w:val="nil"/>
              <w:bottom w:val="nil"/>
              <w:right w:val="nil"/>
            </w:tcBorders>
          </w:tcPr>
          <w:p w14:paraId="6D21C45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(0.0004)</w:t>
            </w:r>
          </w:p>
        </w:tc>
        <w:tc>
          <w:tcPr>
            <w:tcW w:w="1283" w:type="dxa"/>
            <w:tcBorders>
              <w:top w:val="nil"/>
              <w:left w:val="nil"/>
              <w:bottom w:val="nil"/>
              <w:right w:val="nil"/>
            </w:tcBorders>
          </w:tcPr>
          <w:p w14:paraId="43758350"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(0.0004)</w:t>
            </w:r>
          </w:p>
        </w:tc>
      </w:tr>
      <w:tr w:rsidR="003E148C" w:rsidRPr="008F234C" w14:paraId="18F75B18" w14:textId="77777777" w:rsidTr="0026218B">
        <w:trPr>
          <w:jc w:val="center"/>
        </w:trPr>
        <w:tc>
          <w:tcPr>
            <w:tcW w:w="4590" w:type="dxa"/>
            <w:tcBorders>
              <w:top w:val="nil"/>
              <w:left w:val="nil"/>
              <w:bottom w:val="nil"/>
              <w:right w:val="nil"/>
            </w:tcBorders>
          </w:tcPr>
          <w:p w14:paraId="17281D49" w14:textId="77777777" w:rsidR="003E148C" w:rsidRPr="008F234C" w:rsidRDefault="003E148C" w:rsidP="0026218B">
            <w:pPr>
              <w:widowControl w:val="0"/>
              <w:autoSpaceDE w:val="0"/>
              <w:autoSpaceDN w:val="0"/>
              <w:adjustRightInd w:val="0"/>
              <w:rPr>
                <w:sz w:val="20"/>
                <w:szCs w:val="20"/>
              </w:rPr>
            </w:pPr>
            <w:r w:rsidRPr="008F234C">
              <w:rPr>
                <w:sz w:val="20"/>
                <w:szCs w:val="20"/>
              </w:rPr>
              <w:t>Hours worked (ln)</w:t>
            </w:r>
          </w:p>
        </w:tc>
        <w:tc>
          <w:tcPr>
            <w:tcW w:w="1283" w:type="dxa"/>
            <w:tcBorders>
              <w:top w:val="nil"/>
              <w:left w:val="nil"/>
              <w:bottom w:val="nil"/>
              <w:right w:val="nil"/>
            </w:tcBorders>
          </w:tcPr>
          <w:p w14:paraId="78F833B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-0.0052</w:t>
            </w:r>
          </w:p>
        </w:tc>
        <w:tc>
          <w:tcPr>
            <w:tcW w:w="1283" w:type="dxa"/>
            <w:gridSpan w:val="2"/>
            <w:tcBorders>
              <w:top w:val="nil"/>
              <w:left w:val="nil"/>
              <w:bottom w:val="nil"/>
              <w:right w:val="nil"/>
            </w:tcBorders>
          </w:tcPr>
          <w:p w14:paraId="64E5B8AB"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-0.0069</w:t>
            </w:r>
          </w:p>
        </w:tc>
        <w:tc>
          <w:tcPr>
            <w:tcW w:w="1283" w:type="dxa"/>
            <w:tcBorders>
              <w:top w:val="nil"/>
              <w:left w:val="nil"/>
              <w:bottom w:val="nil"/>
              <w:right w:val="nil"/>
            </w:tcBorders>
          </w:tcPr>
          <w:p w14:paraId="5BEA5E3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-0.0052</w:t>
            </w:r>
          </w:p>
        </w:tc>
        <w:tc>
          <w:tcPr>
            <w:tcW w:w="1283" w:type="dxa"/>
            <w:tcBorders>
              <w:top w:val="nil"/>
              <w:left w:val="nil"/>
              <w:bottom w:val="nil"/>
              <w:right w:val="nil"/>
            </w:tcBorders>
          </w:tcPr>
          <w:p w14:paraId="492E86D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-0.0069</w:t>
            </w:r>
          </w:p>
        </w:tc>
      </w:tr>
      <w:tr w:rsidR="003E148C" w:rsidRPr="008F234C" w14:paraId="3225EAE9" w14:textId="77777777" w:rsidTr="0026218B">
        <w:trPr>
          <w:jc w:val="center"/>
        </w:trPr>
        <w:tc>
          <w:tcPr>
            <w:tcW w:w="4590" w:type="dxa"/>
            <w:tcBorders>
              <w:top w:val="nil"/>
              <w:left w:val="nil"/>
              <w:bottom w:val="nil"/>
              <w:right w:val="nil"/>
            </w:tcBorders>
          </w:tcPr>
          <w:p w14:paraId="646E66A8"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7A652B0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c>
          <w:tcPr>
            <w:tcW w:w="1283" w:type="dxa"/>
            <w:gridSpan w:val="2"/>
            <w:tcBorders>
              <w:top w:val="nil"/>
              <w:left w:val="nil"/>
              <w:bottom w:val="nil"/>
              <w:right w:val="nil"/>
            </w:tcBorders>
          </w:tcPr>
          <w:p w14:paraId="16315A6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(0.0003)</w:t>
            </w:r>
          </w:p>
        </w:tc>
        <w:tc>
          <w:tcPr>
            <w:tcW w:w="1283" w:type="dxa"/>
            <w:tcBorders>
              <w:top w:val="nil"/>
              <w:left w:val="nil"/>
              <w:bottom w:val="nil"/>
              <w:right w:val="nil"/>
            </w:tcBorders>
          </w:tcPr>
          <w:p w14:paraId="7E6602B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c>
          <w:tcPr>
            <w:tcW w:w="1283" w:type="dxa"/>
            <w:tcBorders>
              <w:top w:val="nil"/>
              <w:left w:val="nil"/>
              <w:bottom w:val="nil"/>
              <w:right w:val="nil"/>
            </w:tcBorders>
          </w:tcPr>
          <w:p w14:paraId="2A8457B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(0.0003)</w:t>
            </w:r>
          </w:p>
        </w:tc>
      </w:tr>
      <w:tr w:rsidR="003E148C" w:rsidRPr="008F234C" w14:paraId="4DDF0D3A" w14:textId="77777777" w:rsidTr="0026218B">
        <w:trPr>
          <w:jc w:val="center"/>
        </w:trPr>
        <w:tc>
          <w:tcPr>
            <w:tcW w:w="4590" w:type="dxa"/>
            <w:tcBorders>
              <w:top w:val="nil"/>
              <w:left w:val="nil"/>
              <w:bottom w:val="nil"/>
              <w:right w:val="nil"/>
            </w:tcBorders>
          </w:tcPr>
          <w:p w14:paraId="73B1C7E8" w14:textId="77777777" w:rsidR="003E148C" w:rsidRPr="008F234C" w:rsidRDefault="003E148C" w:rsidP="0026218B">
            <w:pPr>
              <w:widowControl w:val="0"/>
              <w:autoSpaceDE w:val="0"/>
              <w:autoSpaceDN w:val="0"/>
              <w:adjustRightInd w:val="0"/>
              <w:rPr>
                <w:sz w:val="20"/>
                <w:szCs w:val="20"/>
              </w:rPr>
            </w:pPr>
            <w:r w:rsidRPr="008F234C">
              <w:rPr>
                <w:sz w:val="20"/>
                <w:szCs w:val="20"/>
              </w:rPr>
              <w:t>Mid qualification</w:t>
            </w:r>
          </w:p>
        </w:tc>
        <w:tc>
          <w:tcPr>
            <w:tcW w:w="1283" w:type="dxa"/>
            <w:tcBorders>
              <w:top w:val="nil"/>
              <w:left w:val="nil"/>
              <w:bottom w:val="nil"/>
              <w:right w:val="nil"/>
            </w:tcBorders>
          </w:tcPr>
          <w:p w14:paraId="064EF24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0.0003</w:t>
            </w:r>
          </w:p>
        </w:tc>
        <w:tc>
          <w:tcPr>
            <w:tcW w:w="1283" w:type="dxa"/>
            <w:gridSpan w:val="2"/>
            <w:tcBorders>
              <w:top w:val="nil"/>
              <w:left w:val="nil"/>
              <w:bottom w:val="nil"/>
              <w:right w:val="nil"/>
            </w:tcBorders>
          </w:tcPr>
          <w:p w14:paraId="1DB0CC3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0.0012</w:t>
            </w:r>
          </w:p>
        </w:tc>
        <w:tc>
          <w:tcPr>
            <w:tcW w:w="1283" w:type="dxa"/>
            <w:tcBorders>
              <w:top w:val="nil"/>
              <w:left w:val="nil"/>
              <w:bottom w:val="nil"/>
              <w:right w:val="nil"/>
            </w:tcBorders>
          </w:tcPr>
          <w:p w14:paraId="2297CFB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3509A3D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0.0011</w:t>
            </w:r>
          </w:p>
        </w:tc>
      </w:tr>
      <w:tr w:rsidR="003E148C" w:rsidRPr="008F234C" w14:paraId="5F3F7AED" w14:textId="77777777" w:rsidTr="0026218B">
        <w:trPr>
          <w:jc w:val="center"/>
        </w:trPr>
        <w:tc>
          <w:tcPr>
            <w:tcW w:w="4590" w:type="dxa"/>
            <w:tcBorders>
              <w:top w:val="nil"/>
              <w:left w:val="nil"/>
              <w:bottom w:val="nil"/>
              <w:right w:val="nil"/>
            </w:tcBorders>
          </w:tcPr>
          <w:p w14:paraId="010B44AA"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2855D20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gridSpan w:val="2"/>
            <w:tcBorders>
              <w:top w:val="nil"/>
              <w:left w:val="nil"/>
              <w:bottom w:val="nil"/>
              <w:right w:val="nil"/>
            </w:tcBorders>
          </w:tcPr>
          <w:p w14:paraId="7F6706B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c>
          <w:tcPr>
            <w:tcW w:w="1283" w:type="dxa"/>
            <w:tcBorders>
              <w:top w:val="nil"/>
              <w:left w:val="nil"/>
              <w:bottom w:val="nil"/>
              <w:right w:val="nil"/>
            </w:tcBorders>
          </w:tcPr>
          <w:p w14:paraId="2E79C4A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107B24CD"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(0.0002)</w:t>
            </w:r>
          </w:p>
        </w:tc>
      </w:tr>
      <w:tr w:rsidR="003E148C" w:rsidRPr="008F234C" w14:paraId="77CCACB3" w14:textId="77777777" w:rsidTr="0026218B">
        <w:trPr>
          <w:jc w:val="center"/>
        </w:trPr>
        <w:tc>
          <w:tcPr>
            <w:tcW w:w="4590" w:type="dxa"/>
            <w:tcBorders>
              <w:top w:val="nil"/>
              <w:left w:val="nil"/>
              <w:bottom w:val="nil"/>
              <w:right w:val="nil"/>
            </w:tcBorders>
          </w:tcPr>
          <w:p w14:paraId="215BC79E" w14:textId="77777777" w:rsidR="003E148C" w:rsidRPr="008F234C" w:rsidRDefault="003E148C" w:rsidP="0026218B">
            <w:pPr>
              <w:widowControl w:val="0"/>
              <w:autoSpaceDE w:val="0"/>
              <w:autoSpaceDN w:val="0"/>
              <w:adjustRightInd w:val="0"/>
              <w:rPr>
                <w:sz w:val="20"/>
                <w:szCs w:val="20"/>
              </w:rPr>
            </w:pPr>
            <w:r w:rsidRPr="008F234C">
              <w:rPr>
                <w:sz w:val="20"/>
                <w:szCs w:val="20"/>
              </w:rPr>
              <w:t>High qualification</w:t>
            </w:r>
          </w:p>
        </w:tc>
        <w:tc>
          <w:tcPr>
            <w:tcW w:w="1283" w:type="dxa"/>
            <w:tcBorders>
              <w:top w:val="nil"/>
              <w:left w:val="nil"/>
              <w:bottom w:val="nil"/>
              <w:right w:val="nil"/>
            </w:tcBorders>
          </w:tcPr>
          <w:p w14:paraId="5905B2F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0.0021</w:t>
            </w:r>
          </w:p>
        </w:tc>
        <w:tc>
          <w:tcPr>
            <w:tcW w:w="1283" w:type="dxa"/>
            <w:gridSpan w:val="2"/>
            <w:tcBorders>
              <w:top w:val="nil"/>
              <w:left w:val="nil"/>
              <w:bottom w:val="nil"/>
              <w:right w:val="nil"/>
            </w:tcBorders>
          </w:tcPr>
          <w:p w14:paraId="4AB095C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0.0084</w:t>
            </w:r>
          </w:p>
        </w:tc>
        <w:tc>
          <w:tcPr>
            <w:tcW w:w="1283" w:type="dxa"/>
            <w:tcBorders>
              <w:top w:val="nil"/>
              <w:left w:val="nil"/>
              <w:bottom w:val="nil"/>
              <w:right w:val="nil"/>
            </w:tcBorders>
          </w:tcPr>
          <w:p w14:paraId="736E2B5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0.0037</w:t>
            </w:r>
          </w:p>
        </w:tc>
        <w:tc>
          <w:tcPr>
            <w:tcW w:w="1283" w:type="dxa"/>
            <w:tcBorders>
              <w:top w:val="nil"/>
              <w:left w:val="nil"/>
              <w:bottom w:val="nil"/>
              <w:right w:val="nil"/>
            </w:tcBorders>
          </w:tcPr>
          <w:p w14:paraId="64825A3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0.0081</w:t>
            </w:r>
          </w:p>
        </w:tc>
      </w:tr>
      <w:tr w:rsidR="003E148C" w:rsidRPr="008F234C" w14:paraId="41F1DCA0" w14:textId="77777777" w:rsidTr="0026218B">
        <w:trPr>
          <w:jc w:val="center"/>
        </w:trPr>
        <w:tc>
          <w:tcPr>
            <w:tcW w:w="4590" w:type="dxa"/>
            <w:tcBorders>
              <w:top w:val="nil"/>
              <w:left w:val="nil"/>
              <w:bottom w:val="nil"/>
              <w:right w:val="nil"/>
            </w:tcBorders>
          </w:tcPr>
          <w:p w14:paraId="020A475E"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5F6089D5"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gridSpan w:val="2"/>
            <w:tcBorders>
              <w:top w:val="nil"/>
              <w:left w:val="nil"/>
              <w:bottom w:val="nil"/>
              <w:right w:val="nil"/>
            </w:tcBorders>
          </w:tcPr>
          <w:p w14:paraId="1594A26D"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(0.0006)</w:t>
            </w:r>
          </w:p>
        </w:tc>
        <w:tc>
          <w:tcPr>
            <w:tcW w:w="1283" w:type="dxa"/>
            <w:tcBorders>
              <w:top w:val="nil"/>
              <w:left w:val="nil"/>
              <w:bottom w:val="nil"/>
              <w:right w:val="nil"/>
            </w:tcBorders>
          </w:tcPr>
          <w:p w14:paraId="0227E540"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(0.0003)</w:t>
            </w:r>
          </w:p>
        </w:tc>
        <w:tc>
          <w:tcPr>
            <w:tcW w:w="1283" w:type="dxa"/>
            <w:tcBorders>
              <w:top w:val="nil"/>
              <w:left w:val="nil"/>
              <w:bottom w:val="nil"/>
              <w:right w:val="nil"/>
            </w:tcBorders>
          </w:tcPr>
          <w:p w14:paraId="4F927DD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(0.0006)</w:t>
            </w:r>
          </w:p>
        </w:tc>
      </w:tr>
      <w:tr w:rsidR="003E148C" w:rsidRPr="008F234C" w14:paraId="47C82FFE" w14:textId="77777777" w:rsidTr="0026218B">
        <w:trPr>
          <w:jc w:val="center"/>
        </w:trPr>
        <w:tc>
          <w:tcPr>
            <w:tcW w:w="4590" w:type="dxa"/>
            <w:tcBorders>
              <w:top w:val="nil"/>
              <w:left w:val="nil"/>
              <w:bottom w:val="nil"/>
              <w:right w:val="nil"/>
            </w:tcBorders>
          </w:tcPr>
          <w:p w14:paraId="76A9AFDA" w14:textId="77777777" w:rsidR="003E148C" w:rsidRPr="008F234C" w:rsidRDefault="003E148C" w:rsidP="0026218B">
            <w:pPr>
              <w:widowControl w:val="0"/>
              <w:autoSpaceDE w:val="0"/>
              <w:autoSpaceDN w:val="0"/>
              <w:adjustRightInd w:val="0"/>
              <w:rPr>
                <w:sz w:val="20"/>
                <w:szCs w:val="20"/>
              </w:rPr>
            </w:pPr>
            <w:r w:rsidRPr="008F234C">
              <w:rPr>
                <w:sz w:val="20"/>
                <w:szCs w:val="20"/>
              </w:rPr>
              <w:t>Workers (ln)</w:t>
            </w:r>
          </w:p>
        </w:tc>
        <w:tc>
          <w:tcPr>
            <w:tcW w:w="1283" w:type="dxa"/>
            <w:tcBorders>
              <w:top w:val="nil"/>
              <w:left w:val="nil"/>
              <w:bottom w:val="nil"/>
              <w:right w:val="nil"/>
            </w:tcBorders>
          </w:tcPr>
          <w:p w14:paraId="66CC3435"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-0.0007</w:t>
            </w:r>
          </w:p>
        </w:tc>
        <w:tc>
          <w:tcPr>
            <w:tcW w:w="1283" w:type="dxa"/>
            <w:gridSpan w:val="2"/>
            <w:tcBorders>
              <w:top w:val="nil"/>
              <w:left w:val="nil"/>
              <w:bottom w:val="nil"/>
              <w:right w:val="nil"/>
            </w:tcBorders>
          </w:tcPr>
          <w:p w14:paraId="42FBB26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-0.0027</w:t>
            </w:r>
          </w:p>
        </w:tc>
        <w:tc>
          <w:tcPr>
            <w:tcW w:w="1283" w:type="dxa"/>
            <w:tcBorders>
              <w:top w:val="nil"/>
              <w:left w:val="nil"/>
              <w:bottom w:val="nil"/>
              <w:right w:val="nil"/>
            </w:tcBorders>
          </w:tcPr>
          <w:p w14:paraId="4CF777B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-0.0007</w:t>
            </w:r>
          </w:p>
        </w:tc>
        <w:tc>
          <w:tcPr>
            <w:tcW w:w="1283" w:type="dxa"/>
            <w:tcBorders>
              <w:top w:val="nil"/>
              <w:left w:val="nil"/>
              <w:bottom w:val="nil"/>
              <w:right w:val="nil"/>
            </w:tcBorders>
          </w:tcPr>
          <w:p w14:paraId="4CB7F1E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-0.0027</w:t>
            </w:r>
          </w:p>
        </w:tc>
      </w:tr>
      <w:tr w:rsidR="003E148C" w:rsidRPr="008F234C" w14:paraId="2CC83850" w14:textId="77777777" w:rsidTr="0026218B">
        <w:trPr>
          <w:jc w:val="center"/>
        </w:trPr>
        <w:tc>
          <w:tcPr>
            <w:tcW w:w="4590" w:type="dxa"/>
            <w:tcBorders>
              <w:top w:val="nil"/>
              <w:left w:val="nil"/>
              <w:bottom w:val="nil"/>
              <w:right w:val="nil"/>
            </w:tcBorders>
          </w:tcPr>
          <w:p w14:paraId="65E5ED86"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40D62E1B"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gridSpan w:val="2"/>
            <w:tcBorders>
              <w:top w:val="nil"/>
              <w:left w:val="nil"/>
              <w:bottom w:val="nil"/>
              <w:right w:val="nil"/>
            </w:tcBorders>
          </w:tcPr>
          <w:p w14:paraId="73B3A862"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c>
          <w:tcPr>
            <w:tcW w:w="1283" w:type="dxa"/>
            <w:tcBorders>
              <w:top w:val="nil"/>
              <w:left w:val="nil"/>
              <w:bottom w:val="nil"/>
              <w:right w:val="nil"/>
            </w:tcBorders>
          </w:tcPr>
          <w:p w14:paraId="4E4FAAF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(0.0000)</w:t>
            </w:r>
          </w:p>
        </w:tc>
        <w:tc>
          <w:tcPr>
            <w:tcW w:w="1283" w:type="dxa"/>
            <w:tcBorders>
              <w:top w:val="nil"/>
              <w:left w:val="nil"/>
              <w:bottom w:val="nil"/>
              <w:right w:val="nil"/>
            </w:tcBorders>
          </w:tcPr>
          <w:p w14:paraId="615FA19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(0.0001)</w:t>
            </w:r>
          </w:p>
        </w:tc>
      </w:tr>
      <w:tr w:rsidR="003E148C" w:rsidRPr="008F234C" w14:paraId="03D3AD8E" w14:textId="77777777" w:rsidTr="0026218B">
        <w:trPr>
          <w:jc w:val="center"/>
        </w:trPr>
        <w:tc>
          <w:tcPr>
            <w:tcW w:w="4590" w:type="dxa"/>
            <w:tcBorders>
              <w:top w:val="nil"/>
              <w:left w:val="nil"/>
              <w:bottom w:val="nil"/>
              <w:right w:val="nil"/>
            </w:tcBorders>
          </w:tcPr>
          <w:p w14:paraId="18252FF4" w14:textId="77777777" w:rsidR="003E148C" w:rsidRPr="008F234C" w:rsidRDefault="003E148C" w:rsidP="0026218B">
            <w:pPr>
              <w:widowControl w:val="0"/>
              <w:autoSpaceDE w:val="0"/>
              <w:autoSpaceDN w:val="0"/>
              <w:adjustRightInd w:val="0"/>
              <w:rPr>
                <w:sz w:val="20"/>
                <w:szCs w:val="20"/>
              </w:rPr>
            </w:pPr>
            <w:r w:rsidRPr="008F234C">
              <w:rPr>
                <w:sz w:val="20"/>
                <w:szCs w:val="20"/>
              </w:rPr>
              <w:t>Constant</w:t>
            </w:r>
          </w:p>
        </w:tc>
        <w:tc>
          <w:tcPr>
            <w:tcW w:w="1283" w:type="dxa"/>
            <w:tcBorders>
              <w:top w:val="nil"/>
              <w:left w:val="nil"/>
              <w:bottom w:val="nil"/>
              <w:right w:val="nil"/>
            </w:tcBorders>
          </w:tcPr>
          <w:p w14:paraId="65AD63C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0.0408</w:t>
            </w:r>
          </w:p>
        </w:tc>
        <w:tc>
          <w:tcPr>
            <w:tcW w:w="1283" w:type="dxa"/>
            <w:gridSpan w:val="2"/>
            <w:tcBorders>
              <w:top w:val="nil"/>
              <w:left w:val="nil"/>
              <w:bottom w:val="nil"/>
              <w:right w:val="nil"/>
            </w:tcBorders>
          </w:tcPr>
          <w:p w14:paraId="47D9B5B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0.0878</w:t>
            </w:r>
          </w:p>
        </w:tc>
        <w:tc>
          <w:tcPr>
            <w:tcW w:w="1283" w:type="dxa"/>
            <w:tcBorders>
              <w:top w:val="nil"/>
              <w:left w:val="nil"/>
              <w:bottom w:val="nil"/>
              <w:right w:val="nil"/>
            </w:tcBorders>
          </w:tcPr>
          <w:p w14:paraId="061D00F4"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0.0465</w:t>
            </w:r>
          </w:p>
        </w:tc>
        <w:tc>
          <w:tcPr>
            <w:tcW w:w="1283" w:type="dxa"/>
            <w:tcBorders>
              <w:top w:val="nil"/>
              <w:left w:val="nil"/>
              <w:bottom w:val="nil"/>
              <w:right w:val="nil"/>
            </w:tcBorders>
          </w:tcPr>
          <w:p w14:paraId="21BA5175"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0.0924</w:t>
            </w:r>
          </w:p>
        </w:tc>
      </w:tr>
      <w:tr w:rsidR="003E148C" w:rsidRPr="008F234C" w14:paraId="2723422E" w14:textId="77777777" w:rsidTr="0026218B">
        <w:trPr>
          <w:jc w:val="center"/>
        </w:trPr>
        <w:tc>
          <w:tcPr>
            <w:tcW w:w="4590" w:type="dxa"/>
            <w:tcBorders>
              <w:top w:val="nil"/>
              <w:left w:val="nil"/>
              <w:bottom w:val="nil"/>
              <w:right w:val="nil"/>
            </w:tcBorders>
          </w:tcPr>
          <w:p w14:paraId="6AB5CEF7" w14:textId="77777777" w:rsidR="003E148C" w:rsidRPr="008F234C" w:rsidRDefault="003E148C" w:rsidP="0026218B">
            <w:pPr>
              <w:widowControl w:val="0"/>
              <w:autoSpaceDE w:val="0"/>
              <w:autoSpaceDN w:val="0"/>
              <w:adjustRightInd w:val="0"/>
              <w:rPr>
                <w:sz w:val="20"/>
                <w:szCs w:val="20"/>
              </w:rPr>
            </w:pPr>
          </w:p>
        </w:tc>
        <w:tc>
          <w:tcPr>
            <w:tcW w:w="1283" w:type="dxa"/>
            <w:tcBorders>
              <w:top w:val="nil"/>
              <w:left w:val="nil"/>
              <w:bottom w:val="nil"/>
              <w:right w:val="nil"/>
            </w:tcBorders>
          </w:tcPr>
          <w:p w14:paraId="5BD1C44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(0.0007)</w:t>
            </w:r>
          </w:p>
        </w:tc>
        <w:tc>
          <w:tcPr>
            <w:tcW w:w="1283" w:type="dxa"/>
            <w:gridSpan w:val="2"/>
            <w:tcBorders>
              <w:top w:val="nil"/>
              <w:left w:val="nil"/>
              <w:bottom w:val="nil"/>
              <w:right w:val="nil"/>
            </w:tcBorders>
          </w:tcPr>
          <w:p w14:paraId="1963BCE0"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(0.0029)</w:t>
            </w:r>
          </w:p>
        </w:tc>
        <w:tc>
          <w:tcPr>
            <w:tcW w:w="1283" w:type="dxa"/>
            <w:tcBorders>
              <w:top w:val="nil"/>
              <w:left w:val="nil"/>
              <w:bottom w:val="nil"/>
              <w:right w:val="nil"/>
            </w:tcBorders>
          </w:tcPr>
          <w:p w14:paraId="22519220"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(0.0017)</w:t>
            </w:r>
          </w:p>
        </w:tc>
        <w:tc>
          <w:tcPr>
            <w:tcW w:w="1283" w:type="dxa"/>
            <w:tcBorders>
              <w:top w:val="nil"/>
              <w:left w:val="nil"/>
              <w:bottom w:val="nil"/>
              <w:right w:val="nil"/>
            </w:tcBorders>
          </w:tcPr>
          <w:p w14:paraId="2E5FAAA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(0.0032)</w:t>
            </w:r>
          </w:p>
        </w:tc>
      </w:tr>
      <w:tr w:rsidR="003E148C" w:rsidRPr="008F234C" w14:paraId="3584102A" w14:textId="77777777" w:rsidTr="0026218B">
        <w:trPr>
          <w:jc w:val="center"/>
        </w:trPr>
        <w:tc>
          <w:tcPr>
            <w:tcW w:w="4590" w:type="dxa"/>
            <w:tcBorders>
              <w:top w:val="nil"/>
              <w:left w:val="nil"/>
              <w:bottom w:val="nil"/>
              <w:right w:val="nil"/>
            </w:tcBorders>
          </w:tcPr>
          <w:p w14:paraId="0EAEB34F" w14:textId="77777777" w:rsidR="003E148C" w:rsidRPr="008F234C" w:rsidRDefault="003E148C" w:rsidP="0026218B">
            <w:pPr>
              <w:widowControl w:val="0"/>
              <w:autoSpaceDE w:val="0"/>
              <w:autoSpaceDN w:val="0"/>
              <w:adjustRightInd w:val="0"/>
              <w:rPr>
                <w:sz w:val="20"/>
                <w:szCs w:val="20"/>
              </w:rPr>
            </w:pPr>
            <w:r w:rsidRPr="008F234C">
              <w:rPr>
                <w:sz w:val="20"/>
                <w:szCs w:val="20"/>
              </w:rPr>
              <w:t xml:space="preserve">R2 </w:t>
            </w:r>
          </w:p>
        </w:tc>
        <w:tc>
          <w:tcPr>
            <w:tcW w:w="1283" w:type="dxa"/>
            <w:tcBorders>
              <w:top w:val="nil"/>
              <w:left w:val="nil"/>
              <w:bottom w:val="nil"/>
              <w:right w:val="nil"/>
            </w:tcBorders>
          </w:tcPr>
          <w:p w14:paraId="5F2193F2"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0.04</w:t>
            </w:r>
          </w:p>
        </w:tc>
        <w:tc>
          <w:tcPr>
            <w:tcW w:w="1283" w:type="dxa"/>
            <w:gridSpan w:val="2"/>
            <w:tcBorders>
              <w:top w:val="nil"/>
              <w:left w:val="nil"/>
              <w:bottom w:val="nil"/>
              <w:right w:val="nil"/>
            </w:tcBorders>
          </w:tcPr>
          <w:p w14:paraId="2635983D"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0.26</w:t>
            </w:r>
          </w:p>
        </w:tc>
        <w:tc>
          <w:tcPr>
            <w:tcW w:w="1283" w:type="dxa"/>
            <w:tcBorders>
              <w:top w:val="nil"/>
              <w:left w:val="nil"/>
              <w:bottom w:val="nil"/>
              <w:right w:val="nil"/>
            </w:tcBorders>
          </w:tcPr>
          <w:p w14:paraId="711E102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0.05</w:t>
            </w:r>
          </w:p>
        </w:tc>
        <w:tc>
          <w:tcPr>
            <w:tcW w:w="1283" w:type="dxa"/>
            <w:tcBorders>
              <w:top w:val="nil"/>
              <w:left w:val="nil"/>
              <w:bottom w:val="nil"/>
              <w:right w:val="nil"/>
            </w:tcBorders>
          </w:tcPr>
          <w:p w14:paraId="295ED0F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0.26</w:t>
            </w:r>
          </w:p>
        </w:tc>
      </w:tr>
      <w:tr w:rsidR="003E148C" w:rsidRPr="008F234C" w14:paraId="416E2AAD" w14:textId="77777777" w:rsidTr="0026218B">
        <w:trPr>
          <w:jc w:val="center"/>
        </w:trPr>
        <w:tc>
          <w:tcPr>
            <w:tcW w:w="4590" w:type="dxa"/>
            <w:tcBorders>
              <w:top w:val="nil"/>
              <w:left w:val="nil"/>
              <w:bottom w:val="nil"/>
              <w:right w:val="nil"/>
            </w:tcBorders>
          </w:tcPr>
          <w:p w14:paraId="266CF313" w14:textId="77777777" w:rsidR="003E148C" w:rsidRPr="008F234C" w:rsidRDefault="003E148C" w:rsidP="0026218B">
            <w:pPr>
              <w:widowControl w:val="0"/>
              <w:autoSpaceDE w:val="0"/>
              <w:autoSpaceDN w:val="0"/>
              <w:adjustRightInd w:val="0"/>
              <w:rPr>
                <w:sz w:val="20"/>
                <w:szCs w:val="20"/>
              </w:rPr>
            </w:pPr>
            <w:r w:rsidRPr="008F234C">
              <w:rPr>
                <w:i/>
                <w:iCs/>
                <w:sz w:val="20"/>
                <w:szCs w:val="20"/>
              </w:rPr>
              <w:t>N</w:t>
            </w:r>
          </w:p>
        </w:tc>
        <w:tc>
          <w:tcPr>
            <w:tcW w:w="1283" w:type="dxa"/>
            <w:tcBorders>
              <w:top w:val="nil"/>
              <w:left w:val="nil"/>
              <w:bottom w:val="nil"/>
              <w:right w:val="nil"/>
            </w:tcBorders>
          </w:tcPr>
          <w:p w14:paraId="3CB5F53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21,409,422</w:t>
            </w:r>
          </w:p>
        </w:tc>
        <w:tc>
          <w:tcPr>
            <w:tcW w:w="1283" w:type="dxa"/>
            <w:gridSpan w:val="2"/>
            <w:tcBorders>
              <w:top w:val="nil"/>
              <w:left w:val="nil"/>
              <w:bottom w:val="nil"/>
              <w:right w:val="nil"/>
            </w:tcBorders>
          </w:tcPr>
          <w:p w14:paraId="2B8E4775"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20,304,295</w:t>
            </w:r>
          </w:p>
        </w:tc>
        <w:tc>
          <w:tcPr>
            <w:tcW w:w="1283" w:type="dxa"/>
            <w:tcBorders>
              <w:top w:val="nil"/>
              <w:left w:val="nil"/>
              <w:bottom w:val="nil"/>
              <w:right w:val="nil"/>
            </w:tcBorders>
          </w:tcPr>
          <w:p w14:paraId="0C58179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21,409,422</w:t>
            </w:r>
          </w:p>
        </w:tc>
        <w:tc>
          <w:tcPr>
            <w:tcW w:w="1283" w:type="dxa"/>
            <w:tcBorders>
              <w:top w:val="nil"/>
              <w:left w:val="nil"/>
              <w:bottom w:val="nil"/>
              <w:right w:val="nil"/>
            </w:tcBorders>
          </w:tcPr>
          <w:p w14:paraId="2A8EC026"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20,304,295</w:t>
            </w:r>
          </w:p>
        </w:tc>
      </w:tr>
      <w:tr w:rsidR="003E148C" w:rsidRPr="008F234C" w14:paraId="6A1D3765" w14:textId="77777777" w:rsidTr="0026218B">
        <w:trPr>
          <w:jc w:val="center"/>
        </w:trPr>
        <w:tc>
          <w:tcPr>
            <w:tcW w:w="4590" w:type="dxa"/>
            <w:tcBorders>
              <w:top w:val="nil"/>
              <w:left w:val="nil"/>
              <w:bottom w:val="nil"/>
              <w:right w:val="nil"/>
            </w:tcBorders>
          </w:tcPr>
          <w:p w14:paraId="3A680384" w14:textId="77777777" w:rsidR="003E148C" w:rsidRPr="008F234C" w:rsidRDefault="003E148C" w:rsidP="0026218B">
            <w:pPr>
              <w:widowControl w:val="0"/>
              <w:autoSpaceDE w:val="0"/>
              <w:autoSpaceDN w:val="0"/>
              <w:adjustRightInd w:val="0"/>
              <w:rPr>
                <w:iCs/>
                <w:sz w:val="20"/>
                <w:szCs w:val="20"/>
              </w:rPr>
            </w:pPr>
            <w:r>
              <w:rPr>
                <w:iCs/>
                <w:sz w:val="20"/>
                <w:szCs w:val="20"/>
              </w:rPr>
              <w:t>Occupation FE</w:t>
            </w:r>
          </w:p>
        </w:tc>
        <w:tc>
          <w:tcPr>
            <w:tcW w:w="1283" w:type="dxa"/>
            <w:tcBorders>
              <w:top w:val="nil"/>
              <w:left w:val="nil"/>
              <w:bottom w:val="nil"/>
              <w:right w:val="nil"/>
            </w:tcBorders>
          </w:tcPr>
          <w:p w14:paraId="435BC288"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gridSpan w:val="2"/>
            <w:tcBorders>
              <w:top w:val="nil"/>
              <w:left w:val="nil"/>
              <w:bottom w:val="nil"/>
              <w:right w:val="nil"/>
            </w:tcBorders>
          </w:tcPr>
          <w:p w14:paraId="3242C49B"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tcBorders>
              <w:top w:val="nil"/>
              <w:left w:val="nil"/>
              <w:bottom w:val="nil"/>
              <w:right w:val="nil"/>
            </w:tcBorders>
          </w:tcPr>
          <w:p w14:paraId="467D490C"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tcBorders>
              <w:top w:val="nil"/>
              <w:left w:val="nil"/>
              <w:bottom w:val="nil"/>
              <w:right w:val="nil"/>
            </w:tcBorders>
          </w:tcPr>
          <w:p w14:paraId="4F6829ED"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r>
      <w:tr w:rsidR="003E148C" w:rsidRPr="008F234C" w14:paraId="4E924A19" w14:textId="77777777" w:rsidTr="0026218B">
        <w:trPr>
          <w:jc w:val="center"/>
        </w:trPr>
        <w:tc>
          <w:tcPr>
            <w:tcW w:w="4590" w:type="dxa"/>
            <w:tcBorders>
              <w:top w:val="nil"/>
              <w:left w:val="nil"/>
              <w:bottom w:val="nil"/>
              <w:right w:val="nil"/>
            </w:tcBorders>
          </w:tcPr>
          <w:p w14:paraId="7DE316C6" w14:textId="77777777" w:rsidR="003E148C" w:rsidRPr="008F234C" w:rsidRDefault="003E148C" w:rsidP="0026218B">
            <w:pPr>
              <w:widowControl w:val="0"/>
              <w:autoSpaceDE w:val="0"/>
              <w:autoSpaceDN w:val="0"/>
              <w:adjustRightInd w:val="0"/>
              <w:rPr>
                <w:sz w:val="20"/>
                <w:szCs w:val="20"/>
              </w:rPr>
            </w:pPr>
            <w:r w:rsidRPr="008F234C">
              <w:rPr>
                <w:sz w:val="20"/>
                <w:szCs w:val="20"/>
              </w:rPr>
              <w:t>Year FE</w:t>
            </w:r>
          </w:p>
        </w:tc>
        <w:tc>
          <w:tcPr>
            <w:tcW w:w="1283" w:type="dxa"/>
            <w:tcBorders>
              <w:top w:val="nil"/>
              <w:left w:val="nil"/>
              <w:bottom w:val="nil"/>
              <w:right w:val="nil"/>
            </w:tcBorders>
          </w:tcPr>
          <w:p w14:paraId="0BED982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gridSpan w:val="2"/>
            <w:tcBorders>
              <w:top w:val="nil"/>
              <w:left w:val="nil"/>
              <w:bottom w:val="nil"/>
              <w:right w:val="nil"/>
            </w:tcBorders>
          </w:tcPr>
          <w:p w14:paraId="34F2CB23"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tcBorders>
              <w:top w:val="nil"/>
              <w:left w:val="nil"/>
              <w:bottom w:val="nil"/>
              <w:right w:val="nil"/>
            </w:tcBorders>
          </w:tcPr>
          <w:p w14:paraId="6167D5A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tcBorders>
              <w:top w:val="nil"/>
              <w:left w:val="nil"/>
              <w:bottom w:val="nil"/>
              <w:right w:val="nil"/>
            </w:tcBorders>
          </w:tcPr>
          <w:p w14:paraId="677D577D"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r>
      <w:tr w:rsidR="003E148C" w:rsidRPr="008F234C" w14:paraId="0F84B3C9" w14:textId="77777777" w:rsidTr="0026218B">
        <w:trPr>
          <w:jc w:val="center"/>
        </w:trPr>
        <w:tc>
          <w:tcPr>
            <w:tcW w:w="4590" w:type="dxa"/>
            <w:tcBorders>
              <w:top w:val="nil"/>
              <w:left w:val="nil"/>
              <w:bottom w:val="nil"/>
              <w:right w:val="nil"/>
            </w:tcBorders>
          </w:tcPr>
          <w:p w14:paraId="5D318C4E" w14:textId="71A030E4" w:rsidR="003E148C" w:rsidRPr="008F234C" w:rsidRDefault="004358A2" w:rsidP="0026218B">
            <w:pPr>
              <w:widowControl w:val="0"/>
              <w:autoSpaceDE w:val="0"/>
              <w:autoSpaceDN w:val="0"/>
              <w:adjustRightInd w:val="0"/>
              <w:rPr>
                <w:sz w:val="20"/>
                <w:szCs w:val="20"/>
              </w:rPr>
            </w:pPr>
            <w:r>
              <w:rPr>
                <w:sz w:val="20"/>
                <w:szCs w:val="20"/>
              </w:rPr>
              <w:t>Municipality</w:t>
            </w:r>
            <w:r w:rsidR="003E148C" w:rsidRPr="008F234C">
              <w:rPr>
                <w:sz w:val="20"/>
                <w:szCs w:val="20"/>
              </w:rPr>
              <w:t xml:space="preserve"> FE</w:t>
            </w:r>
          </w:p>
        </w:tc>
        <w:tc>
          <w:tcPr>
            <w:tcW w:w="1283" w:type="dxa"/>
            <w:tcBorders>
              <w:top w:val="nil"/>
              <w:left w:val="nil"/>
              <w:bottom w:val="nil"/>
              <w:right w:val="nil"/>
            </w:tcBorders>
          </w:tcPr>
          <w:p w14:paraId="50E06367"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gridSpan w:val="2"/>
            <w:tcBorders>
              <w:top w:val="nil"/>
              <w:left w:val="nil"/>
              <w:bottom w:val="nil"/>
              <w:right w:val="nil"/>
            </w:tcBorders>
          </w:tcPr>
          <w:p w14:paraId="4B5242CE"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tcBorders>
              <w:top w:val="nil"/>
              <w:left w:val="nil"/>
              <w:bottom w:val="nil"/>
              <w:right w:val="nil"/>
            </w:tcBorders>
          </w:tcPr>
          <w:p w14:paraId="2DD9B141"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tcBorders>
              <w:top w:val="nil"/>
              <w:left w:val="nil"/>
              <w:bottom w:val="nil"/>
              <w:right w:val="nil"/>
            </w:tcBorders>
          </w:tcPr>
          <w:p w14:paraId="1371CAFB"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r>
      <w:tr w:rsidR="003E148C" w:rsidRPr="008F234C" w14:paraId="34F60D11" w14:textId="77777777" w:rsidTr="0026218B">
        <w:trPr>
          <w:jc w:val="center"/>
        </w:trPr>
        <w:tc>
          <w:tcPr>
            <w:tcW w:w="4590" w:type="dxa"/>
            <w:tcBorders>
              <w:top w:val="nil"/>
              <w:left w:val="nil"/>
              <w:bottom w:val="single" w:sz="6" w:space="0" w:color="auto"/>
              <w:right w:val="nil"/>
            </w:tcBorders>
          </w:tcPr>
          <w:p w14:paraId="70F1ED20" w14:textId="77777777" w:rsidR="003E148C" w:rsidRPr="008F234C" w:rsidRDefault="003E148C" w:rsidP="0026218B">
            <w:pPr>
              <w:widowControl w:val="0"/>
              <w:autoSpaceDE w:val="0"/>
              <w:autoSpaceDN w:val="0"/>
              <w:adjustRightInd w:val="0"/>
              <w:rPr>
                <w:sz w:val="20"/>
                <w:szCs w:val="20"/>
              </w:rPr>
            </w:pPr>
            <w:r w:rsidRPr="008F234C">
              <w:rPr>
                <w:sz w:val="20"/>
                <w:szCs w:val="20"/>
              </w:rPr>
              <w:t>Worker FE</w:t>
            </w:r>
          </w:p>
        </w:tc>
        <w:tc>
          <w:tcPr>
            <w:tcW w:w="1283" w:type="dxa"/>
            <w:tcBorders>
              <w:top w:val="nil"/>
              <w:left w:val="nil"/>
              <w:bottom w:val="single" w:sz="6" w:space="0" w:color="auto"/>
              <w:right w:val="nil"/>
            </w:tcBorders>
          </w:tcPr>
          <w:p w14:paraId="0C22CCEE"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gridSpan w:val="2"/>
            <w:tcBorders>
              <w:top w:val="nil"/>
              <w:left w:val="nil"/>
              <w:bottom w:val="single" w:sz="6" w:space="0" w:color="auto"/>
              <w:right w:val="nil"/>
            </w:tcBorders>
          </w:tcPr>
          <w:p w14:paraId="2E1C73F2"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c>
          <w:tcPr>
            <w:tcW w:w="1283" w:type="dxa"/>
            <w:tcBorders>
              <w:top w:val="nil"/>
              <w:left w:val="nil"/>
              <w:bottom w:val="single" w:sz="6" w:space="0" w:color="auto"/>
              <w:right w:val="nil"/>
            </w:tcBorders>
          </w:tcPr>
          <w:p w14:paraId="1498C835" w14:textId="77777777" w:rsidR="003E148C" w:rsidRPr="00E1742D" w:rsidRDefault="003E148C" w:rsidP="0026218B">
            <w:pPr>
              <w:widowControl w:val="0"/>
              <w:autoSpaceDE w:val="0"/>
              <w:autoSpaceDN w:val="0"/>
              <w:adjustRightInd w:val="0"/>
              <w:jc w:val="center"/>
              <w:rPr>
                <w:sz w:val="20"/>
                <w:szCs w:val="20"/>
                <w:lang w:val="fr-FR" w:eastAsia="fr-FR"/>
              </w:rPr>
            </w:pPr>
          </w:p>
        </w:tc>
        <w:tc>
          <w:tcPr>
            <w:tcW w:w="1283" w:type="dxa"/>
            <w:tcBorders>
              <w:top w:val="nil"/>
              <w:left w:val="nil"/>
              <w:bottom w:val="single" w:sz="6" w:space="0" w:color="auto"/>
              <w:right w:val="nil"/>
            </w:tcBorders>
          </w:tcPr>
          <w:p w14:paraId="4445630F" w14:textId="77777777" w:rsidR="003E148C" w:rsidRPr="00E1742D" w:rsidRDefault="003E148C" w:rsidP="0026218B">
            <w:pPr>
              <w:widowControl w:val="0"/>
              <w:autoSpaceDE w:val="0"/>
              <w:autoSpaceDN w:val="0"/>
              <w:adjustRightInd w:val="0"/>
              <w:jc w:val="center"/>
              <w:rPr>
                <w:sz w:val="20"/>
                <w:szCs w:val="20"/>
                <w:lang w:val="fr-FR" w:eastAsia="fr-FR"/>
              </w:rPr>
            </w:pPr>
            <w:r w:rsidRPr="00E1742D">
              <w:rPr>
                <w:sz w:val="20"/>
                <w:szCs w:val="20"/>
                <w:lang w:val="fr-FR" w:eastAsia="fr-FR"/>
              </w:rPr>
              <w:t>YES</w:t>
            </w:r>
          </w:p>
        </w:tc>
      </w:tr>
      <w:tr w:rsidR="003E148C" w:rsidRPr="00B200A7" w14:paraId="28702FAE" w14:textId="77777777" w:rsidTr="0026218B">
        <w:tblPrEx>
          <w:jc w:val="left"/>
          <w:tblCellMar>
            <w:left w:w="70" w:type="dxa"/>
            <w:right w:w="70" w:type="dxa"/>
          </w:tblCellMar>
          <w:tblLook w:val="04A0" w:firstRow="1" w:lastRow="0" w:firstColumn="1" w:lastColumn="0" w:noHBand="0" w:noVBand="1"/>
        </w:tblPrEx>
        <w:trPr>
          <w:gridAfter w:val="3"/>
          <w:wAfter w:w="3026" w:type="dxa"/>
          <w:trHeight w:val="20"/>
        </w:trPr>
        <w:tc>
          <w:tcPr>
            <w:tcW w:w="0" w:type="auto"/>
            <w:gridSpan w:val="3"/>
            <w:tcBorders>
              <w:top w:val="nil"/>
              <w:left w:val="nil"/>
              <w:bottom w:val="nil"/>
            </w:tcBorders>
            <w:shd w:val="clear" w:color="auto" w:fill="auto"/>
            <w:noWrap/>
            <w:vAlign w:val="bottom"/>
            <w:hideMark/>
          </w:tcPr>
          <w:p w14:paraId="5E601E1D" w14:textId="77777777" w:rsidR="003E148C" w:rsidRPr="00B200A7" w:rsidRDefault="003E148C" w:rsidP="0026218B">
            <w:pPr>
              <w:rPr>
                <w:sz w:val="20"/>
                <w:szCs w:val="20"/>
                <w:lang w:eastAsia="pt-PT"/>
              </w:rPr>
            </w:pPr>
            <w:r w:rsidRPr="00B200A7">
              <w:rPr>
                <w:sz w:val="20"/>
                <w:szCs w:val="20"/>
                <w:lang w:eastAsia="pt-PT"/>
              </w:rPr>
              <w:t>Robust standard errors clustered by municipality in brackets</w:t>
            </w:r>
          </w:p>
        </w:tc>
      </w:tr>
    </w:tbl>
    <w:p w14:paraId="72E1E453" w14:textId="77777777" w:rsidR="003E148C" w:rsidRDefault="003E148C" w:rsidP="003E148C">
      <w:r>
        <w:br w:type="page"/>
      </w:r>
    </w:p>
    <w:p w14:paraId="5F01343E" w14:textId="77777777" w:rsidR="003E148C" w:rsidRDefault="003E148C" w:rsidP="003E148C">
      <w:pPr>
        <w:rPr>
          <w:b/>
          <w:sz w:val="22"/>
          <w:szCs w:val="22"/>
        </w:rPr>
      </w:pPr>
      <w:r w:rsidRPr="00E94742">
        <w:rPr>
          <w:b/>
          <w:sz w:val="22"/>
          <w:szCs w:val="22"/>
        </w:rPr>
        <w:t>Table A1</w:t>
      </w:r>
      <w:r>
        <w:rPr>
          <w:b/>
          <w:sz w:val="22"/>
          <w:szCs w:val="22"/>
        </w:rPr>
        <w:t>0</w:t>
      </w:r>
      <w:r w:rsidRPr="00E94742">
        <w:rPr>
          <w:b/>
          <w:sz w:val="22"/>
          <w:szCs w:val="22"/>
        </w:rPr>
        <w:t>. Effect of the reform on wage by gender: firms with vs. without female employee attrition</w:t>
      </w:r>
    </w:p>
    <w:p w14:paraId="4C3E2489" w14:textId="77777777" w:rsidR="003E148C" w:rsidRPr="00E94742" w:rsidRDefault="003E148C" w:rsidP="003E148C">
      <w:pPr>
        <w:rPr>
          <w:b/>
          <w:sz w:val="22"/>
          <w:szCs w:val="22"/>
        </w:rPr>
      </w:pPr>
    </w:p>
    <w:tbl>
      <w:tblPr>
        <w:tblW w:w="0" w:type="auto"/>
        <w:tblCellMar>
          <w:left w:w="144" w:type="dxa"/>
          <w:right w:w="144" w:type="dxa"/>
        </w:tblCellMar>
        <w:tblLook w:val="0000" w:firstRow="0" w:lastRow="0" w:firstColumn="0" w:lastColumn="0" w:noHBand="0" w:noVBand="0"/>
      </w:tblPr>
      <w:tblGrid>
        <w:gridCol w:w="3439"/>
        <w:gridCol w:w="1517"/>
        <w:gridCol w:w="1188"/>
        <w:gridCol w:w="1188"/>
        <w:gridCol w:w="1188"/>
      </w:tblGrid>
      <w:tr w:rsidR="003E148C" w:rsidRPr="008328ED" w14:paraId="3F78A368" w14:textId="77777777" w:rsidTr="0026218B">
        <w:tc>
          <w:tcPr>
            <w:tcW w:w="0" w:type="auto"/>
            <w:tcBorders>
              <w:top w:val="single" w:sz="6" w:space="0" w:color="auto"/>
              <w:left w:val="nil"/>
              <w:bottom w:val="nil"/>
              <w:right w:val="nil"/>
            </w:tcBorders>
          </w:tcPr>
          <w:p w14:paraId="070C78D6" w14:textId="77777777" w:rsidR="003E148C" w:rsidRPr="00BD2A98" w:rsidRDefault="003E148C" w:rsidP="0026218B">
            <w:pPr>
              <w:widowControl w:val="0"/>
              <w:autoSpaceDE w:val="0"/>
              <w:autoSpaceDN w:val="0"/>
              <w:adjustRightInd w:val="0"/>
              <w:jc w:val="center"/>
              <w:rPr>
                <w:sz w:val="20"/>
                <w:szCs w:val="20"/>
              </w:rPr>
            </w:pPr>
          </w:p>
        </w:tc>
        <w:tc>
          <w:tcPr>
            <w:tcW w:w="0" w:type="auto"/>
            <w:tcBorders>
              <w:top w:val="single" w:sz="6" w:space="0" w:color="auto"/>
              <w:left w:val="nil"/>
              <w:bottom w:val="nil"/>
              <w:right w:val="nil"/>
            </w:tcBorders>
          </w:tcPr>
          <w:p w14:paraId="04844DC9"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1</w:t>
            </w:r>
          </w:p>
        </w:tc>
        <w:tc>
          <w:tcPr>
            <w:tcW w:w="0" w:type="auto"/>
            <w:tcBorders>
              <w:top w:val="single" w:sz="6" w:space="0" w:color="auto"/>
              <w:left w:val="nil"/>
              <w:bottom w:val="nil"/>
              <w:right w:val="nil"/>
            </w:tcBorders>
          </w:tcPr>
          <w:p w14:paraId="62A8D9A8"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2</w:t>
            </w:r>
          </w:p>
        </w:tc>
        <w:tc>
          <w:tcPr>
            <w:tcW w:w="0" w:type="auto"/>
            <w:tcBorders>
              <w:top w:val="single" w:sz="6" w:space="0" w:color="auto"/>
              <w:left w:val="nil"/>
              <w:bottom w:val="nil"/>
              <w:right w:val="nil"/>
            </w:tcBorders>
          </w:tcPr>
          <w:p w14:paraId="02B2E05F"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3</w:t>
            </w:r>
          </w:p>
        </w:tc>
        <w:tc>
          <w:tcPr>
            <w:tcW w:w="0" w:type="auto"/>
            <w:tcBorders>
              <w:top w:val="single" w:sz="6" w:space="0" w:color="auto"/>
              <w:left w:val="nil"/>
              <w:bottom w:val="nil"/>
              <w:right w:val="nil"/>
            </w:tcBorders>
          </w:tcPr>
          <w:p w14:paraId="235643ED" w14:textId="77777777" w:rsidR="003E148C" w:rsidRPr="008328ED" w:rsidRDefault="003E148C" w:rsidP="0026218B">
            <w:pPr>
              <w:widowControl w:val="0"/>
              <w:autoSpaceDE w:val="0"/>
              <w:autoSpaceDN w:val="0"/>
              <w:adjustRightInd w:val="0"/>
              <w:jc w:val="center"/>
              <w:rPr>
                <w:sz w:val="20"/>
                <w:szCs w:val="20"/>
              </w:rPr>
            </w:pPr>
            <w:r w:rsidRPr="008328ED">
              <w:rPr>
                <w:sz w:val="20"/>
                <w:szCs w:val="20"/>
              </w:rPr>
              <w:t>4</w:t>
            </w:r>
          </w:p>
        </w:tc>
      </w:tr>
      <w:tr w:rsidR="003E148C" w:rsidRPr="00BD2A98" w14:paraId="03FA4BE5" w14:textId="77777777" w:rsidTr="0026218B">
        <w:tc>
          <w:tcPr>
            <w:tcW w:w="0" w:type="auto"/>
            <w:tcBorders>
              <w:top w:val="single" w:sz="6" w:space="0" w:color="auto"/>
              <w:left w:val="nil"/>
              <w:bottom w:val="nil"/>
              <w:right w:val="nil"/>
            </w:tcBorders>
          </w:tcPr>
          <w:p w14:paraId="1221A221"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w:t>
            </w:r>
          </w:p>
        </w:tc>
        <w:tc>
          <w:tcPr>
            <w:tcW w:w="0" w:type="auto"/>
            <w:tcBorders>
              <w:top w:val="single" w:sz="6" w:space="0" w:color="auto"/>
              <w:left w:val="nil"/>
              <w:bottom w:val="nil"/>
              <w:right w:val="nil"/>
            </w:tcBorders>
          </w:tcPr>
          <w:p w14:paraId="2F557B3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-0.0340</w:t>
            </w:r>
          </w:p>
        </w:tc>
        <w:tc>
          <w:tcPr>
            <w:tcW w:w="0" w:type="auto"/>
            <w:tcBorders>
              <w:top w:val="single" w:sz="6" w:space="0" w:color="auto"/>
              <w:left w:val="nil"/>
              <w:bottom w:val="nil"/>
              <w:right w:val="nil"/>
            </w:tcBorders>
          </w:tcPr>
          <w:p w14:paraId="7D63F14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-0.0014</w:t>
            </w:r>
          </w:p>
        </w:tc>
        <w:tc>
          <w:tcPr>
            <w:tcW w:w="0" w:type="auto"/>
            <w:tcBorders>
              <w:top w:val="single" w:sz="6" w:space="0" w:color="auto"/>
              <w:left w:val="nil"/>
              <w:bottom w:val="nil"/>
              <w:right w:val="nil"/>
            </w:tcBorders>
          </w:tcPr>
          <w:p w14:paraId="7E2BE88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c>
          <w:tcPr>
            <w:tcW w:w="0" w:type="auto"/>
            <w:tcBorders>
              <w:top w:val="single" w:sz="6" w:space="0" w:color="auto"/>
              <w:left w:val="nil"/>
              <w:bottom w:val="nil"/>
              <w:right w:val="nil"/>
            </w:tcBorders>
          </w:tcPr>
          <w:p w14:paraId="7584D55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0.0001</w:t>
            </w:r>
          </w:p>
        </w:tc>
      </w:tr>
      <w:tr w:rsidR="003E148C" w:rsidRPr="00BD2A98" w14:paraId="3766B95B" w14:textId="77777777" w:rsidTr="0026218B">
        <w:tc>
          <w:tcPr>
            <w:tcW w:w="0" w:type="auto"/>
            <w:tcBorders>
              <w:top w:val="nil"/>
              <w:left w:val="nil"/>
              <w:bottom w:val="nil"/>
              <w:right w:val="nil"/>
            </w:tcBorders>
          </w:tcPr>
          <w:p w14:paraId="343E5474"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563AABD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(0.0071)</w:t>
            </w:r>
          </w:p>
        </w:tc>
        <w:tc>
          <w:tcPr>
            <w:tcW w:w="0" w:type="auto"/>
            <w:tcBorders>
              <w:top w:val="nil"/>
              <w:left w:val="nil"/>
              <w:bottom w:val="nil"/>
              <w:right w:val="nil"/>
            </w:tcBorders>
          </w:tcPr>
          <w:p w14:paraId="23DE94A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(0.0030)</w:t>
            </w:r>
          </w:p>
        </w:tc>
        <w:tc>
          <w:tcPr>
            <w:tcW w:w="0" w:type="auto"/>
            <w:tcBorders>
              <w:top w:val="nil"/>
              <w:left w:val="nil"/>
              <w:bottom w:val="nil"/>
              <w:right w:val="nil"/>
            </w:tcBorders>
          </w:tcPr>
          <w:p w14:paraId="2CF9535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(0.0023)</w:t>
            </w:r>
          </w:p>
        </w:tc>
        <w:tc>
          <w:tcPr>
            <w:tcW w:w="0" w:type="auto"/>
            <w:tcBorders>
              <w:top w:val="nil"/>
              <w:left w:val="nil"/>
              <w:bottom w:val="nil"/>
              <w:right w:val="nil"/>
            </w:tcBorders>
          </w:tcPr>
          <w:p w14:paraId="73FFCCF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(0.0024)</w:t>
            </w:r>
          </w:p>
        </w:tc>
      </w:tr>
      <w:tr w:rsidR="003E148C" w:rsidRPr="00BD2A98" w14:paraId="4F6FE95A" w14:textId="77777777" w:rsidTr="0026218B">
        <w:tc>
          <w:tcPr>
            <w:tcW w:w="0" w:type="auto"/>
            <w:tcBorders>
              <w:top w:val="nil"/>
              <w:left w:val="nil"/>
              <w:bottom w:val="nil"/>
              <w:right w:val="nil"/>
            </w:tcBorders>
          </w:tcPr>
          <w:p w14:paraId="7AE1B6B1" w14:textId="77777777" w:rsidR="003E148C" w:rsidRPr="00BD2A98" w:rsidRDefault="003E148C" w:rsidP="0026218B">
            <w:pPr>
              <w:widowControl w:val="0"/>
              <w:autoSpaceDE w:val="0"/>
              <w:autoSpaceDN w:val="0"/>
              <w:adjustRightInd w:val="0"/>
              <w:rPr>
                <w:sz w:val="20"/>
                <w:szCs w:val="20"/>
              </w:rPr>
            </w:pPr>
            <w:r w:rsidRPr="00BD2A98">
              <w:rPr>
                <w:sz w:val="20"/>
                <w:szCs w:val="20"/>
              </w:rPr>
              <w:t>Female</w:t>
            </w:r>
          </w:p>
        </w:tc>
        <w:tc>
          <w:tcPr>
            <w:tcW w:w="0" w:type="auto"/>
            <w:tcBorders>
              <w:top w:val="nil"/>
              <w:left w:val="nil"/>
              <w:bottom w:val="nil"/>
              <w:right w:val="nil"/>
            </w:tcBorders>
          </w:tcPr>
          <w:p w14:paraId="402A8DF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-0.1962</w:t>
            </w:r>
          </w:p>
        </w:tc>
        <w:tc>
          <w:tcPr>
            <w:tcW w:w="0" w:type="auto"/>
            <w:tcBorders>
              <w:top w:val="nil"/>
              <w:left w:val="nil"/>
              <w:bottom w:val="nil"/>
              <w:right w:val="nil"/>
            </w:tcBorders>
          </w:tcPr>
          <w:p w14:paraId="3B94819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4B3D31CF"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05ACC0DF"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3C3728D9" w14:textId="77777777" w:rsidTr="0026218B">
        <w:tc>
          <w:tcPr>
            <w:tcW w:w="0" w:type="auto"/>
            <w:tcBorders>
              <w:top w:val="nil"/>
              <w:left w:val="nil"/>
              <w:bottom w:val="nil"/>
              <w:right w:val="nil"/>
            </w:tcBorders>
          </w:tcPr>
          <w:p w14:paraId="13580055"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3211802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(0.0057)</w:t>
            </w:r>
          </w:p>
        </w:tc>
        <w:tc>
          <w:tcPr>
            <w:tcW w:w="0" w:type="auto"/>
            <w:tcBorders>
              <w:top w:val="nil"/>
              <w:left w:val="nil"/>
              <w:bottom w:val="nil"/>
              <w:right w:val="nil"/>
            </w:tcBorders>
          </w:tcPr>
          <w:p w14:paraId="646EA971"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04673A42"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0732A02A"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05D0DD34" w14:textId="77777777" w:rsidTr="0026218B">
        <w:tc>
          <w:tcPr>
            <w:tcW w:w="0" w:type="auto"/>
            <w:tcBorders>
              <w:top w:val="nil"/>
              <w:left w:val="nil"/>
              <w:bottom w:val="nil"/>
              <w:right w:val="nil"/>
            </w:tcBorders>
          </w:tcPr>
          <w:p w14:paraId="2B26F283"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deregulation*Female</w:t>
            </w:r>
          </w:p>
        </w:tc>
        <w:tc>
          <w:tcPr>
            <w:tcW w:w="0" w:type="auto"/>
            <w:tcBorders>
              <w:top w:val="nil"/>
              <w:left w:val="nil"/>
              <w:bottom w:val="nil"/>
              <w:right w:val="nil"/>
            </w:tcBorders>
          </w:tcPr>
          <w:p w14:paraId="103251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0.0259</w:t>
            </w:r>
          </w:p>
        </w:tc>
        <w:tc>
          <w:tcPr>
            <w:tcW w:w="0" w:type="auto"/>
            <w:tcBorders>
              <w:top w:val="nil"/>
              <w:left w:val="nil"/>
              <w:bottom w:val="nil"/>
              <w:right w:val="nil"/>
            </w:tcBorders>
          </w:tcPr>
          <w:p w14:paraId="757600A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0.0035</w:t>
            </w:r>
          </w:p>
        </w:tc>
        <w:tc>
          <w:tcPr>
            <w:tcW w:w="0" w:type="auto"/>
            <w:tcBorders>
              <w:top w:val="nil"/>
              <w:left w:val="nil"/>
              <w:bottom w:val="nil"/>
              <w:right w:val="nil"/>
            </w:tcBorders>
          </w:tcPr>
          <w:p w14:paraId="4B039CF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0.0054</w:t>
            </w:r>
          </w:p>
        </w:tc>
        <w:tc>
          <w:tcPr>
            <w:tcW w:w="0" w:type="auto"/>
            <w:tcBorders>
              <w:top w:val="nil"/>
              <w:left w:val="nil"/>
              <w:bottom w:val="nil"/>
              <w:right w:val="nil"/>
            </w:tcBorders>
          </w:tcPr>
          <w:p w14:paraId="64AAC19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0.0076</w:t>
            </w:r>
          </w:p>
        </w:tc>
      </w:tr>
      <w:tr w:rsidR="003E148C" w:rsidRPr="00BD2A98" w14:paraId="034543A7" w14:textId="77777777" w:rsidTr="0026218B">
        <w:tc>
          <w:tcPr>
            <w:tcW w:w="0" w:type="auto"/>
            <w:tcBorders>
              <w:top w:val="nil"/>
              <w:left w:val="nil"/>
              <w:bottom w:val="nil"/>
              <w:right w:val="nil"/>
            </w:tcBorders>
          </w:tcPr>
          <w:p w14:paraId="38C2BB3B"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219587C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(0.0058)</w:t>
            </w:r>
          </w:p>
        </w:tc>
        <w:tc>
          <w:tcPr>
            <w:tcW w:w="0" w:type="auto"/>
            <w:tcBorders>
              <w:top w:val="nil"/>
              <w:left w:val="nil"/>
              <w:bottom w:val="nil"/>
              <w:right w:val="nil"/>
            </w:tcBorders>
          </w:tcPr>
          <w:p w14:paraId="0086796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(0.0022)</w:t>
            </w:r>
          </w:p>
        </w:tc>
        <w:tc>
          <w:tcPr>
            <w:tcW w:w="0" w:type="auto"/>
            <w:tcBorders>
              <w:top w:val="nil"/>
              <w:left w:val="nil"/>
              <w:bottom w:val="nil"/>
              <w:right w:val="nil"/>
            </w:tcBorders>
          </w:tcPr>
          <w:p w14:paraId="41EBCF9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(0.0012)</w:t>
            </w:r>
          </w:p>
        </w:tc>
        <w:tc>
          <w:tcPr>
            <w:tcW w:w="0" w:type="auto"/>
            <w:tcBorders>
              <w:top w:val="nil"/>
              <w:left w:val="nil"/>
              <w:bottom w:val="nil"/>
              <w:right w:val="nil"/>
            </w:tcBorders>
          </w:tcPr>
          <w:p w14:paraId="0E879AA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(0.0015)</w:t>
            </w:r>
          </w:p>
        </w:tc>
      </w:tr>
      <w:tr w:rsidR="003E148C" w:rsidRPr="00BD2A98" w14:paraId="4F08CE6B" w14:textId="77777777" w:rsidTr="0026218B">
        <w:tc>
          <w:tcPr>
            <w:tcW w:w="0" w:type="auto"/>
            <w:tcBorders>
              <w:top w:val="nil"/>
              <w:left w:val="nil"/>
              <w:bottom w:val="nil"/>
              <w:right w:val="nil"/>
            </w:tcBorders>
          </w:tcPr>
          <w:p w14:paraId="1341139F" w14:textId="77777777" w:rsidR="003E148C" w:rsidRPr="00BD2A98" w:rsidRDefault="003E148C" w:rsidP="0026218B">
            <w:pPr>
              <w:widowControl w:val="0"/>
              <w:autoSpaceDE w:val="0"/>
              <w:autoSpaceDN w:val="0"/>
              <w:adjustRightInd w:val="0"/>
              <w:rPr>
                <w:sz w:val="20"/>
                <w:szCs w:val="20"/>
              </w:rPr>
            </w:pPr>
            <w:r w:rsidRPr="00BD2A98">
              <w:rPr>
                <w:sz w:val="20"/>
                <w:szCs w:val="20"/>
              </w:rPr>
              <w:t>Entry deregulation*Attrition</w:t>
            </w:r>
          </w:p>
        </w:tc>
        <w:tc>
          <w:tcPr>
            <w:tcW w:w="0" w:type="auto"/>
            <w:tcBorders>
              <w:top w:val="nil"/>
              <w:left w:val="nil"/>
              <w:bottom w:val="nil"/>
              <w:right w:val="nil"/>
            </w:tcBorders>
          </w:tcPr>
          <w:p w14:paraId="429A65D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0.0336</w:t>
            </w:r>
          </w:p>
        </w:tc>
        <w:tc>
          <w:tcPr>
            <w:tcW w:w="0" w:type="auto"/>
            <w:tcBorders>
              <w:top w:val="nil"/>
              <w:left w:val="nil"/>
              <w:bottom w:val="nil"/>
              <w:right w:val="nil"/>
            </w:tcBorders>
          </w:tcPr>
          <w:p w14:paraId="3842115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0.0129</w:t>
            </w:r>
          </w:p>
        </w:tc>
        <w:tc>
          <w:tcPr>
            <w:tcW w:w="0" w:type="auto"/>
            <w:tcBorders>
              <w:top w:val="nil"/>
              <w:left w:val="nil"/>
              <w:bottom w:val="nil"/>
              <w:right w:val="nil"/>
            </w:tcBorders>
          </w:tcPr>
          <w:p w14:paraId="599F484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0.0060</w:t>
            </w:r>
          </w:p>
        </w:tc>
        <w:tc>
          <w:tcPr>
            <w:tcW w:w="0" w:type="auto"/>
            <w:tcBorders>
              <w:top w:val="nil"/>
              <w:left w:val="nil"/>
              <w:bottom w:val="nil"/>
              <w:right w:val="nil"/>
            </w:tcBorders>
          </w:tcPr>
          <w:p w14:paraId="4EA5F08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0.0080</w:t>
            </w:r>
          </w:p>
        </w:tc>
      </w:tr>
      <w:tr w:rsidR="003E148C" w:rsidRPr="00BD2A98" w14:paraId="3168266B" w14:textId="77777777" w:rsidTr="0026218B">
        <w:tc>
          <w:tcPr>
            <w:tcW w:w="0" w:type="auto"/>
            <w:tcBorders>
              <w:top w:val="nil"/>
              <w:left w:val="nil"/>
              <w:bottom w:val="nil"/>
              <w:right w:val="nil"/>
            </w:tcBorders>
          </w:tcPr>
          <w:p w14:paraId="1FE3D03D"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01B8872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(0.0072)</w:t>
            </w:r>
          </w:p>
        </w:tc>
        <w:tc>
          <w:tcPr>
            <w:tcW w:w="0" w:type="auto"/>
            <w:tcBorders>
              <w:top w:val="nil"/>
              <w:left w:val="nil"/>
              <w:bottom w:val="nil"/>
              <w:right w:val="nil"/>
            </w:tcBorders>
          </w:tcPr>
          <w:p w14:paraId="1F26D37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(0.0042)</w:t>
            </w:r>
          </w:p>
        </w:tc>
        <w:tc>
          <w:tcPr>
            <w:tcW w:w="0" w:type="auto"/>
            <w:tcBorders>
              <w:top w:val="nil"/>
              <w:left w:val="nil"/>
              <w:bottom w:val="nil"/>
              <w:right w:val="nil"/>
            </w:tcBorders>
          </w:tcPr>
          <w:p w14:paraId="2F8A66D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(0.0039)</w:t>
            </w:r>
          </w:p>
        </w:tc>
        <w:tc>
          <w:tcPr>
            <w:tcW w:w="0" w:type="auto"/>
            <w:tcBorders>
              <w:top w:val="nil"/>
              <w:left w:val="nil"/>
              <w:bottom w:val="nil"/>
              <w:right w:val="nil"/>
            </w:tcBorders>
          </w:tcPr>
          <w:p w14:paraId="6B97962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(0.0041)</w:t>
            </w:r>
          </w:p>
        </w:tc>
      </w:tr>
      <w:tr w:rsidR="003E148C" w:rsidRPr="00BD2A98" w14:paraId="6D118793" w14:textId="77777777" w:rsidTr="0026218B">
        <w:tc>
          <w:tcPr>
            <w:tcW w:w="0" w:type="auto"/>
            <w:tcBorders>
              <w:top w:val="nil"/>
              <w:left w:val="nil"/>
              <w:bottom w:val="nil"/>
              <w:right w:val="nil"/>
            </w:tcBorders>
          </w:tcPr>
          <w:p w14:paraId="03969F08" w14:textId="77777777" w:rsidR="003E148C" w:rsidRPr="00BD2A98" w:rsidRDefault="003E148C" w:rsidP="0026218B">
            <w:pPr>
              <w:widowControl w:val="0"/>
              <w:autoSpaceDE w:val="0"/>
              <w:autoSpaceDN w:val="0"/>
              <w:adjustRightInd w:val="0"/>
              <w:rPr>
                <w:sz w:val="20"/>
                <w:szCs w:val="20"/>
              </w:rPr>
            </w:pPr>
            <w:r w:rsidRPr="00BD2A98">
              <w:rPr>
                <w:sz w:val="20"/>
                <w:szCs w:val="20"/>
              </w:rPr>
              <w:t>Female*Entry deregulation* Attrition</w:t>
            </w:r>
          </w:p>
        </w:tc>
        <w:tc>
          <w:tcPr>
            <w:tcW w:w="0" w:type="auto"/>
            <w:tcBorders>
              <w:top w:val="nil"/>
              <w:left w:val="nil"/>
              <w:bottom w:val="nil"/>
              <w:right w:val="nil"/>
            </w:tcBorders>
          </w:tcPr>
          <w:p w14:paraId="445FA64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-0.0283</w:t>
            </w:r>
          </w:p>
        </w:tc>
        <w:tc>
          <w:tcPr>
            <w:tcW w:w="0" w:type="auto"/>
            <w:tcBorders>
              <w:top w:val="nil"/>
              <w:left w:val="nil"/>
              <w:bottom w:val="nil"/>
              <w:right w:val="nil"/>
            </w:tcBorders>
          </w:tcPr>
          <w:p w14:paraId="247C0B9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-0.0167</w:t>
            </w:r>
          </w:p>
        </w:tc>
        <w:tc>
          <w:tcPr>
            <w:tcW w:w="0" w:type="auto"/>
            <w:tcBorders>
              <w:top w:val="nil"/>
              <w:left w:val="nil"/>
              <w:bottom w:val="nil"/>
              <w:right w:val="nil"/>
            </w:tcBorders>
          </w:tcPr>
          <w:p w14:paraId="45D4EF4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-0.0136</w:t>
            </w:r>
          </w:p>
        </w:tc>
        <w:tc>
          <w:tcPr>
            <w:tcW w:w="0" w:type="auto"/>
            <w:tcBorders>
              <w:top w:val="nil"/>
              <w:left w:val="nil"/>
              <w:bottom w:val="nil"/>
              <w:right w:val="nil"/>
            </w:tcBorders>
          </w:tcPr>
          <w:p w14:paraId="14ED42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-0.0141</w:t>
            </w:r>
          </w:p>
        </w:tc>
      </w:tr>
      <w:tr w:rsidR="003E148C" w:rsidRPr="00BD2A98" w14:paraId="153F604D" w14:textId="77777777" w:rsidTr="0026218B">
        <w:tc>
          <w:tcPr>
            <w:tcW w:w="0" w:type="auto"/>
            <w:tcBorders>
              <w:top w:val="nil"/>
              <w:left w:val="nil"/>
              <w:bottom w:val="nil"/>
              <w:right w:val="nil"/>
            </w:tcBorders>
          </w:tcPr>
          <w:p w14:paraId="548B0591"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74616C8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(0.0060)</w:t>
            </w:r>
          </w:p>
        </w:tc>
        <w:tc>
          <w:tcPr>
            <w:tcW w:w="0" w:type="auto"/>
            <w:tcBorders>
              <w:top w:val="nil"/>
              <w:left w:val="nil"/>
              <w:bottom w:val="nil"/>
              <w:right w:val="nil"/>
            </w:tcBorders>
          </w:tcPr>
          <w:p w14:paraId="588E7E7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(0.0021)</w:t>
            </w:r>
          </w:p>
        </w:tc>
        <w:tc>
          <w:tcPr>
            <w:tcW w:w="0" w:type="auto"/>
            <w:tcBorders>
              <w:top w:val="nil"/>
              <w:left w:val="nil"/>
              <w:bottom w:val="nil"/>
              <w:right w:val="nil"/>
            </w:tcBorders>
          </w:tcPr>
          <w:p w14:paraId="6D96973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(0.0019)</w:t>
            </w:r>
          </w:p>
        </w:tc>
        <w:tc>
          <w:tcPr>
            <w:tcW w:w="0" w:type="auto"/>
            <w:tcBorders>
              <w:top w:val="nil"/>
              <w:left w:val="nil"/>
              <w:bottom w:val="nil"/>
              <w:right w:val="nil"/>
            </w:tcBorders>
          </w:tcPr>
          <w:p w14:paraId="4534CA3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(0.0023)</w:t>
            </w:r>
          </w:p>
        </w:tc>
      </w:tr>
      <w:tr w:rsidR="003E148C" w:rsidRPr="00BD2A98" w14:paraId="095948BD" w14:textId="77777777" w:rsidTr="0026218B">
        <w:tc>
          <w:tcPr>
            <w:tcW w:w="0" w:type="auto"/>
            <w:tcBorders>
              <w:top w:val="nil"/>
              <w:left w:val="nil"/>
              <w:bottom w:val="nil"/>
              <w:right w:val="nil"/>
            </w:tcBorders>
          </w:tcPr>
          <w:p w14:paraId="3B5E3128" w14:textId="77777777" w:rsidR="003E148C" w:rsidRPr="00BD2A98" w:rsidRDefault="003E148C" w:rsidP="0026218B">
            <w:pPr>
              <w:widowControl w:val="0"/>
              <w:autoSpaceDE w:val="0"/>
              <w:autoSpaceDN w:val="0"/>
              <w:adjustRightInd w:val="0"/>
              <w:rPr>
                <w:sz w:val="20"/>
                <w:szCs w:val="20"/>
              </w:rPr>
            </w:pPr>
            <w:r w:rsidRPr="00BD2A98">
              <w:rPr>
                <w:sz w:val="20"/>
                <w:szCs w:val="20"/>
              </w:rPr>
              <w:t>Age</w:t>
            </w:r>
          </w:p>
        </w:tc>
        <w:tc>
          <w:tcPr>
            <w:tcW w:w="0" w:type="auto"/>
            <w:tcBorders>
              <w:top w:val="nil"/>
              <w:left w:val="nil"/>
              <w:bottom w:val="nil"/>
              <w:right w:val="nil"/>
            </w:tcBorders>
          </w:tcPr>
          <w:p w14:paraId="2790947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0.0293</w:t>
            </w:r>
          </w:p>
        </w:tc>
        <w:tc>
          <w:tcPr>
            <w:tcW w:w="0" w:type="auto"/>
            <w:tcBorders>
              <w:top w:val="nil"/>
              <w:left w:val="nil"/>
              <w:bottom w:val="nil"/>
              <w:right w:val="nil"/>
            </w:tcBorders>
          </w:tcPr>
          <w:p w14:paraId="709B5C6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0.0277</w:t>
            </w:r>
          </w:p>
        </w:tc>
        <w:tc>
          <w:tcPr>
            <w:tcW w:w="0" w:type="auto"/>
            <w:tcBorders>
              <w:top w:val="nil"/>
              <w:left w:val="nil"/>
              <w:bottom w:val="nil"/>
              <w:right w:val="nil"/>
            </w:tcBorders>
          </w:tcPr>
          <w:p w14:paraId="13350C2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0.0249</w:t>
            </w:r>
          </w:p>
        </w:tc>
        <w:tc>
          <w:tcPr>
            <w:tcW w:w="0" w:type="auto"/>
            <w:tcBorders>
              <w:top w:val="nil"/>
              <w:left w:val="nil"/>
              <w:bottom w:val="nil"/>
              <w:right w:val="nil"/>
            </w:tcBorders>
          </w:tcPr>
          <w:p w14:paraId="7520E0B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0.0245</w:t>
            </w:r>
          </w:p>
        </w:tc>
      </w:tr>
      <w:tr w:rsidR="003E148C" w:rsidRPr="00BD2A98" w14:paraId="3DDFEB26" w14:textId="77777777" w:rsidTr="0026218B">
        <w:tc>
          <w:tcPr>
            <w:tcW w:w="0" w:type="auto"/>
            <w:tcBorders>
              <w:top w:val="nil"/>
              <w:left w:val="nil"/>
              <w:bottom w:val="nil"/>
              <w:right w:val="nil"/>
            </w:tcBorders>
          </w:tcPr>
          <w:p w14:paraId="41482B24"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08ABCB9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c>
          <w:tcPr>
            <w:tcW w:w="0" w:type="auto"/>
            <w:tcBorders>
              <w:top w:val="nil"/>
              <w:left w:val="nil"/>
              <w:bottom w:val="nil"/>
              <w:right w:val="nil"/>
            </w:tcBorders>
          </w:tcPr>
          <w:p w14:paraId="41AD11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c>
          <w:tcPr>
            <w:tcW w:w="0" w:type="auto"/>
            <w:tcBorders>
              <w:top w:val="nil"/>
              <w:left w:val="nil"/>
              <w:bottom w:val="nil"/>
              <w:right w:val="nil"/>
            </w:tcBorders>
          </w:tcPr>
          <w:p w14:paraId="278DF22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(0.0015)</w:t>
            </w:r>
          </w:p>
        </w:tc>
        <w:tc>
          <w:tcPr>
            <w:tcW w:w="0" w:type="auto"/>
            <w:tcBorders>
              <w:top w:val="nil"/>
              <w:left w:val="nil"/>
              <w:bottom w:val="nil"/>
              <w:right w:val="nil"/>
            </w:tcBorders>
          </w:tcPr>
          <w:p w14:paraId="0B90678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r>
      <w:tr w:rsidR="003E148C" w:rsidRPr="00BD2A98" w14:paraId="39719C9C" w14:textId="77777777" w:rsidTr="0026218B">
        <w:tc>
          <w:tcPr>
            <w:tcW w:w="0" w:type="auto"/>
            <w:tcBorders>
              <w:top w:val="nil"/>
              <w:left w:val="nil"/>
              <w:bottom w:val="nil"/>
              <w:right w:val="nil"/>
            </w:tcBorders>
          </w:tcPr>
          <w:p w14:paraId="524CF37C" w14:textId="77777777" w:rsidR="003E148C" w:rsidRPr="00BD2A98" w:rsidRDefault="003E148C" w:rsidP="0026218B">
            <w:pPr>
              <w:widowControl w:val="0"/>
              <w:autoSpaceDE w:val="0"/>
              <w:autoSpaceDN w:val="0"/>
              <w:adjustRightInd w:val="0"/>
              <w:rPr>
                <w:sz w:val="20"/>
                <w:szCs w:val="20"/>
              </w:rPr>
            </w:pPr>
            <w:r w:rsidRPr="00BD2A98">
              <w:rPr>
                <w:sz w:val="20"/>
                <w:szCs w:val="20"/>
              </w:rPr>
              <w:t>Age squared</w:t>
            </w:r>
          </w:p>
        </w:tc>
        <w:tc>
          <w:tcPr>
            <w:tcW w:w="0" w:type="auto"/>
            <w:tcBorders>
              <w:top w:val="nil"/>
              <w:left w:val="nil"/>
              <w:bottom w:val="nil"/>
              <w:right w:val="nil"/>
            </w:tcBorders>
          </w:tcPr>
          <w:p w14:paraId="6D25BE5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0" w:type="auto"/>
            <w:tcBorders>
              <w:top w:val="nil"/>
              <w:left w:val="nil"/>
              <w:bottom w:val="nil"/>
              <w:right w:val="nil"/>
            </w:tcBorders>
          </w:tcPr>
          <w:p w14:paraId="5C04688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0" w:type="auto"/>
            <w:tcBorders>
              <w:top w:val="nil"/>
              <w:left w:val="nil"/>
              <w:bottom w:val="nil"/>
              <w:right w:val="nil"/>
            </w:tcBorders>
          </w:tcPr>
          <w:p w14:paraId="302AB0D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c>
          <w:tcPr>
            <w:tcW w:w="0" w:type="auto"/>
            <w:tcBorders>
              <w:top w:val="nil"/>
              <w:left w:val="nil"/>
              <w:bottom w:val="nil"/>
              <w:right w:val="nil"/>
            </w:tcBorders>
          </w:tcPr>
          <w:p w14:paraId="70CE67D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-0.0003</w:t>
            </w:r>
          </w:p>
        </w:tc>
      </w:tr>
      <w:tr w:rsidR="003E148C" w:rsidRPr="00BD2A98" w14:paraId="5EF6D057" w14:textId="77777777" w:rsidTr="0026218B">
        <w:tc>
          <w:tcPr>
            <w:tcW w:w="0" w:type="auto"/>
            <w:tcBorders>
              <w:top w:val="nil"/>
              <w:left w:val="nil"/>
              <w:bottom w:val="nil"/>
              <w:right w:val="nil"/>
            </w:tcBorders>
          </w:tcPr>
          <w:p w14:paraId="5691E4DD"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3605C41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0" w:type="auto"/>
            <w:tcBorders>
              <w:top w:val="nil"/>
              <w:left w:val="nil"/>
              <w:bottom w:val="nil"/>
              <w:right w:val="nil"/>
            </w:tcBorders>
          </w:tcPr>
          <w:p w14:paraId="164127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0" w:type="auto"/>
            <w:tcBorders>
              <w:top w:val="nil"/>
              <w:left w:val="nil"/>
              <w:bottom w:val="nil"/>
              <w:right w:val="nil"/>
            </w:tcBorders>
          </w:tcPr>
          <w:p w14:paraId="5C872FB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c>
          <w:tcPr>
            <w:tcW w:w="0" w:type="auto"/>
            <w:tcBorders>
              <w:top w:val="nil"/>
              <w:left w:val="nil"/>
              <w:bottom w:val="nil"/>
              <w:right w:val="nil"/>
            </w:tcBorders>
          </w:tcPr>
          <w:p w14:paraId="493DB2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(0.0000)</w:t>
            </w:r>
          </w:p>
        </w:tc>
      </w:tr>
      <w:tr w:rsidR="003E148C" w:rsidRPr="00BD2A98" w14:paraId="36503061" w14:textId="77777777" w:rsidTr="0026218B">
        <w:tc>
          <w:tcPr>
            <w:tcW w:w="0" w:type="auto"/>
            <w:tcBorders>
              <w:top w:val="nil"/>
              <w:left w:val="nil"/>
              <w:bottom w:val="nil"/>
              <w:right w:val="nil"/>
            </w:tcBorders>
          </w:tcPr>
          <w:p w14:paraId="3DA377A4" w14:textId="77777777" w:rsidR="003E148C" w:rsidRPr="00BD2A98" w:rsidRDefault="003E148C" w:rsidP="0026218B">
            <w:pPr>
              <w:widowControl w:val="0"/>
              <w:autoSpaceDE w:val="0"/>
              <w:autoSpaceDN w:val="0"/>
              <w:adjustRightInd w:val="0"/>
              <w:rPr>
                <w:sz w:val="20"/>
                <w:szCs w:val="20"/>
              </w:rPr>
            </w:pPr>
            <w:r w:rsidRPr="00BD2A98">
              <w:rPr>
                <w:sz w:val="20"/>
                <w:szCs w:val="20"/>
              </w:rPr>
              <w:t>Mid education</w:t>
            </w:r>
          </w:p>
        </w:tc>
        <w:tc>
          <w:tcPr>
            <w:tcW w:w="0" w:type="auto"/>
            <w:tcBorders>
              <w:top w:val="nil"/>
              <w:left w:val="nil"/>
              <w:bottom w:val="nil"/>
              <w:right w:val="nil"/>
            </w:tcBorders>
          </w:tcPr>
          <w:p w14:paraId="4331A6D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0.1252</w:t>
            </w:r>
          </w:p>
        </w:tc>
        <w:tc>
          <w:tcPr>
            <w:tcW w:w="0" w:type="auto"/>
            <w:tcBorders>
              <w:top w:val="nil"/>
              <w:left w:val="nil"/>
              <w:bottom w:val="nil"/>
              <w:right w:val="nil"/>
            </w:tcBorders>
          </w:tcPr>
          <w:p w14:paraId="62DA854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0.0064</w:t>
            </w:r>
          </w:p>
        </w:tc>
        <w:tc>
          <w:tcPr>
            <w:tcW w:w="0" w:type="auto"/>
            <w:tcBorders>
              <w:top w:val="nil"/>
              <w:left w:val="nil"/>
              <w:bottom w:val="nil"/>
              <w:right w:val="nil"/>
            </w:tcBorders>
          </w:tcPr>
          <w:p w14:paraId="7437182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0.0012</w:t>
            </w:r>
          </w:p>
        </w:tc>
        <w:tc>
          <w:tcPr>
            <w:tcW w:w="0" w:type="auto"/>
            <w:tcBorders>
              <w:top w:val="nil"/>
              <w:left w:val="nil"/>
              <w:bottom w:val="nil"/>
              <w:right w:val="nil"/>
            </w:tcBorders>
          </w:tcPr>
          <w:p w14:paraId="00A7897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-0.0005</w:t>
            </w:r>
          </w:p>
        </w:tc>
      </w:tr>
      <w:tr w:rsidR="003E148C" w:rsidRPr="00BD2A98" w14:paraId="45661A34" w14:textId="77777777" w:rsidTr="0026218B">
        <w:tc>
          <w:tcPr>
            <w:tcW w:w="0" w:type="auto"/>
            <w:tcBorders>
              <w:top w:val="nil"/>
              <w:left w:val="nil"/>
              <w:bottom w:val="nil"/>
              <w:right w:val="nil"/>
            </w:tcBorders>
          </w:tcPr>
          <w:p w14:paraId="3D5CD6E6"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2DAD1CC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(0.0126)</w:t>
            </w:r>
          </w:p>
        </w:tc>
        <w:tc>
          <w:tcPr>
            <w:tcW w:w="0" w:type="auto"/>
            <w:tcBorders>
              <w:top w:val="nil"/>
              <w:left w:val="nil"/>
              <w:bottom w:val="nil"/>
              <w:right w:val="nil"/>
            </w:tcBorders>
          </w:tcPr>
          <w:p w14:paraId="6536F03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(0.0010)</w:t>
            </w:r>
          </w:p>
        </w:tc>
        <w:tc>
          <w:tcPr>
            <w:tcW w:w="0" w:type="auto"/>
            <w:tcBorders>
              <w:top w:val="nil"/>
              <w:left w:val="nil"/>
              <w:bottom w:val="nil"/>
              <w:right w:val="nil"/>
            </w:tcBorders>
          </w:tcPr>
          <w:p w14:paraId="07AA3E9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(0.0006)</w:t>
            </w:r>
          </w:p>
        </w:tc>
        <w:tc>
          <w:tcPr>
            <w:tcW w:w="0" w:type="auto"/>
            <w:tcBorders>
              <w:top w:val="nil"/>
              <w:left w:val="nil"/>
              <w:bottom w:val="nil"/>
              <w:right w:val="nil"/>
            </w:tcBorders>
          </w:tcPr>
          <w:p w14:paraId="293084D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(0.0010)</w:t>
            </w:r>
          </w:p>
        </w:tc>
      </w:tr>
      <w:tr w:rsidR="003E148C" w:rsidRPr="00BD2A98" w14:paraId="1E1AB65D" w14:textId="77777777" w:rsidTr="0026218B">
        <w:tc>
          <w:tcPr>
            <w:tcW w:w="0" w:type="auto"/>
            <w:tcBorders>
              <w:top w:val="nil"/>
              <w:left w:val="nil"/>
              <w:bottom w:val="nil"/>
              <w:right w:val="nil"/>
            </w:tcBorders>
          </w:tcPr>
          <w:p w14:paraId="790829C2" w14:textId="77777777" w:rsidR="003E148C" w:rsidRPr="00BD2A98" w:rsidRDefault="003E148C" w:rsidP="0026218B">
            <w:pPr>
              <w:widowControl w:val="0"/>
              <w:autoSpaceDE w:val="0"/>
              <w:autoSpaceDN w:val="0"/>
              <w:adjustRightInd w:val="0"/>
              <w:rPr>
                <w:sz w:val="20"/>
                <w:szCs w:val="20"/>
              </w:rPr>
            </w:pPr>
            <w:r w:rsidRPr="00BD2A98">
              <w:rPr>
                <w:sz w:val="20"/>
                <w:szCs w:val="20"/>
              </w:rPr>
              <w:t>High education</w:t>
            </w:r>
          </w:p>
        </w:tc>
        <w:tc>
          <w:tcPr>
            <w:tcW w:w="0" w:type="auto"/>
            <w:tcBorders>
              <w:top w:val="nil"/>
              <w:left w:val="nil"/>
              <w:bottom w:val="nil"/>
              <w:right w:val="nil"/>
            </w:tcBorders>
          </w:tcPr>
          <w:p w14:paraId="4936F4C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0.3959</w:t>
            </w:r>
          </w:p>
        </w:tc>
        <w:tc>
          <w:tcPr>
            <w:tcW w:w="0" w:type="auto"/>
            <w:tcBorders>
              <w:top w:val="nil"/>
              <w:left w:val="nil"/>
              <w:bottom w:val="nil"/>
              <w:right w:val="nil"/>
            </w:tcBorders>
          </w:tcPr>
          <w:p w14:paraId="5C5884E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0.1036</w:t>
            </w:r>
          </w:p>
        </w:tc>
        <w:tc>
          <w:tcPr>
            <w:tcW w:w="0" w:type="auto"/>
            <w:tcBorders>
              <w:top w:val="nil"/>
              <w:left w:val="nil"/>
              <w:bottom w:val="nil"/>
              <w:right w:val="nil"/>
            </w:tcBorders>
          </w:tcPr>
          <w:p w14:paraId="4AF058C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0.0720</w:t>
            </w:r>
          </w:p>
        </w:tc>
        <w:tc>
          <w:tcPr>
            <w:tcW w:w="0" w:type="auto"/>
            <w:tcBorders>
              <w:top w:val="nil"/>
              <w:left w:val="nil"/>
              <w:bottom w:val="nil"/>
              <w:right w:val="nil"/>
            </w:tcBorders>
          </w:tcPr>
          <w:p w14:paraId="0189CA1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0.0505</w:t>
            </w:r>
          </w:p>
        </w:tc>
      </w:tr>
      <w:tr w:rsidR="003E148C" w:rsidRPr="00BD2A98" w14:paraId="41A89B94" w14:textId="77777777" w:rsidTr="0026218B">
        <w:tc>
          <w:tcPr>
            <w:tcW w:w="0" w:type="auto"/>
            <w:tcBorders>
              <w:top w:val="nil"/>
              <w:left w:val="nil"/>
              <w:bottom w:val="nil"/>
              <w:right w:val="nil"/>
            </w:tcBorders>
          </w:tcPr>
          <w:p w14:paraId="01D2D7BF"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10AB5DB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(0.0111)</w:t>
            </w:r>
          </w:p>
        </w:tc>
        <w:tc>
          <w:tcPr>
            <w:tcW w:w="0" w:type="auto"/>
            <w:tcBorders>
              <w:top w:val="nil"/>
              <w:left w:val="nil"/>
              <w:bottom w:val="nil"/>
              <w:right w:val="nil"/>
            </w:tcBorders>
          </w:tcPr>
          <w:p w14:paraId="193714D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(0.0046)</w:t>
            </w:r>
          </w:p>
        </w:tc>
        <w:tc>
          <w:tcPr>
            <w:tcW w:w="0" w:type="auto"/>
            <w:tcBorders>
              <w:top w:val="nil"/>
              <w:left w:val="nil"/>
              <w:bottom w:val="nil"/>
              <w:right w:val="nil"/>
            </w:tcBorders>
          </w:tcPr>
          <w:p w14:paraId="7126EBF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(0.0049)</w:t>
            </w:r>
          </w:p>
        </w:tc>
        <w:tc>
          <w:tcPr>
            <w:tcW w:w="0" w:type="auto"/>
            <w:tcBorders>
              <w:top w:val="nil"/>
              <w:left w:val="nil"/>
              <w:bottom w:val="nil"/>
              <w:right w:val="nil"/>
            </w:tcBorders>
          </w:tcPr>
          <w:p w14:paraId="7D36FD8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(0.0024)</w:t>
            </w:r>
          </w:p>
        </w:tc>
      </w:tr>
      <w:tr w:rsidR="003E148C" w:rsidRPr="00BD2A98" w14:paraId="66AB8BFA" w14:textId="77777777" w:rsidTr="0026218B">
        <w:tc>
          <w:tcPr>
            <w:tcW w:w="0" w:type="auto"/>
            <w:tcBorders>
              <w:top w:val="nil"/>
              <w:left w:val="nil"/>
              <w:bottom w:val="nil"/>
              <w:right w:val="nil"/>
            </w:tcBorders>
          </w:tcPr>
          <w:p w14:paraId="7C654285" w14:textId="77777777" w:rsidR="003E148C" w:rsidRPr="00BD2A98" w:rsidRDefault="003E148C" w:rsidP="0026218B">
            <w:pPr>
              <w:widowControl w:val="0"/>
              <w:autoSpaceDE w:val="0"/>
              <w:autoSpaceDN w:val="0"/>
              <w:adjustRightInd w:val="0"/>
              <w:rPr>
                <w:sz w:val="20"/>
                <w:szCs w:val="20"/>
              </w:rPr>
            </w:pPr>
            <w:r w:rsidRPr="00BD2A98">
              <w:rPr>
                <w:sz w:val="20"/>
                <w:szCs w:val="20"/>
              </w:rPr>
              <w:t>Hours worked (ln)</w:t>
            </w:r>
          </w:p>
        </w:tc>
        <w:tc>
          <w:tcPr>
            <w:tcW w:w="0" w:type="auto"/>
            <w:tcBorders>
              <w:top w:val="nil"/>
              <w:left w:val="nil"/>
              <w:bottom w:val="nil"/>
              <w:right w:val="nil"/>
            </w:tcBorders>
          </w:tcPr>
          <w:p w14:paraId="53B5ECA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0.7026</w:t>
            </w:r>
          </w:p>
        </w:tc>
        <w:tc>
          <w:tcPr>
            <w:tcW w:w="0" w:type="auto"/>
            <w:tcBorders>
              <w:top w:val="nil"/>
              <w:left w:val="nil"/>
              <w:bottom w:val="nil"/>
              <w:right w:val="nil"/>
            </w:tcBorders>
          </w:tcPr>
          <w:p w14:paraId="0544210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0.8283</w:t>
            </w:r>
          </w:p>
        </w:tc>
        <w:tc>
          <w:tcPr>
            <w:tcW w:w="0" w:type="auto"/>
            <w:tcBorders>
              <w:top w:val="nil"/>
              <w:left w:val="nil"/>
              <w:bottom w:val="nil"/>
              <w:right w:val="nil"/>
            </w:tcBorders>
          </w:tcPr>
          <w:p w14:paraId="21B3CE0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0.8518</w:t>
            </w:r>
          </w:p>
        </w:tc>
        <w:tc>
          <w:tcPr>
            <w:tcW w:w="0" w:type="auto"/>
            <w:tcBorders>
              <w:top w:val="nil"/>
              <w:left w:val="nil"/>
              <w:bottom w:val="nil"/>
              <w:right w:val="nil"/>
            </w:tcBorders>
          </w:tcPr>
          <w:p w14:paraId="09F3BD2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0.8198</w:t>
            </w:r>
          </w:p>
        </w:tc>
      </w:tr>
      <w:tr w:rsidR="003E148C" w:rsidRPr="00BD2A98" w14:paraId="21F41608" w14:textId="77777777" w:rsidTr="0026218B">
        <w:tc>
          <w:tcPr>
            <w:tcW w:w="0" w:type="auto"/>
            <w:tcBorders>
              <w:top w:val="nil"/>
              <w:left w:val="nil"/>
              <w:bottom w:val="nil"/>
              <w:right w:val="nil"/>
            </w:tcBorders>
          </w:tcPr>
          <w:p w14:paraId="5E25F2B9"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70DD9B8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(0.0448)</w:t>
            </w:r>
          </w:p>
        </w:tc>
        <w:tc>
          <w:tcPr>
            <w:tcW w:w="0" w:type="auto"/>
            <w:tcBorders>
              <w:top w:val="nil"/>
              <w:left w:val="nil"/>
              <w:bottom w:val="nil"/>
              <w:right w:val="nil"/>
            </w:tcBorders>
          </w:tcPr>
          <w:p w14:paraId="00A4F26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(0.0122)</w:t>
            </w:r>
          </w:p>
        </w:tc>
        <w:tc>
          <w:tcPr>
            <w:tcW w:w="0" w:type="auto"/>
            <w:tcBorders>
              <w:top w:val="nil"/>
              <w:left w:val="nil"/>
              <w:bottom w:val="nil"/>
              <w:right w:val="nil"/>
            </w:tcBorders>
          </w:tcPr>
          <w:p w14:paraId="52F3F0D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(0.0080)</w:t>
            </w:r>
          </w:p>
        </w:tc>
        <w:tc>
          <w:tcPr>
            <w:tcW w:w="0" w:type="auto"/>
            <w:tcBorders>
              <w:top w:val="nil"/>
              <w:left w:val="nil"/>
              <w:bottom w:val="nil"/>
              <w:right w:val="nil"/>
            </w:tcBorders>
          </w:tcPr>
          <w:p w14:paraId="736C6F3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(0.0124)</w:t>
            </w:r>
          </w:p>
        </w:tc>
      </w:tr>
      <w:tr w:rsidR="003E148C" w:rsidRPr="00BD2A98" w14:paraId="32B437B0" w14:textId="77777777" w:rsidTr="0026218B">
        <w:tc>
          <w:tcPr>
            <w:tcW w:w="0" w:type="auto"/>
            <w:tcBorders>
              <w:top w:val="nil"/>
              <w:left w:val="nil"/>
              <w:bottom w:val="nil"/>
              <w:right w:val="nil"/>
            </w:tcBorders>
          </w:tcPr>
          <w:p w14:paraId="2BFE0474" w14:textId="77777777" w:rsidR="003E148C" w:rsidRPr="00BD2A98" w:rsidRDefault="003E148C" w:rsidP="0026218B">
            <w:pPr>
              <w:widowControl w:val="0"/>
              <w:autoSpaceDE w:val="0"/>
              <w:autoSpaceDN w:val="0"/>
              <w:adjustRightInd w:val="0"/>
              <w:rPr>
                <w:sz w:val="20"/>
                <w:szCs w:val="20"/>
              </w:rPr>
            </w:pPr>
            <w:r w:rsidRPr="00BD2A98">
              <w:rPr>
                <w:sz w:val="20"/>
                <w:szCs w:val="20"/>
              </w:rPr>
              <w:t>Long term contract</w:t>
            </w:r>
          </w:p>
        </w:tc>
        <w:tc>
          <w:tcPr>
            <w:tcW w:w="0" w:type="auto"/>
            <w:tcBorders>
              <w:top w:val="nil"/>
              <w:left w:val="nil"/>
              <w:bottom w:val="nil"/>
              <w:right w:val="nil"/>
            </w:tcBorders>
          </w:tcPr>
          <w:p w14:paraId="4AFD9DE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0.0992</w:t>
            </w:r>
          </w:p>
        </w:tc>
        <w:tc>
          <w:tcPr>
            <w:tcW w:w="0" w:type="auto"/>
            <w:tcBorders>
              <w:top w:val="nil"/>
              <w:left w:val="nil"/>
              <w:bottom w:val="nil"/>
              <w:right w:val="nil"/>
            </w:tcBorders>
          </w:tcPr>
          <w:p w14:paraId="7EA0410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0.0162</w:t>
            </w:r>
          </w:p>
        </w:tc>
        <w:tc>
          <w:tcPr>
            <w:tcW w:w="0" w:type="auto"/>
            <w:tcBorders>
              <w:top w:val="nil"/>
              <w:left w:val="nil"/>
              <w:bottom w:val="nil"/>
              <w:right w:val="nil"/>
            </w:tcBorders>
          </w:tcPr>
          <w:p w14:paraId="64EB584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0.0213</w:t>
            </w:r>
          </w:p>
        </w:tc>
        <w:tc>
          <w:tcPr>
            <w:tcW w:w="0" w:type="auto"/>
            <w:tcBorders>
              <w:top w:val="nil"/>
              <w:left w:val="nil"/>
              <w:bottom w:val="nil"/>
              <w:right w:val="nil"/>
            </w:tcBorders>
          </w:tcPr>
          <w:p w14:paraId="33A742A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0.0101</w:t>
            </w:r>
          </w:p>
        </w:tc>
      </w:tr>
      <w:tr w:rsidR="003E148C" w:rsidRPr="00BD2A98" w14:paraId="6F6CEF4E" w14:textId="77777777" w:rsidTr="0026218B">
        <w:tc>
          <w:tcPr>
            <w:tcW w:w="0" w:type="auto"/>
            <w:tcBorders>
              <w:top w:val="nil"/>
              <w:left w:val="nil"/>
              <w:bottom w:val="nil"/>
              <w:right w:val="nil"/>
            </w:tcBorders>
          </w:tcPr>
          <w:p w14:paraId="46C937EC"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3073428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(0.0100)</w:t>
            </w:r>
          </w:p>
        </w:tc>
        <w:tc>
          <w:tcPr>
            <w:tcW w:w="0" w:type="auto"/>
            <w:tcBorders>
              <w:top w:val="nil"/>
              <w:left w:val="nil"/>
              <w:bottom w:val="nil"/>
              <w:right w:val="nil"/>
            </w:tcBorders>
          </w:tcPr>
          <w:p w14:paraId="50CC47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(0.0019)</w:t>
            </w:r>
          </w:p>
        </w:tc>
        <w:tc>
          <w:tcPr>
            <w:tcW w:w="0" w:type="auto"/>
            <w:tcBorders>
              <w:top w:val="nil"/>
              <w:left w:val="nil"/>
              <w:bottom w:val="nil"/>
              <w:right w:val="nil"/>
            </w:tcBorders>
          </w:tcPr>
          <w:p w14:paraId="47E0E40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(0.0013)</w:t>
            </w:r>
          </w:p>
        </w:tc>
        <w:tc>
          <w:tcPr>
            <w:tcW w:w="0" w:type="auto"/>
            <w:tcBorders>
              <w:top w:val="nil"/>
              <w:left w:val="nil"/>
              <w:bottom w:val="nil"/>
              <w:right w:val="nil"/>
            </w:tcBorders>
          </w:tcPr>
          <w:p w14:paraId="1997CBA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(0.0010)</w:t>
            </w:r>
          </w:p>
        </w:tc>
      </w:tr>
      <w:tr w:rsidR="003E148C" w:rsidRPr="00BD2A98" w14:paraId="558677CE" w14:textId="77777777" w:rsidTr="0026218B">
        <w:tc>
          <w:tcPr>
            <w:tcW w:w="0" w:type="auto"/>
            <w:tcBorders>
              <w:top w:val="nil"/>
              <w:left w:val="nil"/>
              <w:bottom w:val="nil"/>
              <w:right w:val="nil"/>
            </w:tcBorders>
          </w:tcPr>
          <w:p w14:paraId="4125662B" w14:textId="77777777" w:rsidR="003E148C" w:rsidRPr="00BD2A98" w:rsidRDefault="003E148C" w:rsidP="0026218B">
            <w:pPr>
              <w:widowControl w:val="0"/>
              <w:autoSpaceDE w:val="0"/>
              <w:autoSpaceDN w:val="0"/>
              <w:adjustRightInd w:val="0"/>
              <w:rPr>
                <w:sz w:val="20"/>
                <w:szCs w:val="20"/>
              </w:rPr>
            </w:pPr>
            <w:r w:rsidRPr="00BD2A98">
              <w:rPr>
                <w:sz w:val="20"/>
                <w:szCs w:val="20"/>
              </w:rPr>
              <w:t>Mid qualification</w:t>
            </w:r>
          </w:p>
        </w:tc>
        <w:tc>
          <w:tcPr>
            <w:tcW w:w="0" w:type="auto"/>
            <w:tcBorders>
              <w:top w:val="nil"/>
              <w:left w:val="nil"/>
              <w:bottom w:val="nil"/>
              <w:right w:val="nil"/>
            </w:tcBorders>
          </w:tcPr>
          <w:p w14:paraId="52CD499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0.1267</w:t>
            </w:r>
          </w:p>
        </w:tc>
        <w:tc>
          <w:tcPr>
            <w:tcW w:w="0" w:type="auto"/>
            <w:tcBorders>
              <w:top w:val="nil"/>
              <w:left w:val="nil"/>
              <w:bottom w:val="nil"/>
              <w:right w:val="nil"/>
            </w:tcBorders>
          </w:tcPr>
          <w:p w14:paraId="288C70F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0.0557</w:t>
            </w:r>
          </w:p>
        </w:tc>
        <w:tc>
          <w:tcPr>
            <w:tcW w:w="0" w:type="auto"/>
            <w:tcBorders>
              <w:top w:val="nil"/>
              <w:left w:val="nil"/>
              <w:bottom w:val="nil"/>
              <w:right w:val="nil"/>
            </w:tcBorders>
          </w:tcPr>
          <w:p w14:paraId="2ED637B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0.0502</w:t>
            </w:r>
          </w:p>
        </w:tc>
        <w:tc>
          <w:tcPr>
            <w:tcW w:w="0" w:type="auto"/>
            <w:tcBorders>
              <w:top w:val="nil"/>
              <w:left w:val="nil"/>
              <w:bottom w:val="nil"/>
              <w:right w:val="nil"/>
            </w:tcBorders>
          </w:tcPr>
          <w:p w14:paraId="6B23BFE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0.0316</w:t>
            </w:r>
          </w:p>
        </w:tc>
      </w:tr>
      <w:tr w:rsidR="003E148C" w:rsidRPr="00BD2A98" w14:paraId="08B88BEB" w14:textId="77777777" w:rsidTr="0026218B">
        <w:tc>
          <w:tcPr>
            <w:tcW w:w="0" w:type="auto"/>
            <w:tcBorders>
              <w:top w:val="nil"/>
              <w:left w:val="nil"/>
              <w:bottom w:val="nil"/>
              <w:right w:val="nil"/>
            </w:tcBorders>
          </w:tcPr>
          <w:p w14:paraId="22AF0729"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2FB263E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(0.0044)</w:t>
            </w:r>
          </w:p>
        </w:tc>
        <w:tc>
          <w:tcPr>
            <w:tcW w:w="0" w:type="auto"/>
            <w:tcBorders>
              <w:top w:val="nil"/>
              <w:left w:val="nil"/>
              <w:bottom w:val="nil"/>
              <w:right w:val="nil"/>
            </w:tcBorders>
          </w:tcPr>
          <w:p w14:paraId="69AF244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(0.0018)</w:t>
            </w:r>
          </w:p>
        </w:tc>
        <w:tc>
          <w:tcPr>
            <w:tcW w:w="0" w:type="auto"/>
            <w:tcBorders>
              <w:top w:val="nil"/>
              <w:left w:val="nil"/>
              <w:bottom w:val="nil"/>
              <w:right w:val="nil"/>
            </w:tcBorders>
          </w:tcPr>
          <w:p w14:paraId="7F0F9AB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(0.0016)</w:t>
            </w:r>
          </w:p>
        </w:tc>
        <w:tc>
          <w:tcPr>
            <w:tcW w:w="0" w:type="auto"/>
            <w:tcBorders>
              <w:top w:val="nil"/>
              <w:left w:val="nil"/>
              <w:bottom w:val="nil"/>
              <w:right w:val="nil"/>
            </w:tcBorders>
          </w:tcPr>
          <w:p w14:paraId="14AE95E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(0.0017)</w:t>
            </w:r>
          </w:p>
        </w:tc>
      </w:tr>
      <w:tr w:rsidR="003E148C" w:rsidRPr="00BD2A98" w14:paraId="38056900" w14:textId="77777777" w:rsidTr="0026218B">
        <w:tc>
          <w:tcPr>
            <w:tcW w:w="0" w:type="auto"/>
            <w:tcBorders>
              <w:top w:val="nil"/>
              <w:left w:val="nil"/>
              <w:bottom w:val="nil"/>
              <w:right w:val="nil"/>
            </w:tcBorders>
          </w:tcPr>
          <w:p w14:paraId="2ADC6C2C" w14:textId="77777777" w:rsidR="003E148C" w:rsidRPr="00BD2A98" w:rsidRDefault="003E148C" w:rsidP="0026218B">
            <w:pPr>
              <w:widowControl w:val="0"/>
              <w:autoSpaceDE w:val="0"/>
              <w:autoSpaceDN w:val="0"/>
              <w:adjustRightInd w:val="0"/>
              <w:rPr>
                <w:sz w:val="20"/>
                <w:szCs w:val="20"/>
              </w:rPr>
            </w:pPr>
            <w:r w:rsidRPr="00BD2A98">
              <w:rPr>
                <w:sz w:val="20"/>
                <w:szCs w:val="20"/>
              </w:rPr>
              <w:t>High qualification</w:t>
            </w:r>
          </w:p>
        </w:tc>
        <w:tc>
          <w:tcPr>
            <w:tcW w:w="0" w:type="auto"/>
            <w:tcBorders>
              <w:top w:val="nil"/>
              <w:left w:val="nil"/>
              <w:bottom w:val="nil"/>
              <w:right w:val="nil"/>
            </w:tcBorders>
          </w:tcPr>
          <w:p w14:paraId="652E977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0.3839</w:t>
            </w:r>
          </w:p>
        </w:tc>
        <w:tc>
          <w:tcPr>
            <w:tcW w:w="0" w:type="auto"/>
            <w:tcBorders>
              <w:top w:val="nil"/>
              <w:left w:val="nil"/>
              <w:bottom w:val="nil"/>
              <w:right w:val="nil"/>
            </w:tcBorders>
          </w:tcPr>
          <w:p w14:paraId="4776AFD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0.1372</w:t>
            </w:r>
          </w:p>
        </w:tc>
        <w:tc>
          <w:tcPr>
            <w:tcW w:w="0" w:type="auto"/>
            <w:tcBorders>
              <w:top w:val="nil"/>
              <w:left w:val="nil"/>
              <w:bottom w:val="nil"/>
              <w:right w:val="nil"/>
            </w:tcBorders>
          </w:tcPr>
          <w:p w14:paraId="2F458B2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0.1238</w:t>
            </w:r>
          </w:p>
        </w:tc>
        <w:tc>
          <w:tcPr>
            <w:tcW w:w="0" w:type="auto"/>
            <w:tcBorders>
              <w:top w:val="nil"/>
              <w:left w:val="nil"/>
              <w:bottom w:val="nil"/>
              <w:right w:val="nil"/>
            </w:tcBorders>
          </w:tcPr>
          <w:p w14:paraId="19F71C4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0.0825</w:t>
            </w:r>
          </w:p>
        </w:tc>
      </w:tr>
      <w:tr w:rsidR="003E148C" w:rsidRPr="00BD2A98" w14:paraId="144A438D" w14:textId="77777777" w:rsidTr="0026218B">
        <w:tc>
          <w:tcPr>
            <w:tcW w:w="0" w:type="auto"/>
            <w:tcBorders>
              <w:top w:val="nil"/>
              <w:left w:val="nil"/>
              <w:bottom w:val="nil"/>
              <w:right w:val="nil"/>
            </w:tcBorders>
          </w:tcPr>
          <w:p w14:paraId="4299F33A"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2714C3D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(0.0060)</w:t>
            </w:r>
          </w:p>
        </w:tc>
        <w:tc>
          <w:tcPr>
            <w:tcW w:w="0" w:type="auto"/>
            <w:tcBorders>
              <w:top w:val="nil"/>
              <w:left w:val="nil"/>
              <w:bottom w:val="nil"/>
              <w:right w:val="nil"/>
            </w:tcBorders>
          </w:tcPr>
          <w:p w14:paraId="62A941A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(0.0024)</w:t>
            </w:r>
          </w:p>
        </w:tc>
        <w:tc>
          <w:tcPr>
            <w:tcW w:w="0" w:type="auto"/>
            <w:tcBorders>
              <w:top w:val="nil"/>
              <w:left w:val="nil"/>
              <w:bottom w:val="nil"/>
              <w:right w:val="nil"/>
            </w:tcBorders>
          </w:tcPr>
          <w:p w14:paraId="12479E6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(0.0028)</w:t>
            </w:r>
          </w:p>
        </w:tc>
        <w:tc>
          <w:tcPr>
            <w:tcW w:w="0" w:type="auto"/>
            <w:tcBorders>
              <w:top w:val="nil"/>
              <w:left w:val="nil"/>
              <w:bottom w:val="nil"/>
              <w:right w:val="nil"/>
            </w:tcBorders>
          </w:tcPr>
          <w:p w14:paraId="6093770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(0.0029)</w:t>
            </w:r>
          </w:p>
        </w:tc>
      </w:tr>
      <w:tr w:rsidR="003E148C" w:rsidRPr="00BD2A98" w14:paraId="751F7959" w14:textId="77777777" w:rsidTr="0026218B">
        <w:tc>
          <w:tcPr>
            <w:tcW w:w="0" w:type="auto"/>
            <w:tcBorders>
              <w:top w:val="nil"/>
              <w:left w:val="nil"/>
              <w:bottom w:val="nil"/>
              <w:right w:val="nil"/>
            </w:tcBorders>
          </w:tcPr>
          <w:p w14:paraId="000E434E" w14:textId="77777777" w:rsidR="003E148C" w:rsidRPr="00BD2A98" w:rsidRDefault="003E148C" w:rsidP="0026218B">
            <w:pPr>
              <w:widowControl w:val="0"/>
              <w:autoSpaceDE w:val="0"/>
              <w:autoSpaceDN w:val="0"/>
              <w:adjustRightInd w:val="0"/>
              <w:rPr>
                <w:sz w:val="20"/>
                <w:szCs w:val="20"/>
              </w:rPr>
            </w:pPr>
            <w:r w:rsidRPr="00BD2A98">
              <w:rPr>
                <w:sz w:val="20"/>
                <w:szCs w:val="20"/>
              </w:rPr>
              <w:t>Workers (ln)</w:t>
            </w:r>
          </w:p>
        </w:tc>
        <w:tc>
          <w:tcPr>
            <w:tcW w:w="0" w:type="auto"/>
            <w:tcBorders>
              <w:top w:val="nil"/>
              <w:left w:val="nil"/>
              <w:bottom w:val="nil"/>
              <w:right w:val="nil"/>
            </w:tcBorders>
          </w:tcPr>
          <w:p w14:paraId="3E38BAF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0.0628</w:t>
            </w:r>
          </w:p>
        </w:tc>
        <w:tc>
          <w:tcPr>
            <w:tcW w:w="0" w:type="auto"/>
            <w:tcBorders>
              <w:top w:val="nil"/>
              <w:left w:val="nil"/>
              <w:bottom w:val="nil"/>
              <w:right w:val="nil"/>
            </w:tcBorders>
          </w:tcPr>
          <w:p w14:paraId="21694EF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0.0298</w:t>
            </w:r>
          </w:p>
        </w:tc>
        <w:tc>
          <w:tcPr>
            <w:tcW w:w="0" w:type="auto"/>
            <w:tcBorders>
              <w:top w:val="nil"/>
              <w:left w:val="nil"/>
              <w:bottom w:val="nil"/>
              <w:right w:val="nil"/>
            </w:tcBorders>
          </w:tcPr>
          <w:p w14:paraId="6007AB9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0.0326</w:t>
            </w:r>
          </w:p>
        </w:tc>
        <w:tc>
          <w:tcPr>
            <w:tcW w:w="0" w:type="auto"/>
            <w:tcBorders>
              <w:top w:val="nil"/>
              <w:left w:val="nil"/>
              <w:bottom w:val="nil"/>
              <w:right w:val="nil"/>
            </w:tcBorders>
          </w:tcPr>
          <w:p w14:paraId="214F2A8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0.0416</w:t>
            </w:r>
          </w:p>
        </w:tc>
      </w:tr>
      <w:tr w:rsidR="003E148C" w:rsidRPr="00BD2A98" w14:paraId="046F1A1C" w14:textId="77777777" w:rsidTr="0026218B">
        <w:tc>
          <w:tcPr>
            <w:tcW w:w="0" w:type="auto"/>
            <w:tcBorders>
              <w:top w:val="nil"/>
              <w:left w:val="nil"/>
              <w:bottom w:val="nil"/>
              <w:right w:val="nil"/>
            </w:tcBorders>
          </w:tcPr>
          <w:p w14:paraId="537F3248"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51B8E42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(0.0014)</w:t>
            </w:r>
          </w:p>
        </w:tc>
        <w:tc>
          <w:tcPr>
            <w:tcW w:w="0" w:type="auto"/>
            <w:tcBorders>
              <w:top w:val="nil"/>
              <w:left w:val="nil"/>
              <w:bottom w:val="nil"/>
              <w:right w:val="nil"/>
            </w:tcBorders>
          </w:tcPr>
          <w:p w14:paraId="3D165B0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c>
          <w:tcPr>
            <w:tcW w:w="0" w:type="auto"/>
            <w:tcBorders>
              <w:top w:val="nil"/>
              <w:left w:val="nil"/>
              <w:bottom w:val="nil"/>
              <w:right w:val="nil"/>
            </w:tcBorders>
          </w:tcPr>
          <w:p w14:paraId="1DAEFC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(0.0026)</w:t>
            </w:r>
          </w:p>
        </w:tc>
        <w:tc>
          <w:tcPr>
            <w:tcW w:w="0" w:type="auto"/>
            <w:tcBorders>
              <w:top w:val="nil"/>
              <w:left w:val="nil"/>
              <w:bottom w:val="nil"/>
              <w:right w:val="nil"/>
            </w:tcBorders>
          </w:tcPr>
          <w:p w14:paraId="5D22359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(0.0020)</w:t>
            </w:r>
          </w:p>
        </w:tc>
      </w:tr>
      <w:tr w:rsidR="003E148C" w:rsidRPr="00BD2A98" w14:paraId="38BFBF65" w14:textId="77777777" w:rsidTr="0026218B">
        <w:tc>
          <w:tcPr>
            <w:tcW w:w="0" w:type="auto"/>
            <w:tcBorders>
              <w:top w:val="nil"/>
              <w:left w:val="nil"/>
              <w:bottom w:val="nil"/>
              <w:right w:val="nil"/>
            </w:tcBorders>
          </w:tcPr>
          <w:p w14:paraId="35494A63" w14:textId="77777777" w:rsidR="003E148C" w:rsidRPr="00BD2A98" w:rsidRDefault="003E148C" w:rsidP="0026218B">
            <w:pPr>
              <w:widowControl w:val="0"/>
              <w:autoSpaceDE w:val="0"/>
              <w:autoSpaceDN w:val="0"/>
              <w:adjustRightInd w:val="0"/>
              <w:rPr>
                <w:sz w:val="20"/>
                <w:szCs w:val="20"/>
              </w:rPr>
            </w:pPr>
            <w:r w:rsidRPr="00BD2A98">
              <w:rPr>
                <w:sz w:val="20"/>
                <w:szCs w:val="20"/>
              </w:rPr>
              <w:t>Constant</w:t>
            </w:r>
          </w:p>
        </w:tc>
        <w:tc>
          <w:tcPr>
            <w:tcW w:w="0" w:type="auto"/>
            <w:tcBorders>
              <w:top w:val="nil"/>
              <w:left w:val="nil"/>
              <w:bottom w:val="nil"/>
              <w:right w:val="nil"/>
            </w:tcBorders>
          </w:tcPr>
          <w:p w14:paraId="57B783D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2.2063</w:t>
            </w:r>
          </w:p>
        </w:tc>
        <w:tc>
          <w:tcPr>
            <w:tcW w:w="0" w:type="auto"/>
            <w:tcBorders>
              <w:top w:val="nil"/>
              <w:left w:val="nil"/>
              <w:bottom w:val="nil"/>
              <w:right w:val="nil"/>
            </w:tcBorders>
          </w:tcPr>
          <w:p w14:paraId="364AB59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1.6943</w:t>
            </w:r>
          </w:p>
        </w:tc>
        <w:tc>
          <w:tcPr>
            <w:tcW w:w="0" w:type="auto"/>
            <w:tcBorders>
              <w:top w:val="nil"/>
              <w:left w:val="nil"/>
              <w:bottom w:val="nil"/>
              <w:right w:val="nil"/>
            </w:tcBorders>
          </w:tcPr>
          <w:p w14:paraId="6B242DF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1.6443</w:t>
            </w:r>
          </w:p>
        </w:tc>
        <w:tc>
          <w:tcPr>
            <w:tcW w:w="0" w:type="auto"/>
            <w:tcBorders>
              <w:top w:val="nil"/>
              <w:left w:val="nil"/>
              <w:bottom w:val="nil"/>
              <w:right w:val="nil"/>
            </w:tcBorders>
          </w:tcPr>
          <w:p w14:paraId="6603BEE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1.7894</w:t>
            </w:r>
          </w:p>
        </w:tc>
      </w:tr>
      <w:tr w:rsidR="003E148C" w:rsidRPr="00BD2A98" w14:paraId="657F77A5" w14:textId="77777777" w:rsidTr="0026218B">
        <w:tc>
          <w:tcPr>
            <w:tcW w:w="0" w:type="auto"/>
            <w:tcBorders>
              <w:top w:val="nil"/>
              <w:left w:val="nil"/>
              <w:bottom w:val="nil"/>
              <w:right w:val="nil"/>
            </w:tcBorders>
          </w:tcPr>
          <w:p w14:paraId="2F1E5BDC"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tcPr>
          <w:p w14:paraId="3AB6DC6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(0.2217)</w:t>
            </w:r>
          </w:p>
        </w:tc>
        <w:tc>
          <w:tcPr>
            <w:tcW w:w="0" w:type="auto"/>
            <w:tcBorders>
              <w:top w:val="nil"/>
              <w:left w:val="nil"/>
              <w:bottom w:val="nil"/>
              <w:right w:val="nil"/>
            </w:tcBorders>
          </w:tcPr>
          <w:p w14:paraId="1432B20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(0.0655)</w:t>
            </w:r>
          </w:p>
        </w:tc>
        <w:tc>
          <w:tcPr>
            <w:tcW w:w="0" w:type="auto"/>
            <w:tcBorders>
              <w:top w:val="nil"/>
              <w:left w:val="nil"/>
              <w:bottom w:val="nil"/>
              <w:right w:val="nil"/>
            </w:tcBorders>
          </w:tcPr>
          <w:p w14:paraId="77E3FF5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(0.0369)</w:t>
            </w:r>
          </w:p>
        </w:tc>
        <w:tc>
          <w:tcPr>
            <w:tcW w:w="0" w:type="auto"/>
            <w:tcBorders>
              <w:top w:val="nil"/>
              <w:left w:val="nil"/>
              <w:bottom w:val="nil"/>
              <w:right w:val="nil"/>
            </w:tcBorders>
          </w:tcPr>
          <w:p w14:paraId="00C6CBA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(0.0451)</w:t>
            </w:r>
          </w:p>
        </w:tc>
      </w:tr>
      <w:tr w:rsidR="003E148C" w:rsidRPr="00BD2A98" w14:paraId="6C6EA139" w14:textId="77777777" w:rsidTr="0026218B">
        <w:tc>
          <w:tcPr>
            <w:tcW w:w="0" w:type="auto"/>
            <w:tcBorders>
              <w:top w:val="nil"/>
              <w:left w:val="nil"/>
              <w:bottom w:val="nil"/>
              <w:right w:val="nil"/>
            </w:tcBorders>
          </w:tcPr>
          <w:p w14:paraId="661DD4B3" w14:textId="77777777" w:rsidR="003E148C" w:rsidRPr="00BD2A98" w:rsidRDefault="003E148C" w:rsidP="0026218B">
            <w:pPr>
              <w:widowControl w:val="0"/>
              <w:autoSpaceDE w:val="0"/>
              <w:autoSpaceDN w:val="0"/>
              <w:adjustRightInd w:val="0"/>
              <w:rPr>
                <w:sz w:val="20"/>
                <w:szCs w:val="20"/>
              </w:rPr>
            </w:pPr>
            <w:r w:rsidRPr="00BD2A98">
              <w:rPr>
                <w:sz w:val="20"/>
                <w:szCs w:val="20"/>
              </w:rPr>
              <w:t xml:space="preserve">R2 </w:t>
            </w:r>
          </w:p>
        </w:tc>
        <w:tc>
          <w:tcPr>
            <w:tcW w:w="0" w:type="auto"/>
            <w:tcBorders>
              <w:top w:val="nil"/>
              <w:left w:val="nil"/>
              <w:bottom w:val="nil"/>
              <w:right w:val="nil"/>
            </w:tcBorders>
          </w:tcPr>
          <w:p w14:paraId="2175C19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0.66</w:t>
            </w:r>
          </w:p>
        </w:tc>
        <w:tc>
          <w:tcPr>
            <w:tcW w:w="0" w:type="auto"/>
            <w:tcBorders>
              <w:top w:val="nil"/>
              <w:left w:val="nil"/>
              <w:bottom w:val="nil"/>
              <w:right w:val="nil"/>
            </w:tcBorders>
          </w:tcPr>
          <w:p w14:paraId="3D90097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0.93</w:t>
            </w:r>
          </w:p>
        </w:tc>
        <w:tc>
          <w:tcPr>
            <w:tcW w:w="0" w:type="auto"/>
            <w:tcBorders>
              <w:top w:val="nil"/>
              <w:left w:val="nil"/>
              <w:bottom w:val="nil"/>
              <w:right w:val="nil"/>
            </w:tcBorders>
          </w:tcPr>
          <w:p w14:paraId="59C88EC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c>
          <w:tcPr>
            <w:tcW w:w="0" w:type="auto"/>
            <w:tcBorders>
              <w:top w:val="nil"/>
              <w:left w:val="nil"/>
              <w:bottom w:val="nil"/>
              <w:right w:val="nil"/>
            </w:tcBorders>
          </w:tcPr>
          <w:p w14:paraId="7E1AFD2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0.95</w:t>
            </w:r>
          </w:p>
        </w:tc>
      </w:tr>
      <w:tr w:rsidR="003E148C" w:rsidRPr="00BD2A98" w14:paraId="430FC5A5" w14:textId="77777777" w:rsidTr="0026218B">
        <w:tc>
          <w:tcPr>
            <w:tcW w:w="0" w:type="auto"/>
            <w:tcBorders>
              <w:top w:val="nil"/>
              <w:left w:val="nil"/>
              <w:bottom w:val="nil"/>
              <w:right w:val="nil"/>
            </w:tcBorders>
          </w:tcPr>
          <w:p w14:paraId="6B2C02D0" w14:textId="77777777" w:rsidR="003E148C" w:rsidRPr="00BD2A98" w:rsidRDefault="003E148C" w:rsidP="0026218B">
            <w:pPr>
              <w:widowControl w:val="0"/>
              <w:autoSpaceDE w:val="0"/>
              <w:autoSpaceDN w:val="0"/>
              <w:adjustRightInd w:val="0"/>
              <w:rPr>
                <w:sz w:val="20"/>
                <w:szCs w:val="20"/>
              </w:rPr>
            </w:pPr>
            <w:r w:rsidRPr="00BD2A98">
              <w:rPr>
                <w:i/>
                <w:iCs/>
                <w:sz w:val="20"/>
                <w:szCs w:val="20"/>
              </w:rPr>
              <w:t>N</w:t>
            </w:r>
          </w:p>
        </w:tc>
        <w:tc>
          <w:tcPr>
            <w:tcW w:w="0" w:type="auto"/>
            <w:tcBorders>
              <w:top w:val="nil"/>
              <w:left w:val="nil"/>
              <w:bottom w:val="nil"/>
              <w:right w:val="nil"/>
            </w:tcBorders>
          </w:tcPr>
          <w:p w14:paraId="1274D03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19,330,720</w:t>
            </w:r>
          </w:p>
        </w:tc>
        <w:tc>
          <w:tcPr>
            <w:tcW w:w="0" w:type="auto"/>
            <w:tcBorders>
              <w:top w:val="nil"/>
              <w:left w:val="nil"/>
              <w:bottom w:val="nil"/>
              <w:right w:val="nil"/>
            </w:tcBorders>
          </w:tcPr>
          <w:p w14:paraId="2663873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18,237,603</w:t>
            </w:r>
          </w:p>
        </w:tc>
        <w:tc>
          <w:tcPr>
            <w:tcW w:w="0" w:type="auto"/>
            <w:tcBorders>
              <w:top w:val="nil"/>
              <w:left w:val="nil"/>
              <w:bottom w:val="nil"/>
              <w:right w:val="nil"/>
            </w:tcBorders>
          </w:tcPr>
          <w:p w14:paraId="5346672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18,158,177</w:t>
            </w:r>
          </w:p>
        </w:tc>
        <w:tc>
          <w:tcPr>
            <w:tcW w:w="0" w:type="auto"/>
            <w:tcBorders>
              <w:top w:val="nil"/>
              <w:left w:val="nil"/>
              <w:bottom w:val="nil"/>
              <w:right w:val="nil"/>
            </w:tcBorders>
          </w:tcPr>
          <w:p w14:paraId="4EEF07E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16,367,142</w:t>
            </w:r>
          </w:p>
        </w:tc>
      </w:tr>
      <w:tr w:rsidR="003E148C" w:rsidRPr="00BD2A98" w14:paraId="77263EEE" w14:textId="77777777" w:rsidTr="0026218B">
        <w:tc>
          <w:tcPr>
            <w:tcW w:w="0" w:type="auto"/>
            <w:tcBorders>
              <w:top w:val="nil"/>
              <w:left w:val="nil"/>
              <w:right w:val="nil"/>
            </w:tcBorders>
          </w:tcPr>
          <w:p w14:paraId="4F1E2DC5" w14:textId="77777777" w:rsidR="003E148C" w:rsidRPr="00BD2A98" w:rsidRDefault="003E148C" w:rsidP="0026218B">
            <w:pPr>
              <w:widowControl w:val="0"/>
              <w:autoSpaceDE w:val="0"/>
              <w:autoSpaceDN w:val="0"/>
              <w:adjustRightInd w:val="0"/>
              <w:rPr>
                <w:sz w:val="20"/>
                <w:szCs w:val="20"/>
              </w:rPr>
            </w:pPr>
            <w:r w:rsidRPr="00BD2A98">
              <w:rPr>
                <w:sz w:val="20"/>
                <w:szCs w:val="20"/>
              </w:rPr>
              <w:t>Year FE</w:t>
            </w:r>
          </w:p>
        </w:tc>
        <w:tc>
          <w:tcPr>
            <w:tcW w:w="0" w:type="auto"/>
            <w:tcBorders>
              <w:top w:val="nil"/>
              <w:left w:val="nil"/>
              <w:right w:val="nil"/>
            </w:tcBorders>
          </w:tcPr>
          <w:p w14:paraId="53CECEC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tcPr>
          <w:p w14:paraId="3FE0B8C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tcPr>
          <w:p w14:paraId="2B1DCBD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tcPr>
          <w:p w14:paraId="3121C24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1AD171B3" w14:textId="77777777" w:rsidTr="0026218B">
        <w:tc>
          <w:tcPr>
            <w:tcW w:w="0" w:type="auto"/>
            <w:tcBorders>
              <w:top w:val="nil"/>
              <w:left w:val="nil"/>
              <w:bottom w:val="nil"/>
              <w:right w:val="nil"/>
            </w:tcBorders>
          </w:tcPr>
          <w:p w14:paraId="11493251" w14:textId="29809A35" w:rsidR="003E148C" w:rsidRPr="00BD2A98" w:rsidRDefault="004358A2" w:rsidP="0026218B">
            <w:pPr>
              <w:widowControl w:val="0"/>
              <w:autoSpaceDE w:val="0"/>
              <w:autoSpaceDN w:val="0"/>
              <w:adjustRightInd w:val="0"/>
              <w:rPr>
                <w:sz w:val="20"/>
                <w:szCs w:val="20"/>
              </w:rPr>
            </w:pPr>
            <w:r>
              <w:rPr>
                <w:sz w:val="20"/>
                <w:szCs w:val="20"/>
              </w:rPr>
              <w:t>Municipality</w:t>
            </w:r>
            <w:r w:rsidR="003E148C" w:rsidRPr="00BD2A98">
              <w:rPr>
                <w:sz w:val="20"/>
                <w:szCs w:val="20"/>
              </w:rPr>
              <w:t xml:space="preserve"> FE</w:t>
            </w:r>
          </w:p>
        </w:tc>
        <w:tc>
          <w:tcPr>
            <w:tcW w:w="0" w:type="auto"/>
            <w:tcBorders>
              <w:top w:val="nil"/>
              <w:left w:val="nil"/>
              <w:bottom w:val="nil"/>
              <w:right w:val="nil"/>
            </w:tcBorders>
          </w:tcPr>
          <w:p w14:paraId="401BF8A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0C1F3DD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25934D4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1F0841C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1264BFDB" w14:textId="77777777" w:rsidTr="0026218B">
        <w:tc>
          <w:tcPr>
            <w:tcW w:w="0" w:type="auto"/>
            <w:tcBorders>
              <w:top w:val="nil"/>
              <w:left w:val="nil"/>
              <w:bottom w:val="nil"/>
              <w:right w:val="nil"/>
            </w:tcBorders>
          </w:tcPr>
          <w:p w14:paraId="7003AF26" w14:textId="77777777" w:rsidR="003E148C" w:rsidRPr="00BD2A98" w:rsidRDefault="003E148C" w:rsidP="0026218B">
            <w:pPr>
              <w:widowControl w:val="0"/>
              <w:autoSpaceDE w:val="0"/>
              <w:autoSpaceDN w:val="0"/>
              <w:adjustRightInd w:val="0"/>
              <w:rPr>
                <w:sz w:val="20"/>
                <w:szCs w:val="20"/>
              </w:rPr>
            </w:pPr>
            <w:r w:rsidRPr="00BD2A98">
              <w:rPr>
                <w:sz w:val="20"/>
                <w:szCs w:val="20"/>
              </w:rPr>
              <w:t>Worker FE</w:t>
            </w:r>
          </w:p>
        </w:tc>
        <w:tc>
          <w:tcPr>
            <w:tcW w:w="0" w:type="auto"/>
            <w:tcBorders>
              <w:top w:val="nil"/>
              <w:left w:val="nil"/>
              <w:bottom w:val="nil"/>
              <w:right w:val="nil"/>
            </w:tcBorders>
          </w:tcPr>
          <w:p w14:paraId="58633DD0"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72473BE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31D15FD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48557B3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45CB0421" w14:textId="77777777" w:rsidTr="0026218B">
        <w:tc>
          <w:tcPr>
            <w:tcW w:w="0" w:type="auto"/>
            <w:tcBorders>
              <w:top w:val="nil"/>
              <w:left w:val="nil"/>
              <w:bottom w:val="nil"/>
              <w:right w:val="nil"/>
            </w:tcBorders>
          </w:tcPr>
          <w:p w14:paraId="3E20E3FD" w14:textId="77777777" w:rsidR="003E148C" w:rsidRPr="00BD2A98" w:rsidRDefault="003E148C" w:rsidP="0026218B">
            <w:pPr>
              <w:widowControl w:val="0"/>
              <w:autoSpaceDE w:val="0"/>
              <w:autoSpaceDN w:val="0"/>
              <w:adjustRightInd w:val="0"/>
              <w:rPr>
                <w:sz w:val="20"/>
                <w:szCs w:val="20"/>
              </w:rPr>
            </w:pPr>
            <w:r w:rsidRPr="00BD2A98">
              <w:rPr>
                <w:sz w:val="20"/>
                <w:szCs w:val="20"/>
              </w:rPr>
              <w:t>Firm FE</w:t>
            </w:r>
          </w:p>
        </w:tc>
        <w:tc>
          <w:tcPr>
            <w:tcW w:w="0" w:type="auto"/>
            <w:tcBorders>
              <w:top w:val="nil"/>
              <w:left w:val="nil"/>
              <w:bottom w:val="nil"/>
              <w:right w:val="nil"/>
            </w:tcBorders>
          </w:tcPr>
          <w:p w14:paraId="0ED739EE"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71D60AD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tcPr>
          <w:p w14:paraId="3B6AE0D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tcPr>
          <w:p w14:paraId="0E3FEF4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489EEA1B" w14:textId="77777777" w:rsidTr="0026218B">
        <w:tc>
          <w:tcPr>
            <w:tcW w:w="0" w:type="auto"/>
            <w:tcBorders>
              <w:top w:val="nil"/>
              <w:left w:val="nil"/>
              <w:bottom w:val="single" w:sz="4" w:space="0" w:color="auto"/>
              <w:right w:val="nil"/>
            </w:tcBorders>
          </w:tcPr>
          <w:p w14:paraId="186A4C91" w14:textId="77777777" w:rsidR="003E148C" w:rsidRPr="00BD2A98" w:rsidRDefault="003E148C" w:rsidP="0026218B">
            <w:pPr>
              <w:widowControl w:val="0"/>
              <w:autoSpaceDE w:val="0"/>
              <w:autoSpaceDN w:val="0"/>
              <w:adjustRightInd w:val="0"/>
              <w:rPr>
                <w:sz w:val="20"/>
                <w:szCs w:val="20"/>
              </w:rPr>
            </w:pPr>
            <w:r w:rsidRPr="00BD2A98">
              <w:rPr>
                <w:sz w:val="20"/>
                <w:szCs w:val="20"/>
              </w:rPr>
              <w:t>Worker &amp; Firm FE</w:t>
            </w:r>
          </w:p>
        </w:tc>
        <w:tc>
          <w:tcPr>
            <w:tcW w:w="0" w:type="auto"/>
            <w:tcBorders>
              <w:top w:val="nil"/>
              <w:left w:val="nil"/>
              <w:bottom w:val="single" w:sz="4" w:space="0" w:color="auto"/>
              <w:right w:val="nil"/>
            </w:tcBorders>
          </w:tcPr>
          <w:p w14:paraId="410823B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704E7FB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0E875D3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single" w:sz="4" w:space="0" w:color="auto"/>
              <w:right w:val="nil"/>
            </w:tcBorders>
          </w:tcPr>
          <w:p w14:paraId="7A0FBBA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F93F29" w14:paraId="3831FEE2" w14:textId="77777777" w:rsidTr="0026218B">
        <w:tblPrEx>
          <w:tblCellMar>
            <w:left w:w="70" w:type="dxa"/>
            <w:right w:w="70" w:type="dxa"/>
          </w:tblCellMar>
          <w:tblLook w:val="04A0" w:firstRow="1" w:lastRow="0" w:firstColumn="1" w:lastColumn="0" w:noHBand="0" w:noVBand="1"/>
        </w:tblPrEx>
        <w:trPr>
          <w:trHeight w:val="20"/>
        </w:trPr>
        <w:tc>
          <w:tcPr>
            <w:tcW w:w="0" w:type="auto"/>
            <w:gridSpan w:val="2"/>
            <w:tcBorders>
              <w:top w:val="nil"/>
              <w:left w:val="nil"/>
              <w:bottom w:val="nil"/>
              <w:right w:val="nil"/>
            </w:tcBorders>
            <w:shd w:val="clear" w:color="auto" w:fill="auto"/>
            <w:noWrap/>
            <w:vAlign w:val="bottom"/>
            <w:hideMark/>
          </w:tcPr>
          <w:p w14:paraId="1387F224" w14:textId="77777777" w:rsidR="003E148C" w:rsidRPr="00B200A7" w:rsidRDefault="003E148C" w:rsidP="0026218B">
            <w:pPr>
              <w:rPr>
                <w:sz w:val="20"/>
                <w:szCs w:val="20"/>
                <w:lang w:eastAsia="pt-PT"/>
              </w:rPr>
            </w:pPr>
            <w:r w:rsidRPr="00B200A7">
              <w:rPr>
                <w:sz w:val="20"/>
                <w:szCs w:val="20"/>
                <w:lang w:eastAsia="pt-PT"/>
              </w:rPr>
              <w:t>Robust standard errors clustered by municipality in brackets</w:t>
            </w:r>
          </w:p>
        </w:tc>
        <w:tc>
          <w:tcPr>
            <w:tcW w:w="0" w:type="auto"/>
            <w:tcBorders>
              <w:top w:val="nil"/>
              <w:left w:val="nil"/>
              <w:bottom w:val="nil"/>
              <w:right w:val="nil"/>
            </w:tcBorders>
            <w:shd w:val="clear" w:color="auto" w:fill="auto"/>
            <w:noWrap/>
            <w:vAlign w:val="bottom"/>
            <w:hideMark/>
          </w:tcPr>
          <w:p w14:paraId="61610ADF" w14:textId="77777777" w:rsidR="003E148C" w:rsidRPr="00F93F29" w:rsidRDefault="003E148C" w:rsidP="0026218B">
            <w:pPr>
              <w:rPr>
                <w:sz w:val="16"/>
                <w:szCs w:val="16"/>
                <w:lang w:eastAsia="pt-PT"/>
              </w:rPr>
            </w:pPr>
          </w:p>
        </w:tc>
        <w:tc>
          <w:tcPr>
            <w:tcW w:w="0" w:type="auto"/>
            <w:tcBorders>
              <w:top w:val="nil"/>
              <w:left w:val="nil"/>
              <w:bottom w:val="nil"/>
              <w:right w:val="nil"/>
            </w:tcBorders>
            <w:shd w:val="clear" w:color="auto" w:fill="auto"/>
            <w:noWrap/>
            <w:vAlign w:val="bottom"/>
            <w:hideMark/>
          </w:tcPr>
          <w:p w14:paraId="62EAE4E7" w14:textId="77777777" w:rsidR="003E148C" w:rsidRPr="00F93F29" w:rsidRDefault="003E148C" w:rsidP="0026218B">
            <w:pPr>
              <w:rPr>
                <w:sz w:val="16"/>
                <w:szCs w:val="16"/>
                <w:lang w:eastAsia="pt-PT"/>
              </w:rPr>
            </w:pPr>
          </w:p>
        </w:tc>
        <w:tc>
          <w:tcPr>
            <w:tcW w:w="0" w:type="auto"/>
            <w:tcBorders>
              <w:top w:val="nil"/>
              <w:left w:val="nil"/>
              <w:bottom w:val="nil"/>
              <w:right w:val="nil"/>
            </w:tcBorders>
            <w:shd w:val="clear" w:color="auto" w:fill="auto"/>
            <w:noWrap/>
            <w:vAlign w:val="bottom"/>
            <w:hideMark/>
          </w:tcPr>
          <w:p w14:paraId="685C4E3A" w14:textId="77777777" w:rsidR="003E148C" w:rsidRPr="00F93F29" w:rsidRDefault="003E148C" w:rsidP="0026218B">
            <w:pPr>
              <w:rPr>
                <w:sz w:val="16"/>
                <w:szCs w:val="16"/>
                <w:lang w:eastAsia="pt-PT"/>
              </w:rPr>
            </w:pPr>
          </w:p>
        </w:tc>
      </w:tr>
    </w:tbl>
    <w:p w14:paraId="710BE895" w14:textId="77777777" w:rsidR="003E148C" w:rsidRDefault="003E148C" w:rsidP="003E148C">
      <w:pPr>
        <w:pStyle w:val="TableCaption"/>
        <w:spacing w:line="240" w:lineRule="auto"/>
        <w:rPr>
          <w:b/>
        </w:rPr>
      </w:pPr>
    </w:p>
    <w:p w14:paraId="70E69D14" w14:textId="77777777" w:rsidR="003E148C" w:rsidRDefault="003E148C" w:rsidP="003E148C">
      <w:pPr>
        <w:spacing w:after="160" w:line="259" w:lineRule="auto"/>
        <w:rPr>
          <w:b/>
          <w:sz w:val="22"/>
          <w:szCs w:val="22"/>
        </w:rPr>
      </w:pPr>
      <w:r>
        <w:rPr>
          <w:b/>
        </w:rPr>
        <w:br w:type="page"/>
      </w:r>
    </w:p>
    <w:p w14:paraId="5A24F955" w14:textId="77777777" w:rsidR="003E148C" w:rsidRDefault="003E148C" w:rsidP="003E148C">
      <w:pPr>
        <w:pStyle w:val="TableCaption"/>
        <w:spacing w:line="240" w:lineRule="auto"/>
        <w:rPr>
          <w:b/>
        </w:rPr>
      </w:pPr>
      <w:r w:rsidRPr="00B200A7">
        <w:rPr>
          <w:b/>
        </w:rPr>
        <w:t>Table A</w:t>
      </w:r>
      <w:r>
        <w:rPr>
          <w:b/>
        </w:rPr>
        <w:t>11</w:t>
      </w:r>
      <w:r w:rsidRPr="00B200A7">
        <w:rPr>
          <w:b/>
        </w:rPr>
        <w:t>. Effect of the reform on entrepreneurship – female employees above and below fertility age</w:t>
      </w:r>
    </w:p>
    <w:p w14:paraId="577E0F77" w14:textId="77777777" w:rsidR="003E148C" w:rsidRPr="007E42ED" w:rsidRDefault="003E148C" w:rsidP="003E148C">
      <w:pPr>
        <w:pStyle w:val="TableCaption"/>
        <w:spacing w:line="240" w:lineRule="auto"/>
        <w:rPr>
          <w:b/>
          <w:sz w:val="24"/>
          <w:szCs w:val="24"/>
        </w:rPr>
      </w:pPr>
    </w:p>
    <w:tbl>
      <w:tblPr>
        <w:tblW w:w="0" w:type="auto"/>
        <w:jc w:val="center"/>
        <w:tblCellMar>
          <w:left w:w="144" w:type="dxa"/>
          <w:right w:w="144" w:type="dxa"/>
        </w:tblCellMar>
        <w:tblLook w:val="0000" w:firstRow="0" w:lastRow="0" w:firstColumn="0" w:lastColumn="0" w:noHBand="0" w:noVBand="0"/>
      </w:tblPr>
      <w:tblGrid>
        <w:gridCol w:w="3982"/>
        <w:gridCol w:w="974"/>
        <w:gridCol w:w="544"/>
        <w:gridCol w:w="1196"/>
        <w:gridCol w:w="614"/>
        <w:gridCol w:w="574"/>
        <w:gridCol w:w="614"/>
        <w:gridCol w:w="574"/>
      </w:tblGrid>
      <w:tr w:rsidR="003E148C" w:rsidRPr="003E5F33" w14:paraId="40B6BF7D" w14:textId="77777777" w:rsidTr="0026218B">
        <w:trPr>
          <w:trHeight w:hRule="exact" w:val="492"/>
          <w:jc w:val="center"/>
        </w:trPr>
        <w:tc>
          <w:tcPr>
            <w:tcW w:w="0" w:type="auto"/>
            <w:tcBorders>
              <w:top w:val="single" w:sz="6" w:space="0" w:color="auto"/>
              <w:left w:val="nil"/>
              <w:bottom w:val="single" w:sz="4" w:space="0" w:color="auto"/>
              <w:right w:val="nil"/>
            </w:tcBorders>
          </w:tcPr>
          <w:p w14:paraId="1A241D0D" w14:textId="77777777" w:rsidR="003E148C" w:rsidRPr="003E5F33" w:rsidRDefault="003E148C" w:rsidP="0026218B">
            <w:pPr>
              <w:widowControl w:val="0"/>
              <w:autoSpaceDE w:val="0"/>
              <w:autoSpaceDN w:val="0"/>
              <w:adjustRightInd w:val="0"/>
              <w:spacing w:before="79" w:after="79"/>
              <w:rPr>
                <w:sz w:val="20"/>
                <w:szCs w:val="20"/>
              </w:rPr>
            </w:pPr>
          </w:p>
        </w:tc>
        <w:tc>
          <w:tcPr>
            <w:tcW w:w="0" w:type="auto"/>
            <w:gridSpan w:val="3"/>
            <w:tcBorders>
              <w:top w:val="single" w:sz="6" w:space="0" w:color="auto"/>
              <w:left w:val="nil"/>
              <w:bottom w:val="single" w:sz="4" w:space="0" w:color="auto"/>
              <w:right w:val="nil"/>
            </w:tcBorders>
          </w:tcPr>
          <w:p w14:paraId="767B46DF" w14:textId="77777777" w:rsidR="003E148C" w:rsidRPr="00683FB9" w:rsidRDefault="003E148C" w:rsidP="0026218B">
            <w:pPr>
              <w:widowControl w:val="0"/>
              <w:autoSpaceDE w:val="0"/>
              <w:autoSpaceDN w:val="0"/>
              <w:adjustRightInd w:val="0"/>
              <w:jc w:val="center"/>
              <w:rPr>
                <w:sz w:val="20"/>
                <w:szCs w:val="20"/>
              </w:rPr>
            </w:pPr>
            <w:r>
              <w:rPr>
                <w:sz w:val="20"/>
                <w:szCs w:val="20"/>
              </w:rPr>
              <w:t>Above fertility age</w:t>
            </w:r>
          </w:p>
          <w:p w14:paraId="725AE054" w14:textId="77777777" w:rsidR="003E148C" w:rsidRPr="006B7259" w:rsidRDefault="003E148C" w:rsidP="0026218B">
            <w:pPr>
              <w:widowControl w:val="0"/>
              <w:autoSpaceDE w:val="0"/>
              <w:autoSpaceDN w:val="0"/>
              <w:adjustRightInd w:val="0"/>
              <w:jc w:val="center"/>
              <w:rPr>
                <w:sz w:val="20"/>
                <w:szCs w:val="20"/>
              </w:rPr>
            </w:pPr>
          </w:p>
        </w:tc>
        <w:tc>
          <w:tcPr>
            <w:tcW w:w="0" w:type="auto"/>
            <w:gridSpan w:val="4"/>
            <w:tcBorders>
              <w:top w:val="single" w:sz="6" w:space="0" w:color="auto"/>
              <w:left w:val="nil"/>
              <w:bottom w:val="single" w:sz="4" w:space="0" w:color="auto"/>
              <w:right w:val="nil"/>
            </w:tcBorders>
          </w:tcPr>
          <w:p w14:paraId="235CF885" w14:textId="77777777" w:rsidR="003E148C" w:rsidRPr="00683FB9" w:rsidDel="00BB71F9" w:rsidRDefault="003E148C" w:rsidP="0026218B">
            <w:pPr>
              <w:widowControl w:val="0"/>
              <w:autoSpaceDE w:val="0"/>
              <w:autoSpaceDN w:val="0"/>
              <w:adjustRightInd w:val="0"/>
              <w:jc w:val="center"/>
              <w:rPr>
                <w:sz w:val="20"/>
                <w:szCs w:val="20"/>
              </w:rPr>
            </w:pPr>
            <w:r>
              <w:rPr>
                <w:sz w:val="20"/>
                <w:szCs w:val="20"/>
              </w:rPr>
              <w:t>Below fertility age</w:t>
            </w:r>
          </w:p>
        </w:tc>
      </w:tr>
      <w:tr w:rsidR="003E148C" w:rsidRPr="003E5F33" w14:paraId="494308AE" w14:textId="77777777" w:rsidTr="0026218B">
        <w:trPr>
          <w:trHeight w:hRule="exact" w:val="216"/>
          <w:jc w:val="center"/>
        </w:trPr>
        <w:tc>
          <w:tcPr>
            <w:tcW w:w="0" w:type="auto"/>
            <w:tcBorders>
              <w:top w:val="single" w:sz="4" w:space="0" w:color="auto"/>
              <w:left w:val="nil"/>
              <w:bottom w:val="nil"/>
              <w:right w:val="nil"/>
            </w:tcBorders>
          </w:tcPr>
          <w:p w14:paraId="3DDCE897" w14:textId="77777777" w:rsidR="003E148C" w:rsidRPr="00A33583" w:rsidRDefault="003E148C" w:rsidP="0026218B">
            <w:pPr>
              <w:widowControl w:val="0"/>
              <w:autoSpaceDE w:val="0"/>
              <w:autoSpaceDN w:val="0"/>
              <w:adjustRightInd w:val="0"/>
              <w:rPr>
                <w:sz w:val="20"/>
                <w:szCs w:val="20"/>
              </w:rPr>
            </w:pPr>
          </w:p>
        </w:tc>
        <w:tc>
          <w:tcPr>
            <w:tcW w:w="0" w:type="auto"/>
            <w:gridSpan w:val="2"/>
            <w:tcBorders>
              <w:top w:val="single" w:sz="4" w:space="0" w:color="auto"/>
              <w:left w:val="nil"/>
              <w:bottom w:val="nil"/>
              <w:right w:val="nil"/>
            </w:tcBorders>
          </w:tcPr>
          <w:p w14:paraId="5ED3BBF3" w14:textId="77777777" w:rsidR="003E148C" w:rsidRPr="00683FB9" w:rsidRDefault="003E148C" w:rsidP="0026218B">
            <w:pPr>
              <w:widowControl w:val="0"/>
              <w:autoSpaceDE w:val="0"/>
              <w:autoSpaceDN w:val="0"/>
              <w:adjustRightInd w:val="0"/>
              <w:jc w:val="center"/>
              <w:rPr>
                <w:sz w:val="20"/>
                <w:szCs w:val="20"/>
              </w:rPr>
            </w:pPr>
            <w:r>
              <w:rPr>
                <w:sz w:val="20"/>
                <w:szCs w:val="20"/>
              </w:rPr>
              <w:t>1</w:t>
            </w:r>
          </w:p>
        </w:tc>
        <w:tc>
          <w:tcPr>
            <w:tcW w:w="0" w:type="auto"/>
            <w:tcBorders>
              <w:top w:val="single" w:sz="4" w:space="0" w:color="auto"/>
              <w:left w:val="nil"/>
              <w:bottom w:val="nil"/>
              <w:right w:val="nil"/>
            </w:tcBorders>
          </w:tcPr>
          <w:p w14:paraId="7BDE43F9" w14:textId="77777777" w:rsidR="003E148C" w:rsidRPr="006B7259" w:rsidRDefault="003E148C" w:rsidP="0026218B">
            <w:pPr>
              <w:widowControl w:val="0"/>
              <w:autoSpaceDE w:val="0"/>
              <w:autoSpaceDN w:val="0"/>
              <w:adjustRightInd w:val="0"/>
              <w:jc w:val="center"/>
              <w:rPr>
                <w:sz w:val="20"/>
                <w:szCs w:val="20"/>
              </w:rPr>
            </w:pPr>
            <w:r>
              <w:rPr>
                <w:sz w:val="20"/>
                <w:szCs w:val="20"/>
              </w:rPr>
              <w:t>2</w:t>
            </w:r>
          </w:p>
        </w:tc>
        <w:tc>
          <w:tcPr>
            <w:tcW w:w="0" w:type="auto"/>
            <w:gridSpan w:val="2"/>
            <w:tcBorders>
              <w:top w:val="single" w:sz="4" w:space="0" w:color="auto"/>
              <w:left w:val="nil"/>
              <w:bottom w:val="nil"/>
              <w:right w:val="nil"/>
            </w:tcBorders>
          </w:tcPr>
          <w:p w14:paraId="18E29A7A" w14:textId="77777777" w:rsidR="003E148C" w:rsidRDefault="003E148C" w:rsidP="0026218B">
            <w:pPr>
              <w:widowControl w:val="0"/>
              <w:autoSpaceDE w:val="0"/>
              <w:autoSpaceDN w:val="0"/>
              <w:adjustRightInd w:val="0"/>
              <w:jc w:val="center"/>
              <w:rPr>
                <w:sz w:val="20"/>
                <w:szCs w:val="20"/>
              </w:rPr>
            </w:pPr>
            <w:r>
              <w:rPr>
                <w:sz w:val="20"/>
                <w:szCs w:val="20"/>
              </w:rPr>
              <w:t>3</w:t>
            </w:r>
          </w:p>
        </w:tc>
        <w:tc>
          <w:tcPr>
            <w:tcW w:w="0" w:type="auto"/>
            <w:gridSpan w:val="2"/>
            <w:tcBorders>
              <w:top w:val="single" w:sz="4" w:space="0" w:color="auto"/>
              <w:left w:val="nil"/>
              <w:bottom w:val="nil"/>
              <w:right w:val="nil"/>
            </w:tcBorders>
          </w:tcPr>
          <w:p w14:paraId="484CE6E7" w14:textId="77777777" w:rsidR="003E148C" w:rsidRDefault="003E148C" w:rsidP="0026218B">
            <w:pPr>
              <w:widowControl w:val="0"/>
              <w:autoSpaceDE w:val="0"/>
              <w:autoSpaceDN w:val="0"/>
              <w:adjustRightInd w:val="0"/>
              <w:jc w:val="center"/>
              <w:rPr>
                <w:sz w:val="20"/>
                <w:szCs w:val="20"/>
              </w:rPr>
            </w:pPr>
            <w:r>
              <w:rPr>
                <w:sz w:val="20"/>
                <w:szCs w:val="20"/>
              </w:rPr>
              <w:t>4</w:t>
            </w:r>
          </w:p>
        </w:tc>
      </w:tr>
      <w:tr w:rsidR="003E148C" w:rsidRPr="003E5F33" w14:paraId="1E053DF5" w14:textId="77777777" w:rsidTr="0026218B">
        <w:trPr>
          <w:trHeight w:hRule="exact" w:val="216"/>
          <w:jc w:val="center"/>
        </w:trPr>
        <w:tc>
          <w:tcPr>
            <w:tcW w:w="0" w:type="auto"/>
            <w:tcBorders>
              <w:top w:val="single" w:sz="4" w:space="0" w:color="auto"/>
              <w:left w:val="nil"/>
              <w:bottom w:val="nil"/>
              <w:right w:val="nil"/>
            </w:tcBorders>
          </w:tcPr>
          <w:p w14:paraId="2BB0D01B" w14:textId="77777777" w:rsidR="003E148C" w:rsidRPr="003E5F33" w:rsidRDefault="003E148C" w:rsidP="0026218B">
            <w:pPr>
              <w:widowControl w:val="0"/>
              <w:autoSpaceDE w:val="0"/>
              <w:autoSpaceDN w:val="0"/>
              <w:adjustRightInd w:val="0"/>
              <w:rPr>
                <w:sz w:val="20"/>
                <w:szCs w:val="20"/>
              </w:rPr>
            </w:pPr>
            <w:r w:rsidRPr="00A33583">
              <w:rPr>
                <w:sz w:val="20"/>
                <w:szCs w:val="20"/>
              </w:rPr>
              <w:t>Entry deregulation</w:t>
            </w:r>
          </w:p>
        </w:tc>
        <w:tc>
          <w:tcPr>
            <w:tcW w:w="0" w:type="auto"/>
            <w:gridSpan w:val="2"/>
            <w:tcBorders>
              <w:top w:val="single" w:sz="4" w:space="0" w:color="auto"/>
              <w:left w:val="nil"/>
              <w:bottom w:val="nil"/>
              <w:right w:val="nil"/>
            </w:tcBorders>
          </w:tcPr>
          <w:p w14:paraId="392C6DEE"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tcBorders>
              <w:top w:val="single" w:sz="4" w:space="0" w:color="auto"/>
              <w:left w:val="nil"/>
              <w:bottom w:val="nil"/>
              <w:right w:val="nil"/>
            </w:tcBorders>
          </w:tcPr>
          <w:p w14:paraId="7882204B"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-0.0002</w:t>
            </w:r>
          </w:p>
        </w:tc>
        <w:tc>
          <w:tcPr>
            <w:tcW w:w="0" w:type="auto"/>
            <w:gridSpan w:val="2"/>
            <w:tcBorders>
              <w:top w:val="single" w:sz="4" w:space="0" w:color="auto"/>
              <w:left w:val="nil"/>
              <w:bottom w:val="nil"/>
              <w:right w:val="nil"/>
            </w:tcBorders>
          </w:tcPr>
          <w:p w14:paraId="331DDF79"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0.0002</w:t>
            </w:r>
          </w:p>
        </w:tc>
        <w:tc>
          <w:tcPr>
            <w:tcW w:w="0" w:type="auto"/>
            <w:gridSpan w:val="2"/>
            <w:tcBorders>
              <w:top w:val="single" w:sz="4" w:space="0" w:color="auto"/>
              <w:left w:val="nil"/>
              <w:bottom w:val="nil"/>
              <w:right w:val="nil"/>
            </w:tcBorders>
          </w:tcPr>
          <w:p w14:paraId="1C12F31C"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-0.0004</w:t>
            </w:r>
          </w:p>
        </w:tc>
      </w:tr>
      <w:tr w:rsidR="003E148C" w:rsidRPr="003E5F33" w14:paraId="5892A823" w14:textId="77777777" w:rsidTr="0026218B">
        <w:trPr>
          <w:trHeight w:hRule="exact" w:val="216"/>
          <w:jc w:val="center"/>
        </w:trPr>
        <w:tc>
          <w:tcPr>
            <w:tcW w:w="0" w:type="auto"/>
            <w:tcBorders>
              <w:top w:val="nil"/>
              <w:left w:val="nil"/>
              <w:bottom w:val="nil"/>
              <w:right w:val="nil"/>
            </w:tcBorders>
          </w:tcPr>
          <w:p w14:paraId="4A26B01A"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493EB5F4"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(0.0002)</w:t>
            </w:r>
          </w:p>
        </w:tc>
        <w:tc>
          <w:tcPr>
            <w:tcW w:w="0" w:type="auto"/>
            <w:tcBorders>
              <w:top w:val="nil"/>
              <w:left w:val="nil"/>
              <w:bottom w:val="nil"/>
              <w:right w:val="nil"/>
            </w:tcBorders>
          </w:tcPr>
          <w:p w14:paraId="05D729AF"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(0.0002)</w:t>
            </w:r>
          </w:p>
        </w:tc>
        <w:tc>
          <w:tcPr>
            <w:tcW w:w="0" w:type="auto"/>
            <w:gridSpan w:val="2"/>
            <w:tcBorders>
              <w:top w:val="nil"/>
              <w:left w:val="nil"/>
              <w:bottom w:val="nil"/>
              <w:right w:val="nil"/>
            </w:tcBorders>
          </w:tcPr>
          <w:p w14:paraId="2A66E276"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(0.0003)</w:t>
            </w:r>
          </w:p>
        </w:tc>
        <w:tc>
          <w:tcPr>
            <w:tcW w:w="0" w:type="auto"/>
            <w:gridSpan w:val="2"/>
            <w:tcBorders>
              <w:top w:val="nil"/>
              <w:left w:val="nil"/>
              <w:bottom w:val="nil"/>
              <w:right w:val="nil"/>
            </w:tcBorders>
          </w:tcPr>
          <w:p w14:paraId="480A9212"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(0.0004)</w:t>
            </w:r>
          </w:p>
        </w:tc>
      </w:tr>
      <w:tr w:rsidR="003E148C" w:rsidRPr="003E5F33" w14:paraId="4AED6C53" w14:textId="77777777" w:rsidTr="0026218B">
        <w:trPr>
          <w:trHeight w:hRule="exact" w:val="216"/>
          <w:jc w:val="center"/>
        </w:trPr>
        <w:tc>
          <w:tcPr>
            <w:tcW w:w="0" w:type="auto"/>
            <w:tcBorders>
              <w:top w:val="nil"/>
              <w:left w:val="nil"/>
              <w:bottom w:val="nil"/>
              <w:right w:val="nil"/>
            </w:tcBorders>
          </w:tcPr>
          <w:p w14:paraId="0D491A43" w14:textId="77777777" w:rsidR="003E148C" w:rsidRPr="003E5F33" w:rsidRDefault="003E148C" w:rsidP="0026218B">
            <w:pPr>
              <w:widowControl w:val="0"/>
              <w:autoSpaceDE w:val="0"/>
              <w:autoSpaceDN w:val="0"/>
              <w:adjustRightInd w:val="0"/>
              <w:rPr>
                <w:sz w:val="20"/>
                <w:szCs w:val="20"/>
              </w:rPr>
            </w:pPr>
            <w:r w:rsidRPr="00A33583">
              <w:rPr>
                <w:sz w:val="20"/>
                <w:szCs w:val="20"/>
              </w:rPr>
              <w:t>Female</w:t>
            </w:r>
          </w:p>
        </w:tc>
        <w:tc>
          <w:tcPr>
            <w:tcW w:w="0" w:type="auto"/>
            <w:gridSpan w:val="2"/>
            <w:tcBorders>
              <w:top w:val="nil"/>
              <w:left w:val="nil"/>
              <w:bottom w:val="nil"/>
              <w:right w:val="nil"/>
            </w:tcBorders>
          </w:tcPr>
          <w:p w14:paraId="4881441F"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-0.0007</w:t>
            </w:r>
          </w:p>
        </w:tc>
        <w:tc>
          <w:tcPr>
            <w:tcW w:w="0" w:type="auto"/>
            <w:tcBorders>
              <w:top w:val="nil"/>
              <w:left w:val="nil"/>
              <w:bottom w:val="nil"/>
              <w:right w:val="nil"/>
            </w:tcBorders>
          </w:tcPr>
          <w:p w14:paraId="221F338D" w14:textId="77777777" w:rsidR="003E148C" w:rsidRPr="006B7259" w:rsidRDefault="003E148C" w:rsidP="0026218B">
            <w:pPr>
              <w:widowControl w:val="0"/>
              <w:autoSpaceDE w:val="0"/>
              <w:autoSpaceDN w:val="0"/>
              <w:adjustRightInd w:val="0"/>
              <w:jc w:val="center"/>
              <w:rPr>
                <w:sz w:val="20"/>
                <w:szCs w:val="20"/>
              </w:rPr>
            </w:pPr>
          </w:p>
        </w:tc>
        <w:tc>
          <w:tcPr>
            <w:tcW w:w="0" w:type="auto"/>
            <w:gridSpan w:val="2"/>
            <w:tcBorders>
              <w:top w:val="nil"/>
              <w:left w:val="nil"/>
              <w:bottom w:val="nil"/>
              <w:right w:val="nil"/>
            </w:tcBorders>
          </w:tcPr>
          <w:p w14:paraId="22097D58"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-0.0007</w:t>
            </w:r>
          </w:p>
        </w:tc>
        <w:tc>
          <w:tcPr>
            <w:tcW w:w="0" w:type="auto"/>
            <w:gridSpan w:val="2"/>
            <w:tcBorders>
              <w:top w:val="nil"/>
              <w:left w:val="nil"/>
              <w:bottom w:val="nil"/>
              <w:right w:val="nil"/>
            </w:tcBorders>
          </w:tcPr>
          <w:p w14:paraId="611A59A1" w14:textId="77777777" w:rsidR="003E148C" w:rsidRPr="006B7259" w:rsidRDefault="003E148C" w:rsidP="0026218B">
            <w:pPr>
              <w:widowControl w:val="0"/>
              <w:autoSpaceDE w:val="0"/>
              <w:autoSpaceDN w:val="0"/>
              <w:adjustRightInd w:val="0"/>
              <w:jc w:val="center"/>
              <w:rPr>
                <w:sz w:val="20"/>
                <w:szCs w:val="20"/>
              </w:rPr>
            </w:pPr>
          </w:p>
        </w:tc>
      </w:tr>
      <w:tr w:rsidR="003E148C" w:rsidRPr="003E5F33" w14:paraId="04768EB1" w14:textId="77777777" w:rsidTr="0026218B">
        <w:trPr>
          <w:trHeight w:hRule="exact" w:val="216"/>
          <w:jc w:val="center"/>
        </w:trPr>
        <w:tc>
          <w:tcPr>
            <w:tcW w:w="0" w:type="auto"/>
            <w:tcBorders>
              <w:top w:val="nil"/>
              <w:left w:val="nil"/>
              <w:bottom w:val="nil"/>
              <w:right w:val="nil"/>
            </w:tcBorders>
          </w:tcPr>
          <w:p w14:paraId="11618924"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65D6ED83"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tcBorders>
              <w:top w:val="nil"/>
              <w:left w:val="nil"/>
              <w:bottom w:val="nil"/>
              <w:right w:val="nil"/>
            </w:tcBorders>
          </w:tcPr>
          <w:p w14:paraId="0162A6B7" w14:textId="77777777" w:rsidR="003E148C" w:rsidRPr="006B7259" w:rsidRDefault="003E148C" w:rsidP="0026218B">
            <w:pPr>
              <w:widowControl w:val="0"/>
              <w:autoSpaceDE w:val="0"/>
              <w:autoSpaceDN w:val="0"/>
              <w:adjustRightInd w:val="0"/>
              <w:jc w:val="center"/>
              <w:rPr>
                <w:sz w:val="20"/>
                <w:szCs w:val="20"/>
              </w:rPr>
            </w:pPr>
          </w:p>
        </w:tc>
        <w:tc>
          <w:tcPr>
            <w:tcW w:w="0" w:type="auto"/>
            <w:gridSpan w:val="2"/>
            <w:tcBorders>
              <w:top w:val="nil"/>
              <w:left w:val="nil"/>
              <w:bottom w:val="nil"/>
              <w:right w:val="nil"/>
            </w:tcBorders>
          </w:tcPr>
          <w:p w14:paraId="40A27214"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(0.0002)</w:t>
            </w:r>
          </w:p>
        </w:tc>
        <w:tc>
          <w:tcPr>
            <w:tcW w:w="0" w:type="auto"/>
            <w:gridSpan w:val="2"/>
            <w:tcBorders>
              <w:top w:val="nil"/>
              <w:left w:val="nil"/>
              <w:bottom w:val="nil"/>
              <w:right w:val="nil"/>
            </w:tcBorders>
          </w:tcPr>
          <w:p w14:paraId="32FF3A91" w14:textId="77777777" w:rsidR="003E148C" w:rsidRPr="006B7259" w:rsidRDefault="003E148C" w:rsidP="0026218B">
            <w:pPr>
              <w:widowControl w:val="0"/>
              <w:autoSpaceDE w:val="0"/>
              <w:autoSpaceDN w:val="0"/>
              <w:adjustRightInd w:val="0"/>
              <w:jc w:val="center"/>
              <w:rPr>
                <w:sz w:val="20"/>
                <w:szCs w:val="20"/>
              </w:rPr>
            </w:pPr>
          </w:p>
        </w:tc>
      </w:tr>
      <w:tr w:rsidR="003E148C" w:rsidRPr="00782298" w14:paraId="5184B9E4" w14:textId="77777777" w:rsidTr="0026218B">
        <w:trPr>
          <w:trHeight w:hRule="exact" w:val="216"/>
          <w:jc w:val="center"/>
        </w:trPr>
        <w:tc>
          <w:tcPr>
            <w:tcW w:w="0" w:type="auto"/>
            <w:tcBorders>
              <w:top w:val="nil"/>
              <w:left w:val="nil"/>
              <w:bottom w:val="nil"/>
              <w:right w:val="nil"/>
            </w:tcBorders>
          </w:tcPr>
          <w:p w14:paraId="534CD0C0" w14:textId="77777777" w:rsidR="003E148C" w:rsidRPr="00153E66" w:rsidRDefault="003E148C" w:rsidP="0026218B">
            <w:pPr>
              <w:widowControl w:val="0"/>
              <w:autoSpaceDE w:val="0"/>
              <w:autoSpaceDN w:val="0"/>
              <w:adjustRightInd w:val="0"/>
              <w:rPr>
                <w:sz w:val="20"/>
                <w:szCs w:val="20"/>
              </w:rPr>
            </w:pPr>
            <w:r w:rsidRPr="00153E66">
              <w:rPr>
                <w:sz w:val="20"/>
                <w:szCs w:val="20"/>
              </w:rPr>
              <w:t>Entry deregulation*Female</w:t>
            </w:r>
          </w:p>
        </w:tc>
        <w:tc>
          <w:tcPr>
            <w:tcW w:w="0" w:type="auto"/>
            <w:gridSpan w:val="2"/>
            <w:tcBorders>
              <w:top w:val="nil"/>
              <w:left w:val="nil"/>
              <w:bottom w:val="nil"/>
              <w:right w:val="nil"/>
            </w:tcBorders>
          </w:tcPr>
          <w:p w14:paraId="44F13549" w14:textId="77777777" w:rsidR="003E148C" w:rsidRPr="00153E66" w:rsidRDefault="003E148C" w:rsidP="0026218B">
            <w:pPr>
              <w:widowControl w:val="0"/>
              <w:autoSpaceDE w:val="0"/>
              <w:autoSpaceDN w:val="0"/>
              <w:adjustRightInd w:val="0"/>
              <w:jc w:val="center"/>
              <w:rPr>
                <w:sz w:val="20"/>
                <w:szCs w:val="20"/>
              </w:rPr>
            </w:pPr>
            <w:r w:rsidRPr="00153E66">
              <w:rPr>
                <w:sz w:val="20"/>
                <w:szCs w:val="20"/>
              </w:rPr>
              <w:t>0.0007</w:t>
            </w:r>
          </w:p>
        </w:tc>
        <w:tc>
          <w:tcPr>
            <w:tcW w:w="0" w:type="auto"/>
            <w:tcBorders>
              <w:top w:val="nil"/>
              <w:left w:val="nil"/>
              <w:bottom w:val="nil"/>
              <w:right w:val="nil"/>
            </w:tcBorders>
          </w:tcPr>
          <w:p w14:paraId="7495FBB2" w14:textId="77777777" w:rsidR="003E148C" w:rsidRPr="00153E66" w:rsidRDefault="003E148C" w:rsidP="0026218B">
            <w:pPr>
              <w:widowControl w:val="0"/>
              <w:autoSpaceDE w:val="0"/>
              <w:autoSpaceDN w:val="0"/>
              <w:adjustRightInd w:val="0"/>
              <w:jc w:val="center"/>
              <w:rPr>
                <w:sz w:val="20"/>
                <w:szCs w:val="20"/>
              </w:rPr>
            </w:pPr>
            <w:r w:rsidRPr="00153E66">
              <w:rPr>
                <w:sz w:val="20"/>
                <w:szCs w:val="20"/>
              </w:rPr>
              <w:t>0.0014</w:t>
            </w:r>
          </w:p>
        </w:tc>
        <w:tc>
          <w:tcPr>
            <w:tcW w:w="0" w:type="auto"/>
            <w:gridSpan w:val="2"/>
            <w:tcBorders>
              <w:top w:val="nil"/>
              <w:left w:val="nil"/>
              <w:bottom w:val="nil"/>
              <w:right w:val="nil"/>
            </w:tcBorders>
          </w:tcPr>
          <w:p w14:paraId="38E5D520" w14:textId="77777777" w:rsidR="003E148C" w:rsidRPr="005527A3" w:rsidRDefault="003E148C" w:rsidP="0026218B">
            <w:pPr>
              <w:widowControl w:val="0"/>
              <w:autoSpaceDE w:val="0"/>
              <w:autoSpaceDN w:val="0"/>
              <w:adjustRightInd w:val="0"/>
              <w:jc w:val="center"/>
              <w:rPr>
                <w:sz w:val="20"/>
                <w:szCs w:val="20"/>
              </w:rPr>
            </w:pPr>
            <w:r w:rsidRPr="00BC7822">
              <w:rPr>
                <w:sz w:val="20"/>
                <w:szCs w:val="20"/>
              </w:rPr>
              <w:t>0.0008</w:t>
            </w:r>
          </w:p>
        </w:tc>
        <w:tc>
          <w:tcPr>
            <w:tcW w:w="0" w:type="auto"/>
            <w:gridSpan w:val="2"/>
            <w:tcBorders>
              <w:top w:val="nil"/>
              <w:left w:val="nil"/>
              <w:bottom w:val="nil"/>
              <w:right w:val="nil"/>
            </w:tcBorders>
          </w:tcPr>
          <w:p w14:paraId="642DF108" w14:textId="77777777" w:rsidR="003E148C" w:rsidRPr="005527A3" w:rsidRDefault="003E148C" w:rsidP="0026218B">
            <w:pPr>
              <w:widowControl w:val="0"/>
              <w:autoSpaceDE w:val="0"/>
              <w:autoSpaceDN w:val="0"/>
              <w:adjustRightInd w:val="0"/>
              <w:jc w:val="center"/>
              <w:rPr>
                <w:sz w:val="20"/>
                <w:szCs w:val="20"/>
              </w:rPr>
            </w:pPr>
            <w:r w:rsidRPr="00BC7822">
              <w:rPr>
                <w:sz w:val="20"/>
                <w:szCs w:val="20"/>
              </w:rPr>
              <w:t>0.0020</w:t>
            </w:r>
          </w:p>
        </w:tc>
      </w:tr>
      <w:tr w:rsidR="003E148C" w:rsidRPr="00782298" w14:paraId="29914875" w14:textId="77777777" w:rsidTr="0026218B">
        <w:trPr>
          <w:trHeight w:hRule="exact" w:val="216"/>
          <w:jc w:val="center"/>
        </w:trPr>
        <w:tc>
          <w:tcPr>
            <w:tcW w:w="0" w:type="auto"/>
            <w:tcBorders>
              <w:top w:val="nil"/>
              <w:left w:val="nil"/>
              <w:bottom w:val="nil"/>
              <w:right w:val="nil"/>
            </w:tcBorders>
          </w:tcPr>
          <w:p w14:paraId="6BDC2E93" w14:textId="77777777" w:rsidR="003E148C" w:rsidRPr="00153E66"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78F3B9EE" w14:textId="77777777" w:rsidR="003E148C" w:rsidRPr="00153E66" w:rsidRDefault="003E148C" w:rsidP="0026218B">
            <w:pPr>
              <w:widowControl w:val="0"/>
              <w:autoSpaceDE w:val="0"/>
              <w:autoSpaceDN w:val="0"/>
              <w:adjustRightInd w:val="0"/>
              <w:jc w:val="center"/>
              <w:rPr>
                <w:sz w:val="20"/>
                <w:szCs w:val="20"/>
              </w:rPr>
            </w:pPr>
            <w:r w:rsidRPr="00153E66">
              <w:rPr>
                <w:sz w:val="20"/>
                <w:szCs w:val="20"/>
              </w:rPr>
              <w:t>(0.0001)</w:t>
            </w:r>
          </w:p>
        </w:tc>
        <w:tc>
          <w:tcPr>
            <w:tcW w:w="0" w:type="auto"/>
            <w:tcBorders>
              <w:top w:val="nil"/>
              <w:left w:val="nil"/>
              <w:bottom w:val="nil"/>
              <w:right w:val="nil"/>
            </w:tcBorders>
          </w:tcPr>
          <w:p w14:paraId="3930DB78" w14:textId="77777777" w:rsidR="003E148C" w:rsidRPr="00153E66" w:rsidRDefault="003E148C" w:rsidP="0026218B">
            <w:pPr>
              <w:widowControl w:val="0"/>
              <w:autoSpaceDE w:val="0"/>
              <w:autoSpaceDN w:val="0"/>
              <w:adjustRightInd w:val="0"/>
              <w:jc w:val="center"/>
              <w:rPr>
                <w:sz w:val="20"/>
                <w:szCs w:val="20"/>
              </w:rPr>
            </w:pPr>
            <w:r w:rsidRPr="00153E66">
              <w:rPr>
                <w:sz w:val="20"/>
                <w:szCs w:val="20"/>
              </w:rPr>
              <w:t>(0.0001)</w:t>
            </w:r>
          </w:p>
        </w:tc>
        <w:tc>
          <w:tcPr>
            <w:tcW w:w="0" w:type="auto"/>
            <w:gridSpan w:val="2"/>
            <w:tcBorders>
              <w:top w:val="nil"/>
              <w:left w:val="nil"/>
              <w:bottom w:val="nil"/>
              <w:right w:val="nil"/>
            </w:tcBorders>
          </w:tcPr>
          <w:p w14:paraId="226055C0" w14:textId="77777777" w:rsidR="003E148C" w:rsidRPr="005527A3" w:rsidRDefault="003E148C" w:rsidP="0026218B">
            <w:pPr>
              <w:widowControl w:val="0"/>
              <w:autoSpaceDE w:val="0"/>
              <w:autoSpaceDN w:val="0"/>
              <w:adjustRightInd w:val="0"/>
              <w:jc w:val="center"/>
              <w:rPr>
                <w:sz w:val="20"/>
                <w:szCs w:val="20"/>
              </w:rPr>
            </w:pPr>
            <w:r w:rsidRPr="00BC7822">
              <w:rPr>
                <w:sz w:val="20"/>
                <w:szCs w:val="20"/>
              </w:rPr>
              <w:t>(0.0002)</w:t>
            </w:r>
          </w:p>
        </w:tc>
        <w:tc>
          <w:tcPr>
            <w:tcW w:w="0" w:type="auto"/>
            <w:gridSpan w:val="2"/>
            <w:tcBorders>
              <w:top w:val="nil"/>
              <w:left w:val="nil"/>
              <w:bottom w:val="nil"/>
              <w:right w:val="nil"/>
            </w:tcBorders>
          </w:tcPr>
          <w:p w14:paraId="64C66158" w14:textId="77777777" w:rsidR="003E148C" w:rsidRPr="005527A3" w:rsidRDefault="003E148C" w:rsidP="0026218B">
            <w:pPr>
              <w:widowControl w:val="0"/>
              <w:autoSpaceDE w:val="0"/>
              <w:autoSpaceDN w:val="0"/>
              <w:adjustRightInd w:val="0"/>
              <w:jc w:val="center"/>
              <w:rPr>
                <w:sz w:val="20"/>
                <w:szCs w:val="20"/>
              </w:rPr>
            </w:pPr>
            <w:r w:rsidRPr="00BC7822">
              <w:rPr>
                <w:sz w:val="20"/>
                <w:szCs w:val="20"/>
              </w:rPr>
              <w:t>(0.0003)</w:t>
            </w:r>
          </w:p>
        </w:tc>
      </w:tr>
      <w:tr w:rsidR="003E148C" w:rsidRPr="003E5F33" w14:paraId="15E185BB" w14:textId="77777777" w:rsidTr="0026218B">
        <w:trPr>
          <w:trHeight w:hRule="exact" w:val="216"/>
          <w:jc w:val="center"/>
        </w:trPr>
        <w:tc>
          <w:tcPr>
            <w:tcW w:w="0" w:type="auto"/>
            <w:tcBorders>
              <w:top w:val="nil"/>
              <w:left w:val="nil"/>
              <w:bottom w:val="nil"/>
              <w:right w:val="nil"/>
            </w:tcBorders>
          </w:tcPr>
          <w:p w14:paraId="45958207" w14:textId="77777777" w:rsidR="003E148C" w:rsidRPr="003E5F33" w:rsidRDefault="003E148C" w:rsidP="0026218B">
            <w:pPr>
              <w:widowControl w:val="0"/>
              <w:autoSpaceDE w:val="0"/>
              <w:autoSpaceDN w:val="0"/>
              <w:adjustRightInd w:val="0"/>
              <w:rPr>
                <w:sz w:val="20"/>
                <w:szCs w:val="20"/>
              </w:rPr>
            </w:pPr>
            <w:r w:rsidRPr="00A33583">
              <w:rPr>
                <w:sz w:val="20"/>
                <w:szCs w:val="20"/>
              </w:rPr>
              <w:t>Age</w:t>
            </w:r>
          </w:p>
        </w:tc>
        <w:tc>
          <w:tcPr>
            <w:tcW w:w="0" w:type="auto"/>
            <w:gridSpan w:val="2"/>
            <w:tcBorders>
              <w:top w:val="nil"/>
              <w:left w:val="nil"/>
              <w:bottom w:val="nil"/>
              <w:right w:val="nil"/>
            </w:tcBorders>
          </w:tcPr>
          <w:p w14:paraId="13AA1200"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-0.0000</w:t>
            </w:r>
          </w:p>
        </w:tc>
        <w:tc>
          <w:tcPr>
            <w:tcW w:w="0" w:type="auto"/>
            <w:tcBorders>
              <w:top w:val="nil"/>
              <w:left w:val="nil"/>
              <w:bottom w:val="nil"/>
              <w:right w:val="nil"/>
            </w:tcBorders>
          </w:tcPr>
          <w:p w14:paraId="7E813A1A"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-0.0013</w:t>
            </w:r>
          </w:p>
        </w:tc>
        <w:tc>
          <w:tcPr>
            <w:tcW w:w="0" w:type="auto"/>
            <w:gridSpan w:val="2"/>
            <w:tcBorders>
              <w:top w:val="nil"/>
              <w:left w:val="nil"/>
              <w:bottom w:val="nil"/>
              <w:right w:val="nil"/>
            </w:tcBorders>
          </w:tcPr>
          <w:p w14:paraId="3E9EE8D0"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0.0019</w:t>
            </w:r>
          </w:p>
        </w:tc>
        <w:tc>
          <w:tcPr>
            <w:tcW w:w="0" w:type="auto"/>
            <w:gridSpan w:val="2"/>
            <w:tcBorders>
              <w:top w:val="nil"/>
              <w:left w:val="nil"/>
              <w:bottom w:val="nil"/>
              <w:right w:val="nil"/>
            </w:tcBorders>
          </w:tcPr>
          <w:p w14:paraId="715646A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0.0031</w:t>
            </w:r>
          </w:p>
        </w:tc>
      </w:tr>
      <w:tr w:rsidR="003E148C" w:rsidRPr="003E5F33" w14:paraId="052AEEAC" w14:textId="77777777" w:rsidTr="0026218B">
        <w:trPr>
          <w:trHeight w:hRule="exact" w:val="216"/>
          <w:jc w:val="center"/>
        </w:trPr>
        <w:tc>
          <w:tcPr>
            <w:tcW w:w="0" w:type="auto"/>
            <w:tcBorders>
              <w:top w:val="nil"/>
              <w:left w:val="nil"/>
              <w:bottom w:val="nil"/>
              <w:right w:val="nil"/>
            </w:tcBorders>
          </w:tcPr>
          <w:p w14:paraId="07D42397"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7066045C"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tcBorders>
              <w:top w:val="nil"/>
              <w:left w:val="nil"/>
              <w:bottom w:val="nil"/>
              <w:right w:val="nil"/>
            </w:tcBorders>
          </w:tcPr>
          <w:p w14:paraId="14C23995"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(0.0003)</w:t>
            </w:r>
          </w:p>
        </w:tc>
        <w:tc>
          <w:tcPr>
            <w:tcW w:w="0" w:type="auto"/>
            <w:gridSpan w:val="2"/>
            <w:tcBorders>
              <w:top w:val="nil"/>
              <w:left w:val="nil"/>
              <w:bottom w:val="nil"/>
              <w:right w:val="nil"/>
            </w:tcBorders>
          </w:tcPr>
          <w:p w14:paraId="7A27BBDA"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gridSpan w:val="2"/>
            <w:tcBorders>
              <w:top w:val="nil"/>
              <w:left w:val="nil"/>
              <w:bottom w:val="nil"/>
              <w:right w:val="nil"/>
            </w:tcBorders>
          </w:tcPr>
          <w:p w14:paraId="615E9946"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(0.0002)</w:t>
            </w:r>
          </w:p>
        </w:tc>
      </w:tr>
      <w:tr w:rsidR="003E148C" w:rsidRPr="003E5F33" w14:paraId="2B6D2FEE" w14:textId="77777777" w:rsidTr="0026218B">
        <w:trPr>
          <w:trHeight w:hRule="exact" w:val="216"/>
          <w:jc w:val="center"/>
        </w:trPr>
        <w:tc>
          <w:tcPr>
            <w:tcW w:w="0" w:type="auto"/>
            <w:tcBorders>
              <w:top w:val="nil"/>
              <w:left w:val="nil"/>
              <w:bottom w:val="nil"/>
              <w:right w:val="nil"/>
            </w:tcBorders>
          </w:tcPr>
          <w:p w14:paraId="5B12E099" w14:textId="77777777" w:rsidR="003E148C" w:rsidRPr="003E5F33" w:rsidRDefault="003E148C" w:rsidP="0026218B">
            <w:pPr>
              <w:widowControl w:val="0"/>
              <w:autoSpaceDE w:val="0"/>
              <w:autoSpaceDN w:val="0"/>
              <w:adjustRightInd w:val="0"/>
              <w:rPr>
                <w:sz w:val="20"/>
                <w:szCs w:val="20"/>
              </w:rPr>
            </w:pPr>
            <w:r w:rsidRPr="00A33583">
              <w:rPr>
                <w:sz w:val="20"/>
                <w:szCs w:val="20"/>
              </w:rPr>
              <w:t>Age squared</w:t>
            </w:r>
          </w:p>
        </w:tc>
        <w:tc>
          <w:tcPr>
            <w:tcW w:w="0" w:type="auto"/>
            <w:gridSpan w:val="2"/>
            <w:tcBorders>
              <w:top w:val="nil"/>
              <w:left w:val="nil"/>
              <w:bottom w:val="nil"/>
              <w:right w:val="nil"/>
            </w:tcBorders>
          </w:tcPr>
          <w:p w14:paraId="7E3F3C8C"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-0.0000</w:t>
            </w:r>
          </w:p>
        </w:tc>
        <w:tc>
          <w:tcPr>
            <w:tcW w:w="0" w:type="auto"/>
            <w:tcBorders>
              <w:top w:val="nil"/>
              <w:left w:val="nil"/>
              <w:bottom w:val="nil"/>
              <w:right w:val="nil"/>
            </w:tcBorders>
          </w:tcPr>
          <w:p w14:paraId="5B02C76F"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0.0000</w:t>
            </w:r>
          </w:p>
        </w:tc>
        <w:tc>
          <w:tcPr>
            <w:tcW w:w="0" w:type="auto"/>
            <w:gridSpan w:val="2"/>
            <w:tcBorders>
              <w:top w:val="nil"/>
              <w:left w:val="nil"/>
              <w:bottom w:val="nil"/>
              <w:right w:val="nil"/>
            </w:tcBorders>
          </w:tcPr>
          <w:p w14:paraId="14A9E1D7"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-0.0000</w:t>
            </w:r>
          </w:p>
        </w:tc>
        <w:tc>
          <w:tcPr>
            <w:tcW w:w="0" w:type="auto"/>
            <w:gridSpan w:val="2"/>
            <w:tcBorders>
              <w:top w:val="nil"/>
              <w:left w:val="nil"/>
              <w:bottom w:val="nil"/>
              <w:right w:val="nil"/>
            </w:tcBorders>
          </w:tcPr>
          <w:p w14:paraId="5449B9E4"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-0.0000</w:t>
            </w:r>
          </w:p>
        </w:tc>
      </w:tr>
      <w:tr w:rsidR="003E148C" w:rsidRPr="003E5F33" w14:paraId="3E32D9A6" w14:textId="77777777" w:rsidTr="0026218B">
        <w:trPr>
          <w:trHeight w:hRule="exact" w:val="216"/>
          <w:jc w:val="center"/>
        </w:trPr>
        <w:tc>
          <w:tcPr>
            <w:tcW w:w="0" w:type="auto"/>
            <w:tcBorders>
              <w:top w:val="nil"/>
              <w:left w:val="nil"/>
              <w:bottom w:val="nil"/>
              <w:right w:val="nil"/>
            </w:tcBorders>
          </w:tcPr>
          <w:p w14:paraId="16D4779C"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6FFD4D59"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(0.0000)</w:t>
            </w:r>
          </w:p>
        </w:tc>
        <w:tc>
          <w:tcPr>
            <w:tcW w:w="0" w:type="auto"/>
            <w:tcBorders>
              <w:top w:val="nil"/>
              <w:left w:val="nil"/>
              <w:bottom w:val="nil"/>
              <w:right w:val="nil"/>
            </w:tcBorders>
          </w:tcPr>
          <w:p w14:paraId="638D3994"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(0.0000)</w:t>
            </w:r>
          </w:p>
        </w:tc>
        <w:tc>
          <w:tcPr>
            <w:tcW w:w="0" w:type="auto"/>
            <w:gridSpan w:val="2"/>
            <w:tcBorders>
              <w:top w:val="nil"/>
              <w:left w:val="nil"/>
              <w:bottom w:val="nil"/>
              <w:right w:val="nil"/>
            </w:tcBorders>
          </w:tcPr>
          <w:p w14:paraId="3BE6D27C"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(0.0000)</w:t>
            </w:r>
          </w:p>
        </w:tc>
        <w:tc>
          <w:tcPr>
            <w:tcW w:w="0" w:type="auto"/>
            <w:gridSpan w:val="2"/>
            <w:tcBorders>
              <w:top w:val="nil"/>
              <w:left w:val="nil"/>
              <w:bottom w:val="nil"/>
              <w:right w:val="nil"/>
            </w:tcBorders>
          </w:tcPr>
          <w:p w14:paraId="2125B23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(0.0000)</w:t>
            </w:r>
          </w:p>
        </w:tc>
      </w:tr>
      <w:tr w:rsidR="003E148C" w:rsidRPr="003E5F33" w14:paraId="6A2346DE" w14:textId="77777777" w:rsidTr="0026218B">
        <w:trPr>
          <w:trHeight w:hRule="exact" w:val="216"/>
          <w:jc w:val="center"/>
        </w:trPr>
        <w:tc>
          <w:tcPr>
            <w:tcW w:w="0" w:type="auto"/>
            <w:tcBorders>
              <w:top w:val="nil"/>
              <w:left w:val="nil"/>
              <w:bottom w:val="nil"/>
              <w:right w:val="nil"/>
            </w:tcBorders>
          </w:tcPr>
          <w:p w14:paraId="3FD47DD6" w14:textId="77777777" w:rsidR="003E148C" w:rsidRPr="003E5F33" w:rsidRDefault="003E148C" w:rsidP="0026218B">
            <w:pPr>
              <w:widowControl w:val="0"/>
              <w:autoSpaceDE w:val="0"/>
              <w:autoSpaceDN w:val="0"/>
              <w:adjustRightInd w:val="0"/>
              <w:rPr>
                <w:sz w:val="20"/>
                <w:szCs w:val="20"/>
              </w:rPr>
            </w:pPr>
            <w:r w:rsidRPr="00A33583">
              <w:rPr>
                <w:sz w:val="20"/>
                <w:szCs w:val="20"/>
              </w:rPr>
              <w:t>Mid education</w:t>
            </w:r>
          </w:p>
        </w:tc>
        <w:tc>
          <w:tcPr>
            <w:tcW w:w="0" w:type="auto"/>
            <w:gridSpan w:val="2"/>
            <w:tcBorders>
              <w:top w:val="nil"/>
              <w:left w:val="nil"/>
              <w:bottom w:val="nil"/>
              <w:right w:val="nil"/>
            </w:tcBorders>
          </w:tcPr>
          <w:p w14:paraId="55EC4DFD"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0.0020</w:t>
            </w:r>
          </w:p>
        </w:tc>
        <w:tc>
          <w:tcPr>
            <w:tcW w:w="0" w:type="auto"/>
            <w:tcBorders>
              <w:top w:val="nil"/>
              <w:left w:val="nil"/>
              <w:bottom w:val="nil"/>
              <w:right w:val="nil"/>
            </w:tcBorders>
          </w:tcPr>
          <w:p w14:paraId="6578B52E"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0.0017</w:t>
            </w:r>
          </w:p>
        </w:tc>
        <w:tc>
          <w:tcPr>
            <w:tcW w:w="0" w:type="auto"/>
            <w:gridSpan w:val="2"/>
            <w:tcBorders>
              <w:top w:val="nil"/>
              <w:left w:val="nil"/>
              <w:bottom w:val="nil"/>
              <w:right w:val="nil"/>
            </w:tcBorders>
          </w:tcPr>
          <w:p w14:paraId="62CB907B"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0.0007</w:t>
            </w:r>
          </w:p>
        </w:tc>
        <w:tc>
          <w:tcPr>
            <w:tcW w:w="0" w:type="auto"/>
            <w:gridSpan w:val="2"/>
            <w:tcBorders>
              <w:top w:val="nil"/>
              <w:left w:val="nil"/>
              <w:bottom w:val="nil"/>
              <w:right w:val="nil"/>
            </w:tcBorders>
          </w:tcPr>
          <w:p w14:paraId="3672B8AB"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0.0024</w:t>
            </w:r>
          </w:p>
        </w:tc>
      </w:tr>
      <w:tr w:rsidR="003E148C" w:rsidRPr="003E5F33" w14:paraId="30ACD28F" w14:textId="77777777" w:rsidTr="0026218B">
        <w:trPr>
          <w:trHeight w:hRule="exact" w:val="216"/>
          <w:jc w:val="center"/>
        </w:trPr>
        <w:tc>
          <w:tcPr>
            <w:tcW w:w="0" w:type="auto"/>
            <w:tcBorders>
              <w:top w:val="nil"/>
              <w:left w:val="nil"/>
              <w:bottom w:val="nil"/>
              <w:right w:val="nil"/>
            </w:tcBorders>
          </w:tcPr>
          <w:p w14:paraId="6662AF2D"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72E74D34"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tcBorders>
              <w:top w:val="nil"/>
              <w:left w:val="nil"/>
              <w:bottom w:val="nil"/>
              <w:right w:val="nil"/>
            </w:tcBorders>
          </w:tcPr>
          <w:p w14:paraId="2E89A766"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(0.0003)</w:t>
            </w:r>
          </w:p>
        </w:tc>
        <w:tc>
          <w:tcPr>
            <w:tcW w:w="0" w:type="auto"/>
            <w:gridSpan w:val="2"/>
            <w:tcBorders>
              <w:top w:val="nil"/>
              <w:left w:val="nil"/>
              <w:bottom w:val="nil"/>
              <w:right w:val="nil"/>
            </w:tcBorders>
          </w:tcPr>
          <w:p w14:paraId="71E7AFEB"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gridSpan w:val="2"/>
            <w:tcBorders>
              <w:top w:val="nil"/>
              <w:left w:val="nil"/>
              <w:bottom w:val="nil"/>
              <w:right w:val="nil"/>
            </w:tcBorders>
          </w:tcPr>
          <w:p w14:paraId="6054CF9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(0.0002)</w:t>
            </w:r>
          </w:p>
        </w:tc>
      </w:tr>
      <w:tr w:rsidR="003E148C" w:rsidRPr="003E5F33" w14:paraId="5E783AD3" w14:textId="77777777" w:rsidTr="0026218B">
        <w:trPr>
          <w:trHeight w:hRule="exact" w:val="216"/>
          <w:jc w:val="center"/>
        </w:trPr>
        <w:tc>
          <w:tcPr>
            <w:tcW w:w="0" w:type="auto"/>
            <w:tcBorders>
              <w:top w:val="nil"/>
              <w:left w:val="nil"/>
              <w:bottom w:val="nil"/>
              <w:right w:val="nil"/>
            </w:tcBorders>
          </w:tcPr>
          <w:p w14:paraId="711697B4" w14:textId="77777777" w:rsidR="003E148C" w:rsidRPr="003E5F33" w:rsidRDefault="003E148C" w:rsidP="0026218B">
            <w:pPr>
              <w:widowControl w:val="0"/>
              <w:autoSpaceDE w:val="0"/>
              <w:autoSpaceDN w:val="0"/>
              <w:adjustRightInd w:val="0"/>
              <w:rPr>
                <w:sz w:val="20"/>
                <w:szCs w:val="20"/>
              </w:rPr>
            </w:pPr>
            <w:r w:rsidRPr="00A33583">
              <w:rPr>
                <w:sz w:val="20"/>
                <w:szCs w:val="20"/>
              </w:rPr>
              <w:t>High education</w:t>
            </w:r>
          </w:p>
        </w:tc>
        <w:tc>
          <w:tcPr>
            <w:tcW w:w="0" w:type="auto"/>
            <w:gridSpan w:val="2"/>
            <w:tcBorders>
              <w:top w:val="nil"/>
              <w:left w:val="nil"/>
              <w:bottom w:val="nil"/>
              <w:right w:val="nil"/>
            </w:tcBorders>
          </w:tcPr>
          <w:p w14:paraId="0AC6D9D7"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0.0038</w:t>
            </w:r>
          </w:p>
        </w:tc>
        <w:tc>
          <w:tcPr>
            <w:tcW w:w="0" w:type="auto"/>
            <w:tcBorders>
              <w:top w:val="nil"/>
              <w:left w:val="nil"/>
              <w:bottom w:val="nil"/>
              <w:right w:val="nil"/>
            </w:tcBorders>
          </w:tcPr>
          <w:p w14:paraId="099FD3EB"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0.0011</w:t>
            </w:r>
          </w:p>
        </w:tc>
        <w:tc>
          <w:tcPr>
            <w:tcW w:w="0" w:type="auto"/>
            <w:gridSpan w:val="2"/>
            <w:tcBorders>
              <w:top w:val="nil"/>
              <w:left w:val="nil"/>
              <w:bottom w:val="nil"/>
              <w:right w:val="nil"/>
            </w:tcBorders>
          </w:tcPr>
          <w:p w14:paraId="5391846F"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-0.0056</w:t>
            </w:r>
          </w:p>
        </w:tc>
        <w:tc>
          <w:tcPr>
            <w:tcW w:w="0" w:type="auto"/>
            <w:gridSpan w:val="2"/>
            <w:tcBorders>
              <w:top w:val="nil"/>
              <w:left w:val="nil"/>
              <w:bottom w:val="nil"/>
              <w:right w:val="nil"/>
            </w:tcBorders>
          </w:tcPr>
          <w:p w14:paraId="10927AA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0.0003</w:t>
            </w:r>
          </w:p>
        </w:tc>
      </w:tr>
      <w:tr w:rsidR="003E148C" w:rsidRPr="003E5F33" w14:paraId="4222E816" w14:textId="77777777" w:rsidTr="0026218B">
        <w:trPr>
          <w:trHeight w:hRule="exact" w:val="216"/>
          <w:jc w:val="center"/>
        </w:trPr>
        <w:tc>
          <w:tcPr>
            <w:tcW w:w="0" w:type="auto"/>
            <w:tcBorders>
              <w:top w:val="nil"/>
              <w:left w:val="nil"/>
              <w:bottom w:val="nil"/>
              <w:right w:val="nil"/>
            </w:tcBorders>
          </w:tcPr>
          <w:p w14:paraId="4575888B"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490418CF"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(0.0003)</w:t>
            </w:r>
          </w:p>
        </w:tc>
        <w:tc>
          <w:tcPr>
            <w:tcW w:w="0" w:type="auto"/>
            <w:tcBorders>
              <w:top w:val="nil"/>
              <w:left w:val="nil"/>
              <w:bottom w:val="nil"/>
              <w:right w:val="nil"/>
            </w:tcBorders>
          </w:tcPr>
          <w:p w14:paraId="3D388EA6"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(0.0011)</w:t>
            </w:r>
          </w:p>
        </w:tc>
        <w:tc>
          <w:tcPr>
            <w:tcW w:w="0" w:type="auto"/>
            <w:gridSpan w:val="2"/>
            <w:tcBorders>
              <w:top w:val="nil"/>
              <w:left w:val="nil"/>
              <w:bottom w:val="nil"/>
              <w:right w:val="nil"/>
            </w:tcBorders>
          </w:tcPr>
          <w:p w14:paraId="3DC53ACA"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(0.0003)</w:t>
            </w:r>
          </w:p>
        </w:tc>
        <w:tc>
          <w:tcPr>
            <w:tcW w:w="0" w:type="auto"/>
            <w:gridSpan w:val="2"/>
            <w:tcBorders>
              <w:top w:val="nil"/>
              <w:left w:val="nil"/>
              <w:bottom w:val="nil"/>
              <w:right w:val="nil"/>
            </w:tcBorders>
          </w:tcPr>
          <w:p w14:paraId="526D31F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(0.0004)</w:t>
            </w:r>
          </w:p>
        </w:tc>
      </w:tr>
      <w:tr w:rsidR="003E148C" w:rsidRPr="003E5F33" w14:paraId="7B328F4F" w14:textId="77777777" w:rsidTr="0026218B">
        <w:trPr>
          <w:trHeight w:hRule="exact" w:val="216"/>
          <w:jc w:val="center"/>
        </w:trPr>
        <w:tc>
          <w:tcPr>
            <w:tcW w:w="0" w:type="auto"/>
            <w:tcBorders>
              <w:top w:val="nil"/>
              <w:left w:val="nil"/>
              <w:bottom w:val="nil"/>
              <w:right w:val="nil"/>
            </w:tcBorders>
          </w:tcPr>
          <w:p w14:paraId="502E6A89" w14:textId="77777777" w:rsidR="003E148C" w:rsidRPr="003E5F33" w:rsidRDefault="003E148C" w:rsidP="0026218B">
            <w:pPr>
              <w:widowControl w:val="0"/>
              <w:autoSpaceDE w:val="0"/>
              <w:autoSpaceDN w:val="0"/>
              <w:adjustRightInd w:val="0"/>
              <w:rPr>
                <w:sz w:val="20"/>
                <w:szCs w:val="20"/>
              </w:rPr>
            </w:pPr>
            <w:r w:rsidRPr="00A33583">
              <w:rPr>
                <w:sz w:val="20"/>
                <w:szCs w:val="20"/>
              </w:rPr>
              <w:t>Hours worked (ln)</w:t>
            </w:r>
          </w:p>
        </w:tc>
        <w:tc>
          <w:tcPr>
            <w:tcW w:w="0" w:type="auto"/>
            <w:gridSpan w:val="2"/>
            <w:tcBorders>
              <w:top w:val="nil"/>
              <w:left w:val="nil"/>
              <w:bottom w:val="nil"/>
              <w:right w:val="nil"/>
            </w:tcBorders>
          </w:tcPr>
          <w:p w14:paraId="1FB9DBBE"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-0.0034</w:t>
            </w:r>
          </w:p>
        </w:tc>
        <w:tc>
          <w:tcPr>
            <w:tcW w:w="0" w:type="auto"/>
            <w:tcBorders>
              <w:top w:val="nil"/>
              <w:left w:val="nil"/>
              <w:bottom w:val="nil"/>
              <w:right w:val="nil"/>
            </w:tcBorders>
          </w:tcPr>
          <w:p w14:paraId="382FD6EC"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-0.0050</w:t>
            </w:r>
          </w:p>
        </w:tc>
        <w:tc>
          <w:tcPr>
            <w:tcW w:w="0" w:type="auto"/>
            <w:gridSpan w:val="2"/>
            <w:tcBorders>
              <w:top w:val="nil"/>
              <w:left w:val="nil"/>
              <w:bottom w:val="nil"/>
              <w:right w:val="nil"/>
            </w:tcBorders>
          </w:tcPr>
          <w:p w14:paraId="1E54FFD7"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-0.0091</w:t>
            </w:r>
          </w:p>
        </w:tc>
        <w:tc>
          <w:tcPr>
            <w:tcW w:w="0" w:type="auto"/>
            <w:gridSpan w:val="2"/>
            <w:tcBorders>
              <w:top w:val="nil"/>
              <w:left w:val="nil"/>
              <w:bottom w:val="nil"/>
              <w:right w:val="nil"/>
            </w:tcBorders>
          </w:tcPr>
          <w:p w14:paraId="3DE7A85B"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-0.0114</w:t>
            </w:r>
          </w:p>
        </w:tc>
      </w:tr>
      <w:tr w:rsidR="003E148C" w:rsidRPr="003E5F33" w14:paraId="6E200F8B" w14:textId="77777777" w:rsidTr="0026218B">
        <w:trPr>
          <w:trHeight w:hRule="exact" w:val="216"/>
          <w:jc w:val="center"/>
        </w:trPr>
        <w:tc>
          <w:tcPr>
            <w:tcW w:w="0" w:type="auto"/>
            <w:tcBorders>
              <w:top w:val="nil"/>
              <w:left w:val="nil"/>
              <w:bottom w:val="nil"/>
              <w:right w:val="nil"/>
            </w:tcBorders>
          </w:tcPr>
          <w:p w14:paraId="5DB0CB40"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62723256"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(0.0002)</w:t>
            </w:r>
          </w:p>
        </w:tc>
        <w:tc>
          <w:tcPr>
            <w:tcW w:w="0" w:type="auto"/>
            <w:tcBorders>
              <w:top w:val="nil"/>
              <w:left w:val="nil"/>
              <w:bottom w:val="nil"/>
              <w:right w:val="nil"/>
            </w:tcBorders>
          </w:tcPr>
          <w:p w14:paraId="5201F026"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(0.0002)</w:t>
            </w:r>
          </w:p>
        </w:tc>
        <w:tc>
          <w:tcPr>
            <w:tcW w:w="0" w:type="auto"/>
            <w:gridSpan w:val="2"/>
            <w:tcBorders>
              <w:top w:val="nil"/>
              <w:left w:val="nil"/>
              <w:bottom w:val="nil"/>
              <w:right w:val="nil"/>
            </w:tcBorders>
          </w:tcPr>
          <w:p w14:paraId="2F66B2A7"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(0.0004)</w:t>
            </w:r>
          </w:p>
        </w:tc>
        <w:tc>
          <w:tcPr>
            <w:tcW w:w="0" w:type="auto"/>
            <w:gridSpan w:val="2"/>
            <w:tcBorders>
              <w:top w:val="nil"/>
              <w:left w:val="nil"/>
              <w:bottom w:val="nil"/>
              <w:right w:val="nil"/>
            </w:tcBorders>
          </w:tcPr>
          <w:p w14:paraId="11E08A23"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(0.0004)</w:t>
            </w:r>
          </w:p>
        </w:tc>
      </w:tr>
      <w:tr w:rsidR="003E148C" w:rsidRPr="003E5F33" w14:paraId="37CB4775" w14:textId="77777777" w:rsidTr="0026218B">
        <w:trPr>
          <w:trHeight w:hRule="exact" w:val="216"/>
          <w:jc w:val="center"/>
        </w:trPr>
        <w:tc>
          <w:tcPr>
            <w:tcW w:w="0" w:type="auto"/>
            <w:tcBorders>
              <w:top w:val="nil"/>
              <w:left w:val="nil"/>
              <w:bottom w:val="nil"/>
              <w:right w:val="nil"/>
            </w:tcBorders>
          </w:tcPr>
          <w:p w14:paraId="5F01357D" w14:textId="77777777" w:rsidR="003E148C" w:rsidRPr="003E5F33" w:rsidRDefault="003E148C" w:rsidP="0026218B">
            <w:pPr>
              <w:widowControl w:val="0"/>
              <w:autoSpaceDE w:val="0"/>
              <w:autoSpaceDN w:val="0"/>
              <w:adjustRightInd w:val="0"/>
              <w:rPr>
                <w:sz w:val="20"/>
                <w:szCs w:val="20"/>
              </w:rPr>
            </w:pPr>
            <w:r w:rsidRPr="00A33583">
              <w:rPr>
                <w:sz w:val="20"/>
                <w:szCs w:val="20"/>
              </w:rPr>
              <w:t>Mid qualification</w:t>
            </w:r>
          </w:p>
        </w:tc>
        <w:tc>
          <w:tcPr>
            <w:tcW w:w="0" w:type="auto"/>
            <w:gridSpan w:val="2"/>
            <w:tcBorders>
              <w:top w:val="nil"/>
              <w:left w:val="nil"/>
              <w:bottom w:val="nil"/>
              <w:right w:val="nil"/>
            </w:tcBorders>
          </w:tcPr>
          <w:p w14:paraId="4C6DEF20"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-0.0003</w:t>
            </w:r>
          </w:p>
        </w:tc>
        <w:tc>
          <w:tcPr>
            <w:tcW w:w="0" w:type="auto"/>
            <w:tcBorders>
              <w:top w:val="nil"/>
              <w:left w:val="nil"/>
              <w:bottom w:val="nil"/>
              <w:right w:val="nil"/>
            </w:tcBorders>
          </w:tcPr>
          <w:p w14:paraId="307B7BFD"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0.0011</w:t>
            </w:r>
          </w:p>
        </w:tc>
        <w:tc>
          <w:tcPr>
            <w:tcW w:w="0" w:type="auto"/>
            <w:gridSpan w:val="2"/>
            <w:tcBorders>
              <w:top w:val="nil"/>
              <w:left w:val="nil"/>
              <w:bottom w:val="nil"/>
              <w:right w:val="nil"/>
            </w:tcBorders>
          </w:tcPr>
          <w:p w14:paraId="0C5058D4"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0.0003</w:t>
            </w:r>
          </w:p>
        </w:tc>
        <w:tc>
          <w:tcPr>
            <w:tcW w:w="0" w:type="auto"/>
            <w:gridSpan w:val="2"/>
            <w:tcBorders>
              <w:top w:val="nil"/>
              <w:left w:val="nil"/>
              <w:bottom w:val="nil"/>
              <w:right w:val="nil"/>
            </w:tcBorders>
          </w:tcPr>
          <w:p w14:paraId="016C6E2C"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0.0011</w:t>
            </w:r>
          </w:p>
        </w:tc>
      </w:tr>
      <w:tr w:rsidR="003E148C" w:rsidRPr="003E5F33" w14:paraId="3AC71095" w14:textId="77777777" w:rsidTr="0026218B">
        <w:trPr>
          <w:trHeight w:hRule="exact" w:val="216"/>
          <w:jc w:val="center"/>
        </w:trPr>
        <w:tc>
          <w:tcPr>
            <w:tcW w:w="0" w:type="auto"/>
            <w:tcBorders>
              <w:top w:val="nil"/>
              <w:left w:val="nil"/>
              <w:bottom w:val="nil"/>
              <w:right w:val="nil"/>
            </w:tcBorders>
          </w:tcPr>
          <w:p w14:paraId="0C811333"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4ECA333D"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tcBorders>
              <w:top w:val="nil"/>
              <w:left w:val="nil"/>
              <w:bottom w:val="nil"/>
              <w:right w:val="nil"/>
            </w:tcBorders>
          </w:tcPr>
          <w:p w14:paraId="3E1C8F57"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(0.0002)</w:t>
            </w:r>
          </w:p>
        </w:tc>
        <w:tc>
          <w:tcPr>
            <w:tcW w:w="0" w:type="auto"/>
            <w:gridSpan w:val="2"/>
            <w:tcBorders>
              <w:top w:val="nil"/>
              <w:left w:val="nil"/>
              <w:bottom w:val="nil"/>
              <w:right w:val="nil"/>
            </w:tcBorders>
          </w:tcPr>
          <w:p w14:paraId="68B3D0D3"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gridSpan w:val="2"/>
            <w:tcBorders>
              <w:top w:val="nil"/>
              <w:left w:val="nil"/>
              <w:bottom w:val="nil"/>
              <w:right w:val="nil"/>
            </w:tcBorders>
          </w:tcPr>
          <w:p w14:paraId="555F0EC9"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(0.0002)</w:t>
            </w:r>
          </w:p>
        </w:tc>
      </w:tr>
      <w:tr w:rsidR="003E148C" w:rsidRPr="003E5F33" w14:paraId="7AF07BB6" w14:textId="77777777" w:rsidTr="0026218B">
        <w:trPr>
          <w:trHeight w:hRule="exact" w:val="216"/>
          <w:jc w:val="center"/>
        </w:trPr>
        <w:tc>
          <w:tcPr>
            <w:tcW w:w="0" w:type="auto"/>
            <w:tcBorders>
              <w:top w:val="nil"/>
              <w:left w:val="nil"/>
              <w:bottom w:val="nil"/>
              <w:right w:val="nil"/>
            </w:tcBorders>
          </w:tcPr>
          <w:p w14:paraId="01D3FCA0" w14:textId="77777777" w:rsidR="003E148C" w:rsidRPr="003E5F33" w:rsidRDefault="003E148C" w:rsidP="0026218B">
            <w:pPr>
              <w:widowControl w:val="0"/>
              <w:autoSpaceDE w:val="0"/>
              <w:autoSpaceDN w:val="0"/>
              <w:adjustRightInd w:val="0"/>
              <w:rPr>
                <w:sz w:val="20"/>
                <w:szCs w:val="20"/>
              </w:rPr>
            </w:pPr>
            <w:r w:rsidRPr="00A33583">
              <w:rPr>
                <w:sz w:val="20"/>
                <w:szCs w:val="20"/>
              </w:rPr>
              <w:t>High qualification</w:t>
            </w:r>
          </w:p>
        </w:tc>
        <w:tc>
          <w:tcPr>
            <w:tcW w:w="0" w:type="auto"/>
            <w:gridSpan w:val="2"/>
            <w:tcBorders>
              <w:top w:val="nil"/>
              <w:left w:val="nil"/>
              <w:bottom w:val="nil"/>
              <w:right w:val="nil"/>
            </w:tcBorders>
          </w:tcPr>
          <w:p w14:paraId="3C8F2718"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0.0004</w:t>
            </w:r>
          </w:p>
        </w:tc>
        <w:tc>
          <w:tcPr>
            <w:tcW w:w="0" w:type="auto"/>
            <w:tcBorders>
              <w:top w:val="nil"/>
              <w:left w:val="nil"/>
              <w:bottom w:val="nil"/>
              <w:right w:val="nil"/>
            </w:tcBorders>
          </w:tcPr>
          <w:p w14:paraId="5ADB9A90"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0.0073</w:t>
            </w:r>
          </w:p>
        </w:tc>
        <w:tc>
          <w:tcPr>
            <w:tcW w:w="0" w:type="auto"/>
            <w:gridSpan w:val="2"/>
            <w:tcBorders>
              <w:top w:val="nil"/>
              <w:left w:val="nil"/>
              <w:bottom w:val="nil"/>
              <w:right w:val="nil"/>
            </w:tcBorders>
          </w:tcPr>
          <w:p w14:paraId="35C564CC"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0.0033</w:t>
            </w:r>
          </w:p>
        </w:tc>
        <w:tc>
          <w:tcPr>
            <w:tcW w:w="0" w:type="auto"/>
            <w:gridSpan w:val="2"/>
            <w:tcBorders>
              <w:top w:val="nil"/>
              <w:left w:val="nil"/>
              <w:bottom w:val="nil"/>
              <w:right w:val="nil"/>
            </w:tcBorders>
          </w:tcPr>
          <w:p w14:paraId="70B8C1D2"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0.0122</w:t>
            </w:r>
          </w:p>
        </w:tc>
      </w:tr>
      <w:tr w:rsidR="003E148C" w:rsidRPr="003E5F33" w14:paraId="27AF36E6" w14:textId="77777777" w:rsidTr="0026218B">
        <w:trPr>
          <w:trHeight w:hRule="exact" w:val="216"/>
          <w:jc w:val="center"/>
        </w:trPr>
        <w:tc>
          <w:tcPr>
            <w:tcW w:w="0" w:type="auto"/>
            <w:tcBorders>
              <w:top w:val="nil"/>
              <w:left w:val="nil"/>
              <w:bottom w:val="nil"/>
              <w:right w:val="nil"/>
            </w:tcBorders>
          </w:tcPr>
          <w:p w14:paraId="76C70101"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4B7E885C"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tcBorders>
              <w:top w:val="nil"/>
              <w:left w:val="nil"/>
              <w:bottom w:val="nil"/>
              <w:right w:val="nil"/>
            </w:tcBorders>
          </w:tcPr>
          <w:p w14:paraId="50421B25"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(0.0005)</w:t>
            </w:r>
          </w:p>
        </w:tc>
        <w:tc>
          <w:tcPr>
            <w:tcW w:w="0" w:type="auto"/>
            <w:gridSpan w:val="2"/>
            <w:tcBorders>
              <w:top w:val="nil"/>
              <w:left w:val="nil"/>
              <w:bottom w:val="nil"/>
              <w:right w:val="nil"/>
            </w:tcBorders>
          </w:tcPr>
          <w:p w14:paraId="13183F99"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(0.0001)</w:t>
            </w:r>
          </w:p>
        </w:tc>
        <w:tc>
          <w:tcPr>
            <w:tcW w:w="0" w:type="auto"/>
            <w:gridSpan w:val="2"/>
            <w:tcBorders>
              <w:top w:val="nil"/>
              <w:left w:val="nil"/>
              <w:bottom w:val="nil"/>
              <w:right w:val="nil"/>
            </w:tcBorders>
          </w:tcPr>
          <w:p w14:paraId="244C8C4D"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(0.0009)</w:t>
            </w:r>
          </w:p>
        </w:tc>
      </w:tr>
      <w:tr w:rsidR="003E148C" w:rsidRPr="003E5F33" w14:paraId="2033F12E" w14:textId="77777777" w:rsidTr="0026218B">
        <w:trPr>
          <w:trHeight w:hRule="exact" w:val="216"/>
          <w:jc w:val="center"/>
        </w:trPr>
        <w:tc>
          <w:tcPr>
            <w:tcW w:w="0" w:type="auto"/>
            <w:tcBorders>
              <w:top w:val="nil"/>
              <w:left w:val="nil"/>
              <w:bottom w:val="nil"/>
              <w:right w:val="nil"/>
            </w:tcBorders>
          </w:tcPr>
          <w:p w14:paraId="07D9CFA1" w14:textId="77777777" w:rsidR="003E148C" w:rsidRPr="003E5F33" w:rsidRDefault="003E148C" w:rsidP="0026218B">
            <w:pPr>
              <w:widowControl w:val="0"/>
              <w:autoSpaceDE w:val="0"/>
              <w:autoSpaceDN w:val="0"/>
              <w:adjustRightInd w:val="0"/>
              <w:rPr>
                <w:sz w:val="20"/>
                <w:szCs w:val="20"/>
              </w:rPr>
            </w:pPr>
            <w:r w:rsidRPr="00A33583">
              <w:rPr>
                <w:sz w:val="20"/>
                <w:szCs w:val="20"/>
              </w:rPr>
              <w:t>Workers (ln)</w:t>
            </w:r>
          </w:p>
        </w:tc>
        <w:tc>
          <w:tcPr>
            <w:tcW w:w="0" w:type="auto"/>
            <w:gridSpan w:val="2"/>
            <w:tcBorders>
              <w:top w:val="nil"/>
              <w:left w:val="nil"/>
              <w:bottom w:val="nil"/>
              <w:right w:val="nil"/>
            </w:tcBorders>
          </w:tcPr>
          <w:p w14:paraId="49FEFE32"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-0.0009</w:t>
            </w:r>
          </w:p>
        </w:tc>
        <w:tc>
          <w:tcPr>
            <w:tcW w:w="0" w:type="auto"/>
            <w:tcBorders>
              <w:top w:val="nil"/>
              <w:left w:val="nil"/>
              <w:bottom w:val="nil"/>
              <w:right w:val="nil"/>
            </w:tcBorders>
          </w:tcPr>
          <w:p w14:paraId="566AB28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-0.0059</w:t>
            </w:r>
          </w:p>
        </w:tc>
        <w:tc>
          <w:tcPr>
            <w:tcW w:w="0" w:type="auto"/>
            <w:gridSpan w:val="2"/>
            <w:tcBorders>
              <w:top w:val="nil"/>
              <w:left w:val="nil"/>
              <w:bottom w:val="nil"/>
              <w:right w:val="nil"/>
            </w:tcBorders>
          </w:tcPr>
          <w:p w14:paraId="564FFA99"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-0.0012</w:t>
            </w:r>
          </w:p>
        </w:tc>
        <w:tc>
          <w:tcPr>
            <w:tcW w:w="0" w:type="auto"/>
            <w:gridSpan w:val="2"/>
            <w:tcBorders>
              <w:top w:val="nil"/>
              <w:left w:val="nil"/>
              <w:bottom w:val="nil"/>
              <w:right w:val="nil"/>
            </w:tcBorders>
          </w:tcPr>
          <w:p w14:paraId="554DAEB3"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-0.0040</w:t>
            </w:r>
          </w:p>
        </w:tc>
      </w:tr>
      <w:tr w:rsidR="003E148C" w:rsidRPr="003E5F33" w14:paraId="1309ED6E" w14:textId="77777777" w:rsidTr="0026218B">
        <w:trPr>
          <w:trHeight w:hRule="exact" w:val="216"/>
          <w:jc w:val="center"/>
        </w:trPr>
        <w:tc>
          <w:tcPr>
            <w:tcW w:w="0" w:type="auto"/>
            <w:tcBorders>
              <w:top w:val="nil"/>
              <w:left w:val="nil"/>
              <w:bottom w:val="nil"/>
              <w:right w:val="nil"/>
            </w:tcBorders>
          </w:tcPr>
          <w:p w14:paraId="03B8379F"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4D3A944B"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(0.0000)</w:t>
            </w:r>
          </w:p>
        </w:tc>
        <w:tc>
          <w:tcPr>
            <w:tcW w:w="0" w:type="auto"/>
            <w:tcBorders>
              <w:top w:val="nil"/>
              <w:left w:val="nil"/>
              <w:bottom w:val="nil"/>
              <w:right w:val="nil"/>
            </w:tcBorders>
          </w:tcPr>
          <w:p w14:paraId="5B57F0AA"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(0.0001)</w:t>
            </w:r>
          </w:p>
        </w:tc>
        <w:tc>
          <w:tcPr>
            <w:tcW w:w="0" w:type="auto"/>
            <w:gridSpan w:val="2"/>
            <w:tcBorders>
              <w:top w:val="nil"/>
              <w:left w:val="nil"/>
              <w:bottom w:val="nil"/>
              <w:right w:val="nil"/>
            </w:tcBorders>
          </w:tcPr>
          <w:p w14:paraId="57B8876B"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(0.0000)</w:t>
            </w:r>
          </w:p>
        </w:tc>
        <w:tc>
          <w:tcPr>
            <w:tcW w:w="0" w:type="auto"/>
            <w:gridSpan w:val="2"/>
            <w:tcBorders>
              <w:top w:val="nil"/>
              <w:left w:val="nil"/>
              <w:bottom w:val="nil"/>
              <w:right w:val="nil"/>
            </w:tcBorders>
          </w:tcPr>
          <w:p w14:paraId="5D2FEFA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(0.0001)</w:t>
            </w:r>
          </w:p>
        </w:tc>
      </w:tr>
      <w:tr w:rsidR="003E148C" w:rsidRPr="003E5F33" w14:paraId="706A07D0" w14:textId="77777777" w:rsidTr="0026218B">
        <w:trPr>
          <w:trHeight w:hRule="exact" w:val="216"/>
          <w:jc w:val="center"/>
        </w:trPr>
        <w:tc>
          <w:tcPr>
            <w:tcW w:w="0" w:type="auto"/>
            <w:tcBorders>
              <w:top w:val="nil"/>
              <w:left w:val="nil"/>
              <w:bottom w:val="nil"/>
              <w:right w:val="nil"/>
            </w:tcBorders>
          </w:tcPr>
          <w:p w14:paraId="7EE64FED" w14:textId="77777777" w:rsidR="003E148C" w:rsidRPr="003E5F33" w:rsidRDefault="003E148C" w:rsidP="0026218B">
            <w:pPr>
              <w:widowControl w:val="0"/>
              <w:autoSpaceDE w:val="0"/>
              <w:autoSpaceDN w:val="0"/>
              <w:adjustRightInd w:val="0"/>
              <w:rPr>
                <w:sz w:val="20"/>
                <w:szCs w:val="20"/>
              </w:rPr>
            </w:pPr>
            <w:r w:rsidRPr="003E5F33">
              <w:rPr>
                <w:sz w:val="20"/>
                <w:szCs w:val="20"/>
              </w:rPr>
              <w:t>Constant</w:t>
            </w:r>
          </w:p>
        </w:tc>
        <w:tc>
          <w:tcPr>
            <w:tcW w:w="0" w:type="auto"/>
            <w:gridSpan w:val="2"/>
            <w:tcBorders>
              <w:top w:val="nil"/>
              <w:left w:val="nil"/>
              <w:bottom w:val="nil"/>
              <w:right w:val="nil"/>
            </w:tcBorders>
          </w:tcPr>
          <w:p w14:paraId="6495356D"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0.0374</w:t>
            </w:r>
          </w:p>
        </w:tc>
        <w:tc>
          <w:tcPr>
            <w:tcW w:w="0" w:type="auto"/>
            <w:tcBorders>
              <w:top w:val="nil"/>
              <w:left w:val="nil"/>
              <w:bottom w:val="nil"/>
              <w:right w:val="nil"/>
            </w:tcBorders>
          </w:tcPr>
          <w:p w14:paraId="4B2F7A07"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0.1157</w:t>
            </w:r>
          </w:p>
        </w:tc>
        <w:tc>
          <w:tcPr>
            <w:tcW w:w="0" w:type="auto"/>
            <w:gridSpan w:val="2"/>
            <w:tcBorders>
              <w:top w:val="nil"/>
              <w:left w:val="nil"/>
              <w:bottom w:val="nil"/>
              <w:right w:val="nil"/>
            </w:tcBorders>
          </w:tcPr>
          <w:p w14:paraId="776939CD"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0.0684</w:t>
            </w:r>
          </w:p>
        </w:tc>
        <w:tc>
          <w:tcPr>
            <w:tcW w:w="0" w:type="auto"/>
            <w:gridSpan w:val="2"/>
            <w:tcBorders>
              <w:top w:val="nil"/>
              <w:left w:val="nil"/>
              <w:bottom w:val="nil"/>
              <w:right w:val="nil"/>
            </w:tcBorders>
          </w:tcPr>
          <w:p w14:paraId="1ADB76D2"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0.1276</w:t>
            </w:r>
          </w:p>
        </w:tc>
      </w:tr>
      <w:tr w:rsidR="003E148C" w:rsidRPr="003E5F33" w14:paraId="10D5B860" w14:textId="77777777" w:rsidTr="0026218B">
        <w:trPr>
          <w:trHeight w:hRule="exact" w:val="216"/>
          <w:jc w:val="center"/>
        </w:trPr>
        <w:tc>
          <w:tcPr>
            <w:tcW w:w="0" w:type="auto"/>
            <w:tcBorders>
              <w:top w:val="nil"/>
              <w:left w:val="nil"/>
              <w:bottom w:val="nil"/>
              <w:right w:val="nil"/>
            </w:tcBorders>
          </w:tcPr>
          <w:p w14:paraId="2EBAB93D" w14:textId="77777777" w:rsidR="003E148C" w:rsidRPr="003E5F33" w:rsidRDefault="003E148C" w:rsidP="0026218B">
            <w:pPr>
              <w:widowControl w:val="0"/>
              <w:autoSpaceDE w:val="0"/>
              <w:autoSpaceDN w:val="0"/>
              <w:adjustRightInd w:val="0"/>
              <w:rPr>
                <w:sz w:val="20"/>
                <w:szCs w:val="20"/>
              </w:rPr>
            </w:pPr>
          </w:p>
        </w:tc>
        <w:tc>
          <w:tcPr>
            <w:tcW w:w="0" w:type="auto"/>
            <w:gridSpan w:val="2"/>
            <w:tcBorders>
              <w:top w:val="nil"/>
              <w:left w:val="nil"/>
              <w:bottom w:val="nil"/>
              <w:right w:val="nil"/>
            </w:tcBorders>
          </w:tcPr>
          <w:p w14:paraId="4C612A9B"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(0.0024)</w:t>
            </w:r>
          </w:p>
        </w:tc>
        <w:tc>
          <w:tcPr>
            <w:tcW w:w="0" w:type="auto"/>
            <w:tcBorders>
              <w:top w:val="nil"/>
              <w:left w:val="nil"/>
              <w:bottom w:val="nil"/>
              <w:right w:val="nil"/>
            </w:tcBorders>
          </w:tcPr>
          <w:p w14:paraId="46AC672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(0.0090)</w:t>
            </w:r>
          </w:p>
        </w:tc>
        <w:tc>
          <w:tcPr>
            <w:tcW w:w="0" w:type="auto"/>
            <w:gridSpan w:val="2"/>
            <w:tcBorders>
              <w:top w:val="nil"/>
              <w:left w:val="nil"/>
              <w:bottom w:val="nil"/>
              <w:right w:val="nil"/>
            </w:tcBorders>
          </w:tcPr>
          <w:p w14:paraId="5EFE441E"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(0.0012)</w:t>
            </w:r>
          </w:p>
        </w:tc>
        <w:tc>
          <w:tcPr>
            <w:tcW w:w="0" w:type="auto"/>
            <w:gridSpan w:val="2"/>
            <w:tcBorders>
              <w:top w:val="nil"/>
              <w:left w:val="nil"/>
              <w:bottom w:val="nil"/>
              <w:right w:val="nil"/>
            </w:tcBorders>
          </w:tcPr>
          <w:p w14:paraId="5B8823E4"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(0.0051)</w:t>
            </w:r>
          </w:p>
        </w:tc>
      </w:tr>
      <w:tr w:rsidR="003E148C" w:rsidRPr="003E5F33" w14:paraId="18BF955B" w14:textId="77777777" w:rsidTr="0026218B">
        <w:trPr>
          <w:trHeight w:hRule="exact" w:val="216"/>
          <w:jc w:val="center"/>
        </w:trPr>
        <w:tc>
          <w:tcPr>
            <w:tcW w:w="0" w:type="auto"/>
            <w:tcBorders>
              <w:top w:val="nil"/>
              <w:left w:val="nil"/>
              <w:bottom w:val="nil"/>
              <w:right w:val="nil"/>
            </w:tcBorders>
          </w:tcPr>
          <w:p w14:paraId="720EE67B" w14:textId="77777777" w:rsidR="003E148C" w:rsidRPr="003E5F33" w:rsidRDefault="003E148C" w:rsidP="0026218B">
            <w:pPr>
              <w:widowControl w:val="0"/>
              <w:autoSpaceDE w:val="0"/>
              <w:autoSpaceDN w:val="0"/>
              <w:adjustRightInd w:val="0"/>
              <w:rPr>
                <w:sz w:val="20"/>
                <w:szCs w:val="20"/>
              </w:rPr>
            </w:pPr>
            <w:r w:rsidRPr="003E5F33">
              <w:rPr>
                <w:sz w:val="20"/>
                <w:szCs w:val="20"/>
              </w:rPr>
              <w:t xml:space="preserve">R2 </w:t>
            </w:r>
          </w:p>
        </w:tc>
        <w:tc>
          <w:tcPr>
            <w:tcW w:w="0" w:type="auto"/>
            <w:gridSpan w:val="2"/>
            <w:tcBorders>
              <w:top w:val="nil"/>
              <w:left w:val="nil"/>
              <w:bottom w:val="nil"/>
              <w:right w:val="nil"/>
            </w:tcBorders>
          </w:tcPr>
          <w:p w14:paraId="40ACF1F2"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0.03</w:t>
            </w:r>
          </w:p>
        </w:tc>
        <w:tc>
          <w:tcPr>
            <w:tcW w:w="0" w:type="auto"/>
            <w:tcBorders>
              <w:top w:val="nil"/>
              <w:left w:val="nil"/>
              <w:bottom w:val="nil"/>
              <w:right w:val="nil"/>
            </w:tcBorders>
          </w:tcPr>
          <w:p w14:paraId="45CAB51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0.28</w:t>
            </w:r>
          </w:p>
        </w:tc>
        <w:tc>
          <w:tcPr>
            <w:tcW w:w="0" w:type="auto"/>
            <w:gridSpan w:val="2"/>
            <w:tcBorders>
              <w:top w:val="nil"/>
              <w:left w:val="nil"/>
              <w:bottom w:val="nil"/>
              <w:right w:val="nil"/>
            </w:tcBorders>
          </w:tcPr>
          <w:p w14:paraId="0C922DF1"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0.09</w:t>
            </w:r>
          </w:p>
        </w:tc>
        <w:tc>
          <w:tcPr>
            <w:tcW w:w="0" w:type="auto"/>
            <w:gridSpan w:val="2"/>
            <w:tcBorders>
              <w:top w:val="nil"/>
              <w:left w:val="nil"/>
              <w:bottom w:val="nil"/>
              <w:right w:val="nil"/>
            </w:tcBorders>
          </w:tcPr>
          <w:p w14:paraId="5EF93052"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0.29</w:t>
            </w:r>
          </w:p>
        </w:tc>
      </w:tr>
      <w:tr w:rsidR="003E148C" w:rsidRPr="003E5F33" w14:paraId="4BFD9D86" w14:textId="77777777" w:rsidTr="0026218B">
        <w:trPr>
          <w:trHeight w:hRule="exact" w:val="216"/>
          <w:jc w:val="center"/>
        </w:trPr>
        <w:tc>
          <w:tcPr>
            <w:tcW w:w="0" w:type="auto"/>
            <w:tcBorders>
              <w:top w:val="nil"/>
              <w:left w:val="nil"/>
              <w:bottom w:val="nil"/>
              <w:right w:val="nil"/>
            </w:tcBorders>
          </w:tcPr>
          <w:p w14:paraId="08D17630" w14:textId="77777777" w:rsidR="003E148C" w:rsidRPr="003E5F33" w:rsidRDefault="003E148C" w:rsidP="0026218B">
            <w:pPr>
              <w:widowControl w:val="0"/>
              <w:autoSpaceDE w:val="0"/>
              <w:autoSpaceDN w:val="0"/>
              <w:adjustRightInd w:val="0"/>
              <w:rPr>
                <w:sz w:val="20"/>
                <w:szCs w:val="20"/>
              </w:rPr>
            </w:pPr>
            <w:r w:rsidRPr="003E5F33">
              <w:rPr>
                <w:i/>
                <w:iCs/>
                <w:sz w:val="20"/>
                <w:szCs w:val="20"/>
              </w:rPr>
              <w:t>N</w:t>
            </w:r>
          </w:p>
        </w:tc>
        <w:tc>
          <w:tcPr>
            <w:tcW w:w="0" w:type="auto"/>
            <w:gridSpan w:val="2"/>
            <w:tcBorders>
              <w:top w:val="nil"/>
              <w:left w:val="nil"/>
              <w:bottom w:val="nil"/>
              <w:right w:val="nil"/>
            </w:tcBorders>
          </w:tcPr>
          <w:p w14:paraId="66AFD6C4"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6,382,293</w:t>
            </w:r>
          </w:p>
        </w:tc>
        <w:tc>
          <w:tcPr>
            <w:tcW w:w="0" w:type="auto"/>
            <w:tcBorders>
              <w:top w:val="nil"/>
              <w:left w:val="nil"/>
              <w:bottom w:val="nil"/>
              <w:right w:val="nil"/>
            </w:tcBorders>
          </w:tcPr>
          <w:p w14:paraId="02CF1A6A"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5,940,178</w:t>
            </w:r>
          </w:p>
        </w:tc>
        <w:tc>
          <w:tcPr>
            <w:tcW w:w="0" w:type="auto"/>
            <w:gridSpan w:val="2"/>
            <w:tcBorders>
              <w:top w:val="nil"/>
              <w:left w:val="nil"/>
              <w:bottom w:val="nil"/>
              <w:right w:val="nil"/>
            </w:tcBorders>
          </w:tcPr>
          <w:p w14:paraId="5E34F5A0"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15,199,396</w:t>
            </w:r>
          </w:p>
        </w:tc>
        <w:tc>
          <w:tcPr>
            <w:tcW w:w="0" w:type="auto"/>
            <w:gridSpan w:val="2"/>
            <w:tcBorders>
              <w:top w:val="nil"/>
              <w:left w:val="nil"/>
              <w:bottom w:val="nil"/>
              <w:right w:val="nil"/>
            </w:tcBorders>
          </w:tcPr>
          <w:p w14:paraId="30BFDFE8"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14,260,314</w:t>
            </w:r>
          </w:p>
        </w:tc>
      </w:tr>
      <w:tr w:rsidR="003E148C" w:rsidRPr="003E5F33" w14:paraId="7FB7ECDB" w14:textId="77777777" w:rsidTr="0026218B">
        <w:trPr>
          <w:trHeight w:hRule="exact" w:val="216"/>
          <w:jc w:val="center"/>
        </w:trPr>
        <w:tc>
          <w:tcPr>
            <w:tcW w:w="0" w:type="auto"/>
            <w:tcBorders>
              <w:top w:val="nil"/>
              <w:left w:val="nil"/>
              <w:bottom w:val="nil"/>
              <w:right w:val="nil"/>
            </w:tcBorders>
          </w:tcPr>
          <w:p w14:paraId="5B90FA24" w14:textId="77777777" w:rsidR="003E148C" w:rsidRPr="003E5F33" w:rsidRDefault="003E148C" w:rsidP="0026218B">
            <w:pPr>
              <w:widowControl w:val="0"/>
              <w:autoSpaceDE w:val="0"/>
              <w:autoSpaceDN w:val="0"/>
              <w:adjustRightInd w:val="0"/>
              <w:rPr>
                <w:sz w:val="20"/>
                <w:szCs w:val="20"/>
              </w:rPr>
            </w:pPr>
            <w:r>
              <w:rPr>
                <w:sz w:val="20"/>
                <w:szCs w:val="20"/>
              </w:rPr>
              <w:t>Occupation</w:t>
            </w:r>
            <w:r w:rsidRPr="003E5F33">
              <w:rPr>
                <w:sz w:val="20"/>
                <w:szCs w:val="20"/>
              </w:rPr>
              <w:t xml:space="preserve"> FE</w:t>
            </w:r>
          </w:p>
        </w:tc>
        <w:tc>
          <w:tcPr>
            <w:tcW w:w="0" w:type="auto"/>
            <w:gridSpan w:val="2"/>
            <w:tcBorders>
              <w:top w:val="nil"/>
              <w:left w:val="nil"/>
              <w:bottom w:val="nil"/>
              <w:right w:val="nil"/>
            </w:tcBorders>
          </w:tcPr>
          <w:p w14:paraId="63D91676"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YES</w:t>
            </w:r>
          </w:p>
        </w:tc>
        <w:tc>
          <w:tcPr>
            <w:tcW w:w="0" w:type="auto"/>
            <w:tcBorders>
              <w:top w:val="nil"/>
              <w:left w:val="nil"/>
              <w:bottom w:val="nil"/>
              <w:right w:val="nil"/>
            </w:tcBorders>
          </w:tcPr>
          <w:p w14:paraId="1A3F8F7A"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YES</w:t>
            </w:r>
          </w:p>
        </w:tc>
        <w:tc>
          <w:tcPr>
            <w:tcW w:w="0" w:type="auto"/>
            <w:gridSpan w:val="2"/>
            <w:tcBorders>
              <w:top w:val="nil"/>
              <w:left w:val="nil"/>
              <w:bottom w:val="nil"/>
              <w:right w:val="nil"/>
            </w:tcBorders>
          </w:tcPr>
          <w:p w14:paraId="136FF04C"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YES</w:t>
            </w:r>
          </w:p>
        </w:tc>
        <w:tc>
          <w:tcPr>
            <w:tcW w:w="0" w:type="auto"/>
            <w:gridSpan w:val="2"/>
            <w:tcBorders>
              <w:top w:val="nil"/>
              <w:left w:val="nil"/>
              <w:bottom w:val="nil"/>
              <w:right w:val="nil"/>
            </w:tcBorders>
          </w:tcPr>
          <w:p w14:paraId="48625732"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YES</w:t>
            </w:r>
          </w:p>
        </w:tc>
      </w:tr>
      <w:tr w:rsidR="003E148C" w:rsidRPr="003E5F33" w14:paraId="15A6DA76" w14:textId="77777777" w:rsidTr="0026218B">
        <w:trPr>
          <w:trHeight w:hRule="exact" w:val="216"/>
          <w:jc w:val="center"/>
        </w:trPr>
        <w:tc>
          <w:tcPr>
            <w:tcW w:w="0" w:type="auto"/>
            <w:tcBorders>
              <w:top w:val="nil"/>
              <w:left w:val="nil"/>
              <w:bottom w:val="nil"/>
              <w:right w:val="nil"/>
            </w:tcBorders>
          </w:tcPr>
          <w:p w14:paraId="4E0689A4" w14:textId="77777777" w:rsidR="003E148C" w:rsidRPr="003E5F33" w:rsidRDefault="003E148C" w:rsidP="0026218B">
            <w:pPr>
              <w:widowControl w:val="0"/>
              <w:autoSpaceDE w:val="0"/>
              <w:autoSpaceDN w:val="0"/>
              <w:adjustRightInd w:val="0"/>
              <w:rPr>
                <w:sz w:val="20"/>
                <w:szCs w:val="20"/>
              </w:rPr>
            </w:pPr>
            <w:r w:rsidRPr="003E5F33">
              <w:rPr>
                <w:sz w:val="20"/>
                <w:szCs w:val="20"/>
              </w:rPr>
              <w:t>Year FE</w:t>
            </w:r>
          </w:p>
        </w:tc>
        <w:tc>
          <w:tcPr>
            <w:tcW w:w="0" w:type="auto"/>
            <w:gridSpan w:val="2"/>
            <w:tcBorders>
              <w:top w:val="nil"/>
              <w:left w:val="nil"/>
              <w:bottom w:val="nil"/>
              <w:right w:val="nil"/>
            </w:tcBorders>
          </w:tcPr>
          <w:p w14:paraId="6BDB2A9F"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YES</w:t>
            </w:r>
          </w:p>
        </w:tc>
        <w:tc>
          <w:tcPr>
            <w:tcW w:w="0" w:type="auto"/>
            <w:tcBorders>
              <w:top w:val="nil"/>
              <w:left w:val="nil"/>
              <w:bottom w:val="nil"/>
              <w:right w:val="nil"/>
            </w:tcBorders>
          </w:tcPr>
          <w:p w14:paraId="51FF11FE"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YES</w:t>
            </w:r>
          </w:p>
        </w:tc>
        <w:tc>
          <w:tcPr>
            <w:tcW w:w="0" w:type="auto"/>
            <w:gridSpan w:val="2"/>
            <w:tcBorders>
              <w:top w:val="nil"/>
              <w:left w:val="nil"/>
              <w:bottom w:val="nil"/>
              <w:right w:val="nil"/>
            </w:tcBorders>
          </w:tcPr>
          <w:p w14:paraId="41621D68" w14:textId="77777777" w:rsidR="003E148C" w:rsidRPr="006B7259" w:rsidRDefault="003E148C" w:rsidP="0026218B">
            <w:pPr>
              <w:widowControl w:val="0"/>
              <w:autoSpaceDE w:val="0"/>
              <w:autoSpaceDN w:val="0"/>
              <w:adjustRightInd w:val="0"/>
              <w:jc w:val="center"/>
              <w:rPr>
                <w:sz w:val="20"/>
                <w:szCs w:val="20"/>
              </w:rPr>
            </w:pPr>
            <w:r w:rsidRPr="00683FB9">
              <w:rPr>
                <w:sz w:val="20"/>
                <w:szCs w:val="20"/>
              </w:rPr>
              <w:t>YES</w:t>
            </w:r>
          </w:p>
        </w:tc>
        <w:tc>
          <w:tcPr>
            <w:tcW w:w="0" w:type="auto"/>
            <w:gridSpan w:val="2"/>
            <w:tcBorders>
              <w:top w:val="nil"/>
              <w:left w:val="nil"/>
              <w:bottom w:val="nil"/>
              <w:right w:val="nil"/>
            </w:tcBorders>
          </w:tcPr>
          <w:p w14:paraId="6C0EFA57"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YES</w:t>
            </w:r>
          </w:p>
        </w:tc>
      </w:tr>
      <w:tr w:rsidR="003E148C" w:rsidRPr="003E5F33" w14:paraId="23326F97" w14:textId="77777777" w:rsidTr="0026218B">
        <w:trPr>
          <w:trHeight w:hRule="exact" w:val="216"/>
          <w:jc w:val="center"/>
        </w:trPr>
        <w:tc>
          <w:tcPr>
            <w:tcW w:w="0" w:type="auto"/>
            <w:tcBorders>
              <w:top w:val="nil"/>
              <w:left w:val="nil"/>
              <w:right w:val="nil"/>
            </w:tcBorders>
          </w:tcPr>
          <w:p w14:paraId="3D17A846" w14:textId="45A8B500" w:rsidR="003E148C" w:rsidRPr="003E5F33" w:rsidRDefault="004358A2" w:rsidP="0026218B">
            <w:pPr>
              <w:widowControl w:val="0"/>
              <w:autoSpaceDE w:val="0"/>
              <w:autoSpaceDN w:val="0"/>
              <w:adjustRightInd w:val="0"/>
              <w:rPr>
                <w:sz w:val="20"/>
                <w:szCs w:val="20"/>
              </w:rPr>
            </w:pPr>
            <w:r>
              <w:rPr>
                <w:sz w:val="20"/>
                <w:szCs w:val="20"/>
              </w:rPr>
              <w:t>Municipality</w:t>
            </w:r>
            <w:r w:rsidR="003E148C" w:rsidRPr="003E5F33">
              <w:rPr>
                <w:sz w:val="20"/>
                <w:szCs w:val="20"/>
              </w:rPr>
              <w:t xml:space="preserve"> FE</w:t>
            </w:r>
          </w:p>
        </w:tc>
        <w:tc>
          <w:tcPr>
            <w:tcW w:w="0" w:type="auto"/>
            <w:gridSpan w:val="2"/>
            <w:tcBorders>
              <w:top w:val="nil"/>
              <w:left w:val="nil"/>
              <w:right w:val="nil"/>
            </w:tcBorders>
          </w:tcPr>
          <w:p w14:paraId="4F9F633D" w14:textId="77777777" w:rsidR="003E148C" w:rsidRPr="00683FB9" w:rsidRDefault="003E148C" w:rsidP="0026218B">
            <w:pPr>
              <w:widowControl w:val="0"/>
              <w:autoSpaceDE w:val="0"/>
              <w:autoSpaceDN w:val="0"/>
              <w:adjustRightInd w:val="0"/>
              <w:jc w:val="center"/>
              <w:rPr>
                <w:sz w:val="20"/>
                <w:szCs w:val="20"/>
              </w:rPr>
            </w:pPr>
            <w:r w:rsidRPr="00683FB9">
              <w:rPr>
                <w:sz w:val="20"/>
                <w:szCs w:val="20"/>
              </w:rPr>
              <w:t>YES</w:t>
            </w:r>
          </w:p>
        </w:tc>
        <w:tc>
          <w:tcPr>
            <w:tcW w:w="0" w:type="auto"/>
            <w:tcBorders>
              <w:top w:val="nil"/>
              <w:left w:val="nil"/>
              <w:right w:val="nil"/>
            </w:tcBorders>
          </w:tcPr>
          <w:p w14:paraId="30AF04E3"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YES</w:t>
            </w:r>
          </w:p>
        </w:tc>
        <w:tc>
          <w:tcPr>
            <w:tcW w:w="0" w:type="auto"/>
            <w:gridSpan w:val="2"/>
            <w:tcBorders>
              <w:top w:val="nil"/>
              <w:left w:val="nil"/>
              <w:right w:val="nil"/>
            </w:tcBorders>
          </w:tcPr>
          <w:p w14:paraId="455B3741" w14:textId="77777777" w:rsidR="003E148C" w:rsidRPr="006B7259" w:rsidRDefault="003E148C" w:rsidP="0026218B">
            <w:pPr>
              <w:widowControl w:val="0"/>
              <w:autoSpaceDE w:val="0"/>
              <w:autoSpaceDN w:val="0"/>
              <w:adjustRightInd w:val="0"/>
              <w:jc w:val="center"/>
              <w:rPr>
                <w:sz w:val="20"/>
                <w:szCs w:val="20"/>
              </w:rPr>
            </w:pPr>
          </w:p>
        </w:tc>
        <w:tc>
          <w:tcPr>
            <w:tcW w:w="0" w:type="auto"/>
            <w:gridSpan w:val="2"/>
            <w:tcBorders>
              <w:top w:val="nil"/>
              <w:left w:val="nil"/>
              <w:right w:val="nil"/>
            </w:tcBorders>
          </w:tcPr>
          <w:p w14:paraId="57639AB1"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YES</w:t>
            </w:r>
          </w:p>
        </w:tc>
      </w:tr>
      <w:tr w:rsidR="003E148C" w:rsidRPr="003E5F33" w14:paraId="4E094A8A" w14:textId="77777777" w:rsidTr="0026218B">
        <w:trPr>
          <w:trHeight w:hRule="exact" w:val="216"/>
          <w:jc w:val="center"/>
        </w:trPr>
        <w:tc>
          <w:tcPr>
            <w:tcW w:w="0" w:type="auto"/>
            <w:tcBorders>
              <w:top w:val="nil"/>
              <w:left w:val="nil"/>
              <w:bottom w:val="single" w:sz="4" w:space="0" w:color="auto"/>
              <w:right w:val="nil"/>
            </w:tcBorders>
          </w:tcPr>
          <w:p w14:paraId="60EFADEC" w14:textId="77777777" w:rsidR="003E148C" w:rsidRPr="003E5F33" w:rsidRDefault="003E148C" w:rsidP="0026218B">
            <w:pPr>
              <w:widowControl w:val="0"/>
              <w:autoSpaceDE w:val="0"/>
              <w:autoSpaceDN w:val="0"/>
              <w:adjustRightInd w:val="0"/>
              <w:rPr>
                <w:sz w:val="20"/>
                <w:szCs w:val="20"/>
              </w:rPr>
            </w:pPr>
            <w:r w:rsidRPr="003E5F33">
              <w:rPr>
                <w:sz w:val="20"/>
                <w:szCs w:val="20"/>
              </w:rPr>
              <w:t>Worker FE</w:t>
            </w:r>
          </w:p>
        </w:tc>
        <w:tc>
          <w:tcPr>
            <w:tcW w:w="0" w:type="auto"/>
            <w:gridSpan w:val="2"/>
            <w:tcBorders>
              <w:top w:val="nil"/>
              <w:left w:val="nil"/>
              <w:bottom w:val="single" w:sz="4" w:space="0" w:color="auto"/>
              <w:right w:val="nil"/>
            </w:tcBorders>
          </w:tcPr>
          <w:p w14:paraId="65F02E2B" w14:textId="77777777" w:rsidR="003E148C" w:rsidRPr="00683FB9" w:rsidRDefault="003E148C" w:rsidP="0026218B">
            <w:pPr>
              <w:widowControl w:val="0"/>
              <w:autoSpaceDE w:val="0"/>
              <w:autoSpaceDN w:val="0"/>
              <w:adjustRightInd w:val="0"/>
              <w:jc w:val="center"/>
              <w:rPr>
                <w:sz w:val="20"/>
                <w:szCs w:val="20"/>
              </w:rPr>
            </w:pPr>
          </w:p>
        </w:tc>
        <w:tc>
          <w:tcPr>
            <w:tcW w:w="0" w:type="auto"/>
            <w:tcBorders>
              <w:top w:val="nil"/>
              <w:left w:val="nil"/>
              <w:bottom w:val="single" w:sz="4" w:space="0" w:color="auto"/>
              <w:right w:val="nil"/>
            </w:tcBorders>
          </w:tcPr>
          <w:p w14:paraId="4A2815FD" w14:textId="77777777" w:rsidR="003E148C" w:rsidRPr="006B7259" w:rsidRDefault="003E148C" w:rsidP="0026218B">
            <w:pPr>
              <w:widowControl w:val="0"/>
              <w:autoSpaceDE w:val="0"/>
              <w:autoSpaceDN w:val="0"/>
              <w:adjustRightInd w:val="0"/>
              <w:jc w:val="center"/>
              <w:rPr>
                <w:sz w:val="20"/>
                <w:szCs w:val="20"/>
              </w:rPr>
            </w:pPr>
            <w:r w:rsidRPr="006B7259">
              <w:rPr>
                <w:sz w:val="20"/>
                <w:szCs w:val="20"/>
              </w:rPr>
              <w:t>YES</w:t>
            </w:r>
          </w:p>
        </w:tc>
        <w:tc>
          <w:tcPr>
            <w:tcW w:w="0" w:type="auto"/>
            <w:gridSpan w:val="2"/>
            <w:tcBorders>
              <w:top w:val="nil"/>
              <w:left w:val="nil"/>
              <w:bottom w:val="single" w:sz="4" w:space="0" w:color="auto"/>
              <w:right w:val="nil"/>
            </w:tcBorders>
          </w:tcPr>
          <w:p w14:paraId="7EE07A1A" w14:textId="77777777" w:rsidR="003E148C" w:rsidRPr="006B7259" w:rsidRDefault="003E148C" w:rsidP="0026218B">
            <w:pPr>
              <w:widowControl w:val="0"/>
              <w:autoSpaceDE w:val="0"/>
              <w:autoSpaceDN w:val="0"/>
              <w:adjustRightInd w:val="0"/>
              <w:jc w:val="center"/>
              <w:rPr>
                <w:sz w:val="20"/>
                <w:szCs w:val="20"/>
              </w:rPr>
            </w:pPr>
          </w:p>
        </w:tc>
        <w:tc>
          <w:tcPr>
            <w:tcW w:w="0" w:type="auto"/>
            <w:gridSpan w:val="2"/>
            <w:tcBorders>
              <w:top w:val="nil"/>
              <w:left w:val="nil"/>
              <w:bottom w:val="single" w:sz="4" w:space="0" w:color="auto"/>
              <w:right w:val="nil"/>
            </w:tcBorders>
          </w:tcPr>
          <w:p w14:paraId="04B92691" w14:textId="77777777" w:rsidR="003E148C" w:rsidRPr="006B7259" w:rsidRDefault="003E148C" w:rsidP="0026218B">
            <w:pPr>
              <w:widowControl w:val="0"/>
              <w:autoSpaceDE w:val="0"/>
              <w:autoSpaceDN w:val="0"/>
              <w:adjustRightInd w:val="0"/>
              <w:jc w:val="center"/>
              <w:rPr>
                <w:sz w:val="20"/>
                <w:szCs w:val="20"/>
              </w:rPr>
            </w:pPr>
          </w:p>
        </w:tc>
      </w:tr>
      <w:tr w:rsidR="003E148C" w:rsidRPr="000B5B52" w14:paraId="4613A263" w14:textId="77777777" w:rsidTr="008814D0">
        <w:tblPrEx>
          <w:jc w:val="left"/>
          <w:tblCellMar>
            <w:left w:w="70" w:type="dxa"/>
            <w:right w:w="70" w:type="dxa"/>
          </w:tblCellMar>
          <w:tblLook w:val="04A0" w:firstRow="1" w:lastRow="0" w:firstColumn="1" w:lastColumn="0" w:noHBand="0" w:noVBand="1"/>
        </w:tblPrEx>
        <w:trPr>
          <w:gridAfter w:val="1"/>
          <w:trHeight w:val="43"/>
        </w:trPr>
        <w:tc>
          <w:tcPr>
            <w:tcW w:w="0" w:type="auto"/>
            <w:gridSpan w:val="2"/>
            <w:tcBorders>
              <w:top w:val="nil"/>
              <w:left w:val="nil"/>
              <w:bottom w:val="nil"/>
              <w:right w:val="nil"/>
            </w:tcBorders>
            <w:shd w:val="clear" w:color="auto" w:fill="auto"/>
            <w:noWrap/>
            <w:vAlign w:val="bottom"/>
            <w:hideMark/>
          </w:tcPr>
          <w:p w14:paraId="557D5D02" w14:textId="77777777" w:rsidR="003E148C" w:rsidRPr="00B200A7" w:rsidRDefault="003E148C" w:rsidP="0026218B">
            <w:pPr>
              <w:rPr>
                <w:sz w:val="20"/>
                <w:szCs w:val="20"/>
                <w:lang w:eastAsia="pt-PT"/>
              </w:rPr>
            </w:pPr>
            <w:r w:rsidRPr="00B200A7">
              <w:rPr>
                <w:sz w:val="20"/>
                <w:szCs w:val="20"/>
                <w:lang w:eastAsia="pt-PT"/>
              </w:rPr>
              <w:t>Robust standard errors clustered by municipality in brackets</w:t>
            </w:r>
          </w:p>
        </w:tc>
        <w:tc>
          <w:tcPr>
            <w:tcW w:w="0" w:type="auto"/>
            <w:gridSpan w:val="3"/>
            <w:tcBorders>
              <w:top w:val="nil"/>
              <w:left w:val="nil"/>
              <w:bottom w:val="nil"/>
              <w:right w:val="nil"/>
            </w:tcBorders>
          </w:tcPr>
          <w:p w14:paraId="4565FD81" w14:textId="77777777" w:rsidR="003E148C" w:rsidRPr="00B200A7" w:rsidRDefault="003E148C" w:rsidP="0026218B">
            <w:pPr>
              <w:rPr>
                <w:sz w:val="20"/>
                <w:szCs w:val="20"/>
                <w:lang w:eastAsia="pt-PT"/>
              </w:rPr>
            </w:pPr>
          </w:p>
        </w:tc>
        <w:tc>
          <w:tcPr>
            <w:tcW w:w="0" w:type="auto"/>
            <w:gridSpan w:val="2"/>
            <w:tcBorders>
              <w:top w:val="nil"/>
              <w:left w:val="nil"/>
              <w:bottom w:val="nil"/>
              <w:right w:val="nil"/>
            </w:tcBorders>
          </w:tcPr>
          <w:p w14:paraId="74BB074A" w14:textId="77777777" w:rsidR="003E148C" w:rsidRPr="000B5B52" w:rsidRDefault="003E148C" w:rsidP="0026218B">
            <w:pPr>
              <w:rPr>
                <w:sz w:val="18"/>
                <w:szCs w:val="18"/>
                <w:lang w:eastAsia="pt-PT"/>
              </w:rPr>
            </w:pPr>
          </w:p>
        </w:tc>
      </w:tr>
    </w:tbl>
    <w:p w14:paraId="55238335" w14:textId="77777777" w:rsidR="009C1B65" w:rsidRDefault="009C1B65" w:rsidP="003E148C">
      <w:pPr>
        <w:widowControl w:val="0"/>
        <w:autoSpaceDE w:val="0"/>
        <w:autoSpaceDN w:val="0"/>
        <w:adjustRightInd w:val="0"/>
        <w:sectPr w:rsidR="009C1B65" w:rsidSect="0026218B">
          <w:pgSz w:w="11906" w:h="16838"/>
          <w:pgMar w:top="1417" w:right="1417" w:bottom="1417" w:left="1417" w:header="708" w:footer="708" w:gutter="0"/>
          <w:cols w:space="708"/>
          <w:docGrid w:linePitch="360"/>
        </w:sectPr>
      </w:pPr>
    </w:p>
    <w:p w14:paraId="26CA40E2" w14:textId="77777777" w:rsidR="003E148C" w:rsidRDefault="003E148C" w:rsidP="003E148C">
      <w:pPr>
        <w:rPr>
          <w:b/>
        </w:rPr>
      </w:pPr>
    </w:p>
    <w:p w14:paraId="3827EA28" w14:textId="77777777" w:rsidR="003E148C" w:rsidRDefault="003E148C" w:rsidP="003E148C">
      <w:pPr>
        <w:keepNext/>
        <w:keepLines/>
        <w:autoSpaceDE w:val="0"/>
        <w:autoSpaceDN w:val="0"/>
        <w:adjustRightInd w:val="0"/>
        <w:outlineLvl w:val="1"/>
        <w:rPr>
          <w:b/>
          <w:sz w:val="22"/>
          <w:szCs w:val="22"/>
        </w:rPr>
      </w:pPr>
      <w:r w:rsidRPr="00E94742">
        <w:rPr>
          <w:b/>
          <w:sz w:val="22"/>
          <w:szCs w:val="22"/>
        </w:rPr>
        <w:t xml:space="preserve">Table </w:t>
      </w:r>
      <w:r>
        <w:rPr>
          <w:b/>
          <w:sz w:val="22"/>
          <w:szCs w:val="22"/>
        </w:rPr>
        <w:t>A</w:t>
      </w:r>
      <w:r w:rsidRPr="00E94742">
        <w:rPr>
          <w:b/>
          <w:sz w:val="22"/>
          <w:szCs w:val="22"/>
        </w:rPr>
        <w:t>1</w:t>
      </w:r>
      <w:r>
        <w:rPr>
          <w:b/>
          <w:sz w:val="22"/>
          <w:szCs w:val="22"/>
        </w:rPr>
        <w:t>2</w:t>
      </w:r>
      <w:r w:rsidRPr="00E94742">
        <w:rPr>
          <w:b/>
          <w:sz w:val="22"/>
          <w:szCs w:val="22"/>
        </w:rPr>
        <w:t>. Exogeneity of the shock</w:t>
      </w:r>
    </w:p>
    <w:p w14:paraId="6E4EC204" w14:textId="77777777" w:rsidR="003E148C" w:rsidRPr="00E94742" w:rsidRDefault="003E148C" w:rsidP="003E148C">
      <w:pPr>
        <w:keepNext/>
        <w:keepLines/>
        <w:autoSpaceDE w:val="0"/>
        <w:autoSpaceDN w:val="0"/>
        <w:adjustRightInd w:val="0"/>
        <w:outlineLvl w:val="1"/>
        <w:rPr>
          <w:b/>
          <w:sz w:val="22"/>
          <w:szCs w:val="22"/>
        </w:rPr>
      </w:pPr>
    </w:p>
    <w:tbl>
      <w:tblPr>
        <w:tblW w:w="0" w:type="auto"/>
        <w:tblLook w:val="04A0" w:firstRow="1" w:lastRow="0" w:firstColumn="1" w:lastColumn="0" w:noHBand="0" w:noVBand="1"/>
      </w:tblPr>
      <w:tblGrid>
        <w:gridCol w:w="2405"/>
        <w:gridCol w:w="1216"/>
        <w:gridCol w:w="1216"/>
        <w:gridCol w:w="1216"/>
        <w:gridCol w:w="1216"/>
        <w:gridCol w:w="1216"/>
        <w:gridCol w:w="1216"/>
        <w:gridCol w:w="1216"/>
        <w:gridCol w:w="1216"/>
      </w:tblGrid>
      <w:tr w:rsidR="003E148C" w:rsidRPr="00BD2A98" w14:paraId="59D7EF9A" w14:textId="77777777" w:rsidTr="0026218B">
        <w:trPr>
          <w:trHeight w:val="20"/>
        </w:trPr>
        <w:tc>
          <w:tcPr>
            <w:tcW w:w="0" w:type="auto"/>
            <w:tcBorders>
              <w:top w:val="single" w:sz="4" w:space="0" w:color="000000"/>
              <w:left w:val="nil"/>
              <w:bottom w:val="nil"/>
              <w:right w:val="nil"/>
            </w:tcBorders>
            <w:shd w:val="clear" w:color="auto" w:fill="auto"/>
            <w:noWrap/>
            <w:vAlign w:val="bottom"/>
            <w:hideMark/>
          </w:tcPr>
          <w:p w14:paraId="5E760A37" w14:textId="77777777" w:rsidR="003E148C" w:rsidRPr="00BD2A98" w:rsidRDefault="003E148C" w:rsidP="0026218B">
            <w:pPr>
              <w:widowControl w:val="0"/>
              <w:autoSpaceDE w:val="0"/>
              <w:autoSpaceDN w:val="0"/>
              <w:adjustRightInd w:val="0"/>
              <w:rPr>
                <w:sz w:val="20"/>
                <w:szCs w:val="20"/>
              </w:rPr>
            </w:pPr>
            <w:r w:rsidRPr="00BD2A98">
              <w:rPr>
                <w:sz w:val="20"/>
                <w:szCs w:val="20"/>
              </w:rPr>
              <w:t> </w:t>
            </w:r>
          </w:p>
        </w:tc>
        <w:tc>
          <w:tcPr>
            <w:tcW w:w="0" w:type="auto"/>
            <w:tcBorders>
              <w:top w:val="single" w:sz="4" w:space="0" w:color="000000"/>
              <w:left w:val="nil"/>
              <w:bottom w:val="nil"/>
              <w:right w:val="nil"/>
            </w:tcBorders>
            <w:shd w:val="clear" w:color="auto" w:fill="auto"/>
            <w:noWrap/>
            <w:vAlign w:val="bottom"/>
            <w:hideMark/>
          </w:tcPr>
          <w:p w14:paraId="7172B61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w:t>
            </w:r>
          </w:p>
        </w:tc>
        <w:tc>
          <w:tcPr>
            <w:tcW w:w="0" w:type="auto"/>
            <w:tcBorders>
              <w:top w:val="single" w:sz="4" w:space="0" w:color="000000"/>
              <w:left w:val="nil"/>
              <w:bottom w:val="nil"/>
              <w:right w:val="nil"/>
            </w:tcBorders>
            <w:shd w:val="clear" w:color="auto" w:fill="auto"/>
            <w:noWrap/>
            <w:vAlign w:val="bottom"/>
            <w:hideMark/>
          </w:tcPr>
          <w:p w14:paraId="58BFC56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w:t>
            </w:r>
          </w:p>
        </w:tc>
        <w:tc>
          <w:tcPr>
            <w:tcW w:w="0" w:type="auto"/>
            <w:tcBorders>
              <w:top w:val="single" w:sz="4" w:space="0" w:color="000000"/>
              <w:left w:val="nil"/>
              <w:bottom w:val="nil"/>
              <w:right w:val="nil"/>
            </w:tcBorders>
            <w:shd w:val="clear" w:color="auto" w:fill="auto"/>
            <w:noWrap/>
            <w:vAlign w:val="bottom"/>
            <w:hideMark/>
          </w:tcPr>
          <w:p w14:paraId="5005CE3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w:t>
            </w:r>
          </w:p>
        </w:tc>
        <w:tc>
          <w:tcPr>
            <w:tcW w:w="0" w:type="auto"/>
            <w:tcBorders>
              <w:top w:val="single" w:sz="4" w:space="0" w:color="000000"/>
              <w:left w:val="nil"/>
              <w:bottom w:val="nil"/>
              <w:right w:val="nil"/>
            </w:tcBorders>
            <w:shd w:val="clear" w:color="auto" w:fill="auto"/>
            <w:noWrap/>
            <w:vAlign w:val="bottom"/>
            <w:hideMark/>
          </w:tcPr>
          <w:p w14:paraId="09C5429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(4)</w:t>
            </w:r>
          </w:p>
        </w:tc>
        <w:tc>
          <w:tcPr>
            <w:tcW w:w="0" w:type="auto"/>
            <w:tcBorders>
              <w:top w:val="single" w:sz="4" w:space="0" w:color="000000"/>
              <w:left w:val="nil"/>
              <w:bottom w:val="nil"/>
              <w:right w:val="nil"/>
            </w:tcBorders>
            <w:shd w:val="clear" w:color="auto" w:fill="auto"/>
            <w:noWrap/>
            <w:vAlign w:val="bottom"/>
            <w:hideMark/>
          </w:tcPr>
          <w:p w14:paraId="6F9770B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(5)</w:t>
            </w:r>
          </w:p>
        </w:tc>
        <w:tc>
          <w:tcPr>
            <w:tcW w:w="0" w:type="auto"/>
            <w:tcBorders>
              <w:top w:val="single" w:sz="4" w:space="0" w:color="000000"/>
              <w:left w:val="nil"/>
              <w:bottom w:val="nil"/>
              <w:right w:val="nil"/>
            </w:tcBorders>
            <w:shd w:val="clear" w:color="auto" w:fill="auto"/>
            <w:noWrap/>
            <w:vAlign w:val="bottom"/>
            <w:hideMark/>
          </w:tcPr>
          <w:p w14:paraId="1FCB231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(6)</w:t>
            </w:r>
          </w:p>
        </w:tc>
        <w:tc>
          <w:tcPr>
            <w:tcW w:w="0" w:type="auto"/>
            <w:tcBorders>
              <w:top w:val="single" w:sz="4" w:space="0" w:color="000000"/>
              <w:left w:val="nil"/>
              <w:bottom w:val="nil"/>
              <w:right w:val="nil"/>
            </w:tcBorders>
            <w:shd w:val="clear" w:color="auto" w:fill="auto"/>
            <w:noWrap/>
            <w:vAlign w:val="bottom"/>
            <w:hideMark/>
          </w:tcPr>
          <w:p w14:paraId="4F0E460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(7)</w:t>
            </w:r>
          </w:p>
        </w:tc>
        <w:tc>
          <w:tcPr>
            <w:tcW w:w="0" w:type="auto"/>
            <w:tcBorders>
              <w:top w:val="single" w:sz="4" w:space="0" w:color="000000"/>
              <w:left w:val="nil"/>
              <w:bottom w:val="nil"/>
              <w:right w:val="nil"/>
            </w:tcBorders>
            <w:shd w:val="clear" w:color="auto" w:fill="auto"/>
            <w:noWrap/>
            <w:vAlign w:val="bottom"/>
            <w:hideMark/>
          </w:tcPr>
          <w:p w14:paraId="71A1737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(8)</w:t>
            </w:r>
          </w:p>
        </w:tc>
      </w:tr>
      <w:tr w:rsidR="003E148C" w:rsidRPr="00BD2A98" w14:paraId="76ECD180" w14:textId="77777777" w:rsidTr="0026218B">
        <w:trPr>
          <w:trHeight w:val="20"/>
        </w:trPr>
        <w:tc>
          <w:tcPr>
            <w:tcW w:w="0" w:type="auto"/>
            <w:tcBorders>
              <w:top w:val="nil"/>
              <w:left w:val="nil"/>
              <w:bottom w:val="nil"/>
              <w:right w:val="nil"/>
            </w:tcBorders>
            <w:shd w:val="clear" w:color="auto" w:fill="auto"/>
            <w:noWrap/>
            <w:vAlign w:val="bottom"/>
            <w:hideMark/>
          </w:tcPr>
          <w:p w14:paraId="4C0FD085" w14:textId="77777777" w:rsidR="003E148C" w:rsidRPr="00BD2A98" w:rsidRDefault="003E148C" w:rsidP="0026218B">
            <w:pPr>
              <w:widowControl w:val="0"/>
              <w:autoSpaceDE w:val="0"/>
              <w:autoSpaceDN w:val="0"/>
              <w:adjustRightInd w:val="0"/>
              <w:rPr>
                <w:sz w:val="20"/>
                <w:szCs w:val="20"/>
              </w:rPr>
            </w:pPr>
            <w:r w:rsidRPr="00BD2A98">
              <w:rPr>
                <w:sz w:val="20"/>
                <w:szCs w:val="20"/>
              </w:rPr>
              <w:t>VARIABLES</w:t>
            </w:r>
          </w:p>
        </w:tc>
        <w:tc>
          <w:tcPr>
            <w:tcW w:w="0" w:type="auto"/>
            <w:tcBorders>
              <w:top w:val="nil"/>
              <w:left w:val="nil"/>
              <w:bottom w:val="nil"/>
              <w:right w:val="nil"/>
            </w:tcBorders>
            <w:shd w:val="clear" w:color="auto" w:fill="auto"/>
            <w:noWrap/>
            <w:vAlign w:val="bottom"/>
            <w:hideMark/>
          </w:tcPr>
          <w:p w14:paraId="15BF5589" w14:textId="77777777" w:rsidR="003E148C"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 xml:space="preserve">Entry </w:t>
            </w:r>
            <w:r>
              <w:rPr>
                <w:sz w:val="20"/>
                <w:szCs w:val="20"/>
                <w:lang w:val="fr-FR" w:eastAsia="fr-FR"/>
              </w:rPr>
              <w:t>`</w:t>
            </w:r>
          </w:p>
          <w:p w14:paraId="68412C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deregulation</w:t>
            </w:r>
          </w:p>
        </w:tc>
        <w:tc>
          <w:tcPr>
            <w:tcW w:w="0" w:type="auto"/>
            <w:tcBorders>
              <w:top w:val="nil"/>
              <w:left w:val="nil"/>
              <w:bottom w:val="nil"/>
              <w:right w:val="nil"/>
            </w:tcBorders>
            <w:shd w:val="clear" w:color="auto" w:fill="auto"/>
            <w:noWrap/>
            <w:vAlign w:val="bottom"/>
            <w:hideMark/>
          </w:tcPr>
          <w:p w14:paraId="275DD21C" w14:textId="77777777" w:rsidR="003E148C"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 xml:space="preserve">Entry </w:t>
            </w:r>
          </w:p>
          <w:p w14:paraId="55523D4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deregulation</w:t>
            </w:r>
          </w:p>
        </w:tc>
        <w:tc>
          <w:tcPr>
            <w:tcW w:w="0" w:type="auto"/>
            <w:tcBorders>
              <w:top w:val="nil"/>
              <w:left w:val="nil"/>
              <w:bottom w:val="nil"/>
              <w:right w:val="nil"/>
            </w:tcBorders>
            <w:shd w:val="clear" w:color="auto" w:fill="auto"/>
            <w:noWrap/>
            <w:vAlign w:val="bottom"/>
            <w:hideMark/>
          </w:tcPr>
          <w:p w14:paraId="4F05ED70" w14:textId="77777777" w:rsidR="003E148C"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Entry</w:t>
            </w:r>
          </w:p>
          <w:p w14:paraId="3172CC5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deregulation</w:t>
            </w:r>
          </w:p>
        </w:tc>
        <w:tc>
          <w:tcPr>
            <w:tcW w:w="0" w:type="auto"/>
            <w:tcBorders>
              <w:top w:val="nil"/>
              <w:left w:val="nil"/>
              <w:bottom w:val="nil"/>
              <w:right w:val="nil"/>
            </w:tcBorders>
            <w:shd w:val="clear" w:color="auto" w:fill="auto"/>
            <w:noWrap/>
            <w:vAlign w:val="bottom"/>
            <w:hideMark/>
          </w:tcPr>
          <w:p w14:paraId="1C14DEC0" w14:textId="77777777" w:rsidR="003E148C"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 xml:space="preserve">Entry </w:t>
            </w:r>
          </w:p>
          <w:p w14:paraId="67B21C6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deregulation</w:t>
            </w:r>
          </w:p>
        </w:tc>
        <w:tc>
          <w:tcPr>
            <w:tcW w:w="0" w:type="auto"/>
            <w:tcBorders>
              <w:top w:val="nil"/>
              <w:left w:val="nil"/>
              <w:bottom w:val="nil"/>
              <w:right w:val="nil"/>
            </w:tcBorders>
            <w:shd w:val="clear" w:color="auto" w:fill="auto"/>
            <w:noWrap/>
            <w:vAlign w:val="bottom"/>
            <w:hideMark/>
          </w:tcPr>
          <w:p w14:paraId="36F78AA8" w14:textId="77777777" w:rsidR="003E148C"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 xml:space="preserve">Entry </w:t>
            </w:r>
          </w:p>
          <w:p w14:paraId="518F2B9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deregulation</w:t>
            </w:r>
          </w:p>
        </w:tc>
        <w:tc>
          <w:tcPr>
            <w:tcW w:w="0" w:type="auto"/>
            <w:tcBorders>
              <w:top w:val="nil"/>
              <w:left w:val="nil"/>
              <w:bottom w:val="nil"/>
              <w:right w:val="nil"/>
            </w:tcBorders>
            <w:shd w:val="clear" w:color="auto" w:fill="auto"/>
            <w:noWrap/>
            <w:vAlign w:val="bottom"/>
            <w:hideMark/>
          </w:tcPr>
          <w:p w14:paraId="7C874006" w14:textId="77777777" w:rsidR="003E148C"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 xml:space="preserve">Entry </w:t>
            </w:r>
          </w:p>
          <w:p w14:paraId="6BB02B0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deregulation</w:t>
            </w:r>
          </w:p>
        </w:tc>
        <w:tc>
          <w:tcPr>
            <w:tcW w:w="0" w:type="auto"/>
            <w:tcBorders>
              <w:top w:val="nil"/>
              <w:left w:val="nil"/>
              <w:bottom w:val="nil"/>
              <w:right w:val="nil"/>
            </w:tcBorders>
            <w:shd w:val="clear" w:color="auto" w:fill="auto"/>
            <w:noWrap/>
            <w:vAlign w:val="bottom"/>
            <w:hideMark/>
          </w:tcPr>
          <w:p w14:paraId="606F8754" w14:textId="77777777" w:rsidR="003E148C"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 xml:space="preserve">Entry </w:t>
            </w:r>
          </w:p>
          <w:p w14:paraId="31A78EF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deregulation</w:t>
            </w:r>
          </w:p>
        </w:tc>
        <w:tc>
          <w:tcPr>
            <w:tcW w:w="0" w:type="auto"/>
            <w:tcBorders>
              <w:top w:val="nil"/>
              <w:left w:val="nil"/>
              <w:bottom w:val="nil"/>
              <w:right w:val="nil"/>
            </w:tcBorders>
            <w:shd w:val="clear" w:color="auto" w:fill="auto"/>
            <w:noWrap/>
            <w:vAlign w:val="bottom"/>
            <w:hideMark/>
          </w:tcPr>
          <w:p w14:paraId="042541DA" w14:textId="77777777" w:rsidR="003E148C"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 xml:space="preserve">Entry </w:t>
            </w:r>
          </w:p>
          <w:p w14:paraId="245BF5A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deregulation</w:t>
            </w:r>
          </w:p>
        </w:tc>
      </w:tr>
      <w:tr w:rsidR="003E148C" w:rsidRPr="00BD2A98" w14:paraId="388060A0" w14:textId="77777777" w:rsidTr="0026218B">
        <w:trPr>
          <w:trHeight w:val="20"/>
        </w:trPr>
        <w:tc>
          <w:tcPr>
            <w:tcW w:w="0" w:type="auto"/>
            <w:tcBorders>
              <w:top w:val="single" w:sz="4" w:space="0" w:color="000000"/>
              <w:left w:val="nil"/>
              <w:bottom w:val="nil"/>
              <w:right w:val="nil"/>
            </w:tcBorders>
            <w:shd w:val="clear" w:color="auto" w:fill="auto"/>
            <w:noWrap/>
            <w:vAlign w:val="bottom"/>
            <w:hideMark/>
          </w:tcPr>
          <w:p w14:paraId="762E0BAA" w14:textId="77777777" w:rsidR="003E148C" w:rsidRPr="00BD2A98" w:rsidRDefault="003E148C" w:rsidP="0026218B">
            <w:pPr>
              <w:widowControl w:val="0"/>
              <w:autoSpaceDE w:val="0"/>
              <w:autoSpaceDN w:val="0"/>
              <w:adjustRightInd w:val="0"/>
              <w:rPr>
                <w:sz w:val="20"/>
                <w:szCs w:val="20"/>
              </w:rPr>
            </w:pPr>
            <w:r w:rsidRPr="00BD2A98">
              <w:rPr>
                <w:sz w:val="20"/>
                <w:szCs w:val="20"/>
              </w:rPr>
              <w:t> </w:t>
            </w:r>
          </w:p>
        </w:tc>
        <w:tc>
          <w:tcPr>
            <w:tcW w:w="0" w:type="auto"/>
            <w:tcBorders>
              <w:top w:val="single" w:sz="4" w:space="0" w:color="000000"/>
              <w:left w:val="nil"/>
              <w:bottom w:val="nil"/>
              <w:right w:val="nil"/>
            </w:tcBorders>
            <w:shd w:val="clear" w:color="auto" w:fill="auto"/>
            <w:noWrap/>
            <w:vAlign w:val="bottom"/>
            <w:hideMark/>
          </w:tcPr>
          <w:p w14:paraId="5F8275D0"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single" w:sz="4" w:space="0" w:color="000000"/>
              <w:left w:val="nil"/>
              <w:bottom w:val="nil"/>
              <w:right w:val="nil"/>
            </w:tcBorders>
            <w:shd w:val="clear" w:color="auto" w:fill="auto"/>
            <w:noWrap/>
            <w:vAlign w:val="bottom"/>
            <w:hideMark/>
          </w:tcPr>
          <w:p w14:paraId="2AEE8C8C"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single" w:sz="4" w:space="0" w:color="000000"/>
              <w:left w:val="nil"/>
              <w:bottom w:val="nil"/>
              <w:right w:val="nil"/>
            </w:tcBorders>
            <w:shd w:val="clear" w:color="auto" w:fill="auto"/>
            <w:noWrap/>
            <w:vAlign w:val="bottom"/>
            <w:hideMark/>
          </w:tcPr>
          <w:p w14:paraId="1C92A47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single" w:sz="4" w:space="0" w:color="000000"/>
              <w:left w:val="nil"/>
              <w:bottom w:val="nil"/>
              <w:right w:val="nil"/>
            </w:tcBorders>
            <w:shd w:val="clear" w:color="auto" w:fill="auto"/>
            <w:noWrap/>
            <w:vAlign w:val="bottom"/>
            <w:hideMark/>
          </w:tcPr>
          <w:p w14:paraId="40BD09C8"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single" w:sz="4" w:space="0" w:color="000000"/>
              <w:left w:val="nil"/>
              <w:bottom w:val="nil"/>
              <w:right w:val="nil"/>
            </w:tcBorders>
            <w:shd w:val="clear" w:color="auto" w:fill="auto"/>
            <w:noWrap/>
            <w:vAlign w:val="bottom"/>
            <w:hideMark/>
          </w:tcPr>
          <w:p w14:paraId="2F2D043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single" w:sz="4" w:space="0" w:color="000000"/>
              <w:left w:val="nil"/>
              <w:bottom w:val="nil"/>
              <w:right w:val="nil"/>
            </w:tcBorders>
            <w:shd w:val="clear" w:color="auto" w:fill="auto"/>
            <w:noWrap/>
            <w:vAlign w:val="bottom"/>
            <w:hideMark/>
          </w:tcPr>
          <w:p w14:paraId="6D08760B"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single" w:sz="4" w:space="0" w:color="000000"/>
              <w:left w:val="nil"/>
              <w:bottom w:val="nil"/>
              <w:right w:val="nil"/>
            </w:tcBorders>
            <w:shd w:val="clear" w:color="auto" w:fill="auto"/>
            <w:noWrap/>
            <w:vAlign w:val="bottom"/>
            <w:hideMark/>
          </w:tcPr>
          <w:p w14:paraId="78A574AF"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single" w:sz="4" w:space="0" w:color="000000"/>
              <w:left w:val="nil"/>
              <w:bottom w:val="nil"/>
              <w:right w:val="nil"/>
            </w:tcBorders>
            <w:shd w:val="clear" w:color="auto" w:fill="auto"/>
            <w:noWrap/>
            <w:vAlign w:val="bottom"/>
            <w:hideMark/>
          </w:tcPr>
          <w:p w14:paraId="7E7A64F7"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52C75A0D" w14:textId="77777777" w:rsidTr="0026218B">
        <w:trPr>
          <w:trHeight w:val="20"/>
        </w:trPr>
        <w:tc>
          <w:tcPr>
            <w:tcW w:w="0" w:type="auto"/>
            <w:tcBorders>
              <w:top w:val="nil"/>
              <w:left w:val="nil"/>
              <w:bottom w:val="nil"/>
              <w:right w:val="nil"/>
            </w:tcBorders>
            <w:shd w:val="clear" w:color="auto" w:fill="auto"/>
            <w:noWrap/>
            <w:vAlign w:val="bottom"/>
            <w:hideMark/>
          </w:tcPr>
          <w:p w14:paraId="3007AE92" w14:textId="77777777" w:rsidR="003E148C" w:rsidRPr="00BD2A98" w:rsidRDefault="003E148C" w:rsidP="0026218B">
            <w:pPr>
              <w:widowControl w:val="0"/>
              <w:autoSpaceDE w:val="0"/>
              <w:autoSpaceDN w:val="0"/>
              <w:adjustRightInd w:val="0"/>
              <w:rPr>
                <w:sz w:val="20"/>
                <w:szCs w:val="20"/>
              </w:rPr>
            </w:pPr>
            <w:r w:rsidRPr="00BD2A98">
              <w:rPr>
                <w:sz w:val="20"/>
                <w:szCs w:val="20"/>
              </w:rPr>
              <w:t>Entry rate</w:t>
            </w:r>
          </w:p>
        </w:tc>
        <w:tc>
          <w:tcPr>
            <w:tcW w:w="0" w:type="auto"/>
            <w:tcBorders>
              <w:top w:val="nil"/>
              <w:left w:val="nil"/>
              <w:bottom w:val="nil"/>
              <w:right w:val="nil"/>
            </w:tcBorders>
            <w:shd w:val="clear" w:color="auto" w:fill="auto"/>
            <w:noWrap/>
            <w:vAlign w:val="bottom"/>
            <w:hideMark/>
          </w:tcPr>
          <w:p w14:paraId="31C0E5B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50396CA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0.290</w:t>
            </w:r>
          </w:p>
        </w:tc>
        <w:tc>
          <w:tcPr>
            <w:tcW w:w="0" w:type="auto"/>
            <w:tcBorders>
              <w:top w:val="nil"/>
              <w:left w:val="nil"/>
              <w:bottom w:val="nil"/>
              <w:right w:val="nil"/>
            </w:tcBorders>
            <w:shd w:val="clear" w:color="auto" w:fill="auto"/>
            <w:noWrap/>
            <w:vAlign w:val="bottom"/>
            <w:hideMark/>
          </w:tcPr>
          <w:p w14:paraId="460B28D3"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352A09C9"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28C6236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-0.0652</w:t>
            </w:r>
          </w:p>
        </w:tc>
        <w:tc>
          <w:tcPr>
            <w:tcW w:w="0" w:type="auto"/>
            <w:tcBorders>
              <w:top w:val="nil"/>
              <w:left w:val="nil"/>
              <w:bottom w:val="nil"/>
              <w:right w:val="nil"/>
            </w:tcBorders>
            <w:shd w:val="clear" w:color="auto" w:fill="auto"/>
            <w:noWrap/>
            <w:vAlign w:val="bottom"/>
            <w:hideMark/>
          </w:tcPr>
          <w:p w14:paraId="5449403F"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19328735"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4279B95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-0.0715</w:t>
            </w:r>
          </w:p>
        </w:tc>
      </w:tr>
      <w:tr w:rsidR="003E148C" w:rsidRPr="00BD2A98" w14:paraId="2403D325" w14:textId="77777777" w:rsidTr="0026218B">
        <w:trPr>
          <w:trHeight w:val="20"/>
        </w:trPr>
        <w:tc>
          <w:tcPr>
            <w:tcW w:w="0" w:type="auto"/>
            <w:tcBorders>
              <w:top w:val="nil"/>
              <w:left w:val="nil"/>
              <w:bottom w:val="nil"/>
              <w:right w:val="nil"/>
            </w:tcBorders>
            <w:shd w:val="clear" w:color="auto" w:fill="auto"/>
            <w:noWrap/>
            <w:vAlign w:val="bottom"/>
            <w:hideMark/>
          </w:tcPr>
          <w:p w14:paraId="44D687B4"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shd w:val="clear" w:color="auto" w:fill="auto"/>
            <w:noWrap/>
            <w:vAlign w:val="bottom"/>
            <w:hideMark/>
          </w:tcPr>
          <w:p w14:paraId="7520DC3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08ACB29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(0.204)</w:t>
            </w:r>
          </w:p>
        </w:tc>
        <w:tc>
          <w:tcPr>
            <w:tcW w:w="0" w:type="auto"/>
            <w:tcBorders>
              <w:top w:val="nil"/>
              <w:left w:val="nil"/>
              <w:bottom w:val="nil"/>
              <w:right w:val="nil"/>
            </w:tcBorders>
            <w:shd w:val="clear" w:color="auto" w:fill="auto"/>
            <w:noWrap/>
            <w:vAlign w:val="bottom"/>
            <w:hideMark/>
          </w:tcPr>
          <w:p w14:paraId="644C6D39"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63071526"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21C32CC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(0.234)</w:t>
            </w:r>
          </w:p>
        </w:tc>
        <w:tc>
          <w:tcPr>
            <w:tcW w:w="0" w:type="auto"/>
            <w:tcBorders>
              <w:top w:val="nil"/>
              <w:left w:val="nil"/>
              <w:bottom w:val="nil"/>
              <w:right w:val="nil"/>
            </w:tcBorders>
            <w:shd w:val="clear" w:color="auto" w:fill="auto"/>
            <w:noWrap/>
            <w:vAlign w:val="bottom"/>
            <w:hideMark/>
          </w:tcPr>
          <w:p w14:paraId="579A475A"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54B03F3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0875A33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(0.236)</w:t>
            </w:r>
          </w:p>
        </w:tc>
      </w:tr>
      <w:tr w:rsidR="003E148C" w:rsidRPr="00BD2A98" w14:paraId="20044605" w14:textId="77777777" w:rsidTr="0026218B">
        <w:trPr>
          <w:trHeight w:val="20"/>
        </w:trPr>
        <w:tc>
          <w:tcPr>
            <w:tcW w:w="0" w:type="auto"/>
            <w:tcBorders>
              <w:top w:val="nil"/>
              <w:left w:val="nil"/>
              <w:bottom w:val="nil"/>
              <w:right w:val="nil"/>
            </w:tcBorders>
            <w:shd w:val="clear" w:color="auto" w:fill="auto"/>
            <w:noWrap/>
            <w:vAlign w:val="bottom"/>
            <w:hideMark/>
          </w:tcPr>
          <w:p w14:paraId="41C7FB92" w14:textId="77777777" w:rsidR="003E148C" w:rsidRPr="00BD2A98" w:rsidRDefault="003E148C" w:rsidP="0026218B">
            <w:pPr>
              <w:widowControl w:val="0"/>
              <w:autoSpaceDE w:val="0"/>
              <w:autoSpaceDN w:val="0"/>
              <w:adjustRightInd w:val="0"/>
              <w:rPr>
                <w:sz w:val="20"/>
                <w:szCs w:val="20"/>
              </w:rPr>
            </w:pPr>
            <w:r>
              <w:rPr>
                <w:sz w:val="20"/>
                <w:szCs w:val="20"/>
              </w:rPr>
              <w:t>Male-</w:t>
            </w:r>
            <w:r w:rsidRPr="00BD2A98">
              <w:rPr>
                <w:sz w:val="20"/>
                <w:szCs w:val="20"/>
              </w:rPr>
              <w:t xml:space="preserve">female </w:t>
            </w:r>
            <w:r>
              <w:rPr>
                <w:sz w:val="20"/>
                <w:szCs w:val="20"/>
              </w:rPr>
              <w:t xml:space="preserve">entry rate </w:t>
            </w:r>
            <w:r w:rsidRPr="00BD2A98">
              <w:rPr>
                <w:sz w:val="20"/>
                <w:szCs w:val="20"/>
              </w:rPr>
              <w:t>gap</w:t>
            </w:r>
          </w:p>
        </w:tc>
        <w:tc>
          <w:tcPr>
            <w:tcW w:w="0" w:type="auto"/>
            <w:tcBorders>
              <w:top w:val="nil"/>
              <w:left w:val="nil"/>
              <w:bottom w:val="nil"/>
              <w:right w:val="nil"/>
            </w:tcBorders>
            <w:shd w:val="clear" w:color="auto" w:fill="auto"/>
            <w:noWrap/>
            <w:vAlign w:val="bottom"/>
            <w:hideMark/>
          </w:tcPr>
          <w:p w14:paraId="300AF4AB" w14:textId="77777777" w:rsidR="003E148C" w:rsidRPr="00100B3D" w:rsidRDefault="003E148C" w:rsidP="0026218B">
            <w:pPr>
              <w:widowControl w:val="0"/>
              <w:autoSpaceDE w:val="0"/>
              <w:autoSpaceDN w:val="0"/>
              <w:adjustRightInd w:val="0"/>
              <w:jc w:val="center"/>
              <w:rPr>
                <w:sz w:val="20"/>
                <w:szCs w:val="20"/>
                <w:lang w:eastAsia="fr-FR"/>
              </w:rPr>
            </w:pPr>
          </w:p>
        </w:tc>
        <w:tc>
          <w:tcPr>
            <w:tcW w:w="0" w:type="auto"/>
            <w:tcBorders>
              <w:top w:val="nil"/>
              <w:left w:val="nil"/>
              <w:bottom w:val="nil"/>
              <w:right w:val="nil"/>
            </w:tcBorders>
            <w:shd w:val="clear" w:color="auto" w:fill="auto"/>
            <w:noWrap/>
            <w:vAlign w:val="bottom"/>
            <w:hideMark/>
          </w:tcPr>
          <w:p w14:paraId="2F591BCA" w14:textId="77777777" w:rsidR="003E148C" w:rsidRPr="00100B3D" w:rsidRDefault="003E148C" w:rsidP="0026218B">
            <w:pPr>
              <w:widowControl w:val="0"/>
              <w:autoSpaceDE w:val="0"/>
              <w:autoSpaceDN w:val="0"/>
              <w:adjustRightInd w:val="0"/>
              <w:jc w:val="center"/>
              <w:rPr>
                <w:sz w:val="20"/>
                <w:szCs w:val="20"/>
                <w:lang w:eastAsia="fr-FR"/>
              </w:rPr>
            </w:pPr>
          </w:p>
        </w:tc>
        <w:tc>
          <w:tcPr>
            <w:tcW w:w="0" w:type="auto"/>
            <w:tcBorders>
              <w:top w:val="nil"/>
              <w:left w:val="nil"/>
              <w:bottom w:val="nil"/>
              <w:right w:val="nil"/>
            </w:tcBorders>
            <w:shd w:val="clear" w:color="auto" w:fill="auto"/>
            <w:noWrap/>
            <w:vAlign w:val="bottom"/>
            <w:hideMark/>
          </w:tcPr>
          <w:p w14:paraId="088BDBC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0.308</w:t>
            </w:r>
          </w:p>
        </w:tc>
        <w:tc>
          <w:tcPr>
            <w:tcW w:w="0" w:type="auto"/>
            <w:tcBorders>
              <w:top w:val="nil"/>
              <w:left w:val="nil"/>
              <w:bottom w:val="nil"/>
              <w:right w:val="nil"/>
            </w:tcBorders>
            <w:shd w:val="clear" w:color="auto" w:fill="auto"/>
            <w:noWrap/>
            <w:vAlign w:val="bottom"/>
            <w:hideMark/>
          </w:tcPr>
          <w:p w14:paraId="787BB231"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3C6FEB86"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2CAB58E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0.212</w:t>
            </w:r>
          </w:p>
        </w:tc>
        <w:tc>
          <w:tcPr>
            <w:tcW w:w="0" w:type="auto"/>
            <w:tcBorders>
              <w:top w:val="nil"/>
              <w:left w:val="nil"/>
              <w:bottom w:val="nil"/>
              <w:right w:val="nil"/>
            </w:tcBorders>
            <w:shd w:val="clear" w:color="auto" w:fill="auto"/>
            <w:noWrap/>
            <w:vAlign w:val="bottom"/>
            <w:hideMark/>
          </w:tcPr>
          <w:p w14:paraId="447EA555"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49997AA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0.235</w:t>
            </w:r>
          </w:p>
        </w:tc>
      </w:tr>
      <w:tr w:rsidR="003E148C" w:rsidRPr="00BD2A98" w14:paraId="71A53A70" w14:textId="77777777" w:rsidTr="0026218B">
        <w:trPr>
          <w:trHeight w:val="20"/>
        </w:trPr>
        <w:tc>
          <w:tcPr>
            <w:tcW w:w="0" w:type="auto"/>
            <w:tcBorders>
              <w:top w:val="nil"/>
              <w:left w:val="nil"/>
              <w:bottom w:val="nil"/>
              <w:right w:val="nil"/>
            </w:tcBorders>
            <w:shd w:val="clear" w:color="auto" w:fill="auto"/>
            <w:noWrap/>
            <w:vAlign w:val="bottom"/>
            <w:hideMark/>
          </w:tcPr>
          <w:p w14:paraId="5EFEFB5E"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shd w:val="clear" w:color="auto" w:fill="auto"/>
            <w:noWrap/>
            <w:vAlign w:val="bottom"/>
            <w:hideMark/>
          </w:tcPr>
          <w:p w14:paraId="76FE1EE9" w14:textId="77777777" w:rsidR="003E148C" w:rsidRPr="00BD2A98" w:rsidRDefault="003E148C" w:rsidP="0026218B">
            <w:pPr>
              <w:widowControl w:val="0"/>
              <w:autoSpaceDE w:val="0"/>
              <w:autoSpaceDN w:val="0"/>
              <w:adjustRightInd w:val="0"/>
              <w:rPr>
                <w:sz w:val="20"/>
                <w:szCs w:val="20"/>
                <w:lang w:val="fr-FR" w:eastAsia="fr-FR"/>
              </w:rPr>
            </w:pPr>
          </w:p>
        </w:tc>
        <w:tc>
          <w:tcPr>
            <w:tcW w:w="0" w:type="auto"/>
            <w:tcBorders>
              <w:top w:val="nil"/>
              <w:left w:val="nil"/>
              <w:bottom w:val="nil"/>
              <w:right w:val="nil"/>
            </w:tcBorders>
            <w:shd w:val="clear" w:color="auto" w:fill="auto"/>
            <w:noWrap/>
            <w:vAlign w:val="bottom"/>
            <w:hideMark/>
          </w:tcPr>
          <w:p w14:paraId="0DF4C1B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01B840B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(0.738)</w:t>
            </w:r>
          </w:p>
        </w:tc>
        <w:tc>
          <w:tcPr>
            <w:tcW w:w="0" w:type="auto"/>
            <w:tcBorders>
              <w:top w:val="nil"/>
              <w:left w:val="nil"/>
              <w:bottom w:val="nil"/>
              <w:right w:val="nil"/>
            </w:tcBorders>
            <w:shd w:val="clear" w:color="auto" w:fill="auto"/>
            <w:noWrap/>
            <w:vAlign w:val="bottom"/>
            <w:hideMark/>
          </w:tcPr>
          <w:p w14:paraId="14970E36"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0208F8C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2D3C95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(0.716)</w:t>
            </w:r>
          </w:p>
        </w:tc>
        <w:tc>
          <w:tcPr>
            <w:tcW w:w="0" w:type="auto"/>
            <w:tcBorders>
              <w:top w:val="nil"/>
              <w:left w:val="nil"/>
              <w:bottom w:val="nil"/>
              <w:right w:val="nil"/>
            </w:tcBorders>
            <w:shd w:val="clear" w:color="auto" w:fill="auto"/>
            <w:noWrap/>
            <w:vAlign w:val="bottom"/>
            <w:hideMark/>
          </w:tcPr>
          <w:p w14:paraId="08412E78"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47A0749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(0.721)</w:t>
            </w:r>
          </w:p>
        </w:tc>
      </w:tr>
      <w:tr w:rsidR="003E148C" w:rsidRPr="00BD2A98" w14:paraId="448525A0" w14:textId="77777777" w:rsidTr="0026218B">
        <w:trPr>
          <w:trHeight w:val="20"/>
        </w:trPr>
        <w:tc>
          <w:tcPr>
            <w:tcW w:w="0" w:type="auto"/>
            <w:tcBorders>
              <w:top w:val="nil"/>
              <w:left w:val="nil"/>
              <w:bottom w:val="nil"/>
              <w:right w:val="nil"/>
            </w:tcBorders>
            <w:shd w:val="clear" w:color="auto" w:fill="auto"/>
            <w:noWrap/>
            <w:vAlign w:val="bottom"/>
            <w:hideMark/>
          </w:tcPr>
          <w:p w14:paraId="6ABFD15F" w14:textId="77777777" w:rsidR="003E148C" w:rsidRPr="00BD2A98" w:rsidRDefault="003E148C" w:rsidP="0026218B">
            <w:pPr>
              <w:widowControl w:val="0"/>
              <w:autoSpaceDE w:val="0"/>
              <w:autoSpaceDN w:val="0"/>
              <w:adjustRightInd w:val="0"/>
              <w:rPr>
                <w:sz w:val="20"/>
                <w:szCs w:val="20"/>
              </w:rPr>
            </w:pPr>
            <w:r>
              <w:rPr>
                <w:sz w:val="20"/>
                <w:szCs w:val="20"/>
              </w:rPr>
              <w:t>Male-</w:t>
            </w:r>
            <w:r w:rsidRPr="00BD2A98">
              <w:rPr>
                <w:sz w:val="20"/>
                <w:szCs w:val="20"/>
              </w:rPr>
              <w:t xml:space="preserve">female </w:t>
            </w:r>
            <w:r>
              <w:rPr>
                <w:sz w:val="20"/>
                <w:szCs w:val="20"/>
              </w:rPr>
              <w:t xml:space="preserve">wage </w:t>
            </w:r>
            <w:r w:rsidRPr="00BD2A98">
              <w:rPr>
                <w:sz w:val="20"/>
                <w:szCs w:val="20"/>
              </w:rPr>
              <w:t>gap</w:t>
            </w:r>
          </w:p>
        </w:tc>
        <w:tc>
          <w:tcPr>
            <w:tcW w:w="0" w:type="auto"/>
            <w:tcBorders>
              <w:top w:val="nil"/>
              <w:left w:val="nil"/>
              <w:bottom w:val="nil"/>
              <w:right w:val="nil"/>
            </w:tcBorders>
            <w:shd w:val="clear" w:color="auto" w:fill="auto"/>
            <w:noWrap/>
            <w:vAlign w:val="bottom"/>
            <w:hideMark/>
          </w:tcPr>
          <w:p w14:paraId="5BD01EEC"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5A3F35C6"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45FED84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5CBCE6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-0.0616</w:t>
            </w:r>
          </w:p>
        </w:tc>
        <w:tc>
          <w:tcPr>
            <w:tcW w:w="0" w:type="auto"/>
            <w:tcBorders>
              <w:top w:val="nil"/>
              <w:left w:val="nil"/>
              <w:bottom w:val="nil"/>
              <w:right w:val="nil"/>
            </w:tcBorders>
            <w:shd w:val="clear" w:color="auto" w:fill="auto"/>
            <w:noWrap/>
            <w:vAlign w:val="bottom"/>
            <w:hideMark/>
          </w:tcPr>
          <w:p w14:paraId="55F5D8F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539154E5"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0972B4E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-0.0746</w:t>
            </w:r>
          </w:p>
        </w:tc>
        <w:tc>
          <w:tcPr>
            <w:tcW w:w="0" w:type="auto"/>
            <w:tcBorders>
              <w:top w:val="nil"/>
              <w:left w:val="nil"/>
              <w:bottom w:val="nil"/>
              <w:right w:val="nil"/>
            </w:tcBorders>
            <w:shd w:val="clear" w:color="auto" w:fill="auto"/>
            <w:noWrap/>
            <w:vAlign w:val="bottom"/>
            <w:hideMark/>
          </w:tcPr>
          <w:p w14:paraId="1091CD7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-0.0738</w:t>
            </w:r>
          </w:p>
        </w:tc>
      </w:tr>
      <w:tr w:rsidR="003E148C" w:rsidRPr="00BD2A98" w14:paraId="40515D01" w14:textId="77777777" w:rsidTr="0026218B">
        <w:trPr>
          <w:trHeight w:val="20"/>
        </w:trPr>
        <w:tc>
          <w:tcPr>
            <w:tcW w:w="0" w:type="auto"/>
            <w:tcBorders>
              <w:top w:val="nil"/>
              <w:left w:val="nil"/>
              <w:bottom w:val="nil"/>
              <w:right w:val="nil"/>
            </w:tcBorders>
            <w:shd w:val="clear" w:color="auto" w:fill="auto"/>
            <w:noWrap/>
            <w:vAlign w:val="bottom"/>
            <w:hideMark/>
          </w:tcPr>
          <w:p w14:paraId="43015693"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shd w:val="clear" w:color="auto" w:fill="auto"/>
            <w:noWrap/>
            <w:vAlign w:val="bottom"/>
            <w:hideMark/>
          </w:tcPr>
          <w:p w14:paraId="25630B03"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63AA421D"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15B72C14"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2F22B11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(0.0860)</w:t>
            </w:r>
          </w:p>
        </w:tc>
        <w:tc>
          <w:tcPr>
            <w:tcW w:w="0" w:type="auto"/>
            <w:tcBorders>
              <w:top w:val="nil"/>
              <w:left w:val="nil"/>
              <w:bottom w:val="nil"/>
              <w:right w:val="nil"/>
            </w:tcBorders>
            <w:shd w:val="clear" w:color="auto" w:fill="auto"/>
            <w:noWrap/>
            <w:vAlign w:val="bottom"/>
            <w:hideMark/>
          </w:tcPr>
          <w:p w14:paraId="60EF9CAF"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635AD8AA"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2F36CB9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(0.117)</w:t>
            </w:r>
          </w:p>
        </w:tc>
        <w:tc>
          <w:tcPr>
            <w:tcW w:w="0" w:type="auto"/>
            <w:tcBorders>
              <w:top w:val="nil"/>
              <w:left w:val="nil"/>
              <w:bottom w:val="nil"/>
              <w:right w:val="nil"/>
            </w:tcBorders>
            <w:shd w:val="clear" w:color="auto" w:fill="auto"/>
            <w:noWrap/>
            <w:vAlign w:val="bottom"/>
            <w:hideMark/>
          </w:tcPr>
          <w:p w14:paraId="642D7E4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(0.117)</w:t>
            </w:r>
          </w:p>
        </w:tc>
      </w:tr>
      <w:tr w:rsidR="003E148C" w:rsidRPr="00BD2A98" w14:paraId="52F0FA7C" w14:textId="77777777" w:rsidTr="0026218B">
        <w:trPr>
          <w:trHeight w:val="20"/>
        </w:trPr>
        <w:tc>
          <w:tcPr>
            <w:tcW w:w="0" w:type="auto"/>
            <w:tcBorders>
              <w:top w:val="nil"/>
              <w:left w:val="nil"/>
              <w:bottom w:val="nil"/>
              <w:right w:val="nil"/>
            </w:tcBorders>
            <w:shd w:val="clear" w:color="auto" w:fill="auto"/>
            <w:noWrap/>
            <w:vAlign w:val="bottom"/>
            <w:hideMark/>
          </w:tcPr>
          <w:p w14:paraId="0C69BD98" w14:textId="77777777" w:rsidR="003E148C" w:rsidRPr="00BD2A98" w:rsidRDefault="003E148C" w:rsidP="0026218B">
            <w:pPr>
              <w:widowControl w:val="0"/>
              <w:autoSpaceDE w:val="0"/>
              <w:autoSpaceDN w:val="0"/>
              <w:adjustRightInd w:val="0"/>
              <w:rPr>
                <w:sz w:val="20"/>
                <w:szCs w:val="20"/>
              </w:rPr>
            </w:pPr>
            <w:r w:rsidRPr="00BD2A98">
              <w:rPr>
                <w:sz w:val="20"/>
                <w:szCs w:val="20"/>
              </w:rPr>
              <w:t>Average income</w:t>
            </w:r>
          </w:p>
        </w:tc>
        <w:tc>
          <w:tcPr>
            <w:tcW w:w="0" w:type="auto"/>
            <w:tcBorders>
              <w:top w:val="nil"/>
              <w:left w:val="nil"/>
              <w:bottom w:val="nil"/>
              <w:right w:val="nil"/>
            </w:tcBorders>
            <w:shd w:val="clear" w:color="auto" w:fill="auto"/>
            <w:noWrap/>
            <w:vAlign w:val="bottom"/>
            <w:hideMark/>
          </w:tcPr>
          <w:p w14:paraId="4F9B159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-0.0876</w:t>
            </w:r>
          </w:p>
        </w:tc>
        <w:tc>
          <w:tcPr>
            <w:tcW w:w="0" w:type="auto"/>
            <w:tcBorders>
              <w:top w:val="nil"/>
              <w:left w:val="nil"/>
              <w:bottom w:val="nil"/>
              <w:right w:val="nil"/>
            </w:tcBorders>
            <w:shd w:val="clear" w:color="auto" w:fill="auto"/>
            <w:noWrap/>
            <w:vAlign w:val="bottom"/>
            <w:hideMark/>
          </w:tcPr>
          <w:p w14:paraId="0B98CDA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-0.0846</w:t>
            </w:r>
          </w:p>
        </w:tc>
        <w:tc>
          <w:tcPr>
            <w:tcW w:w="0" w:type="auto"/>
            <w:tcBorders>
              <w:top w:val="nil"/>
              <w:left w:val="nil"/>
              <w:bottom w:val="nil"/>
              <w:right w:val="nil"/>
            </w:tcBorders>
            <w:shd w:val="clear" w:color="auto" w:fill="auto"/>
            <w:noWrap/>
            <w:vAlign w:val="bottom"/>
            <w:hideMark/>
          </w:tcPr>
          <w:p w14:paraId="00163A3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-0.0869</w:t>
            </w:r>
          </w:p>
        </w:tc>
        <w:tc>
          <w:tcPr>
            <w:tcW w:w="0" w:type="auto"/>
            <w:tcBorders>
              <w:top w:val="nil"/>
              <w:left w:val="nil"/>
              <w:bottom w:val="nil"/>
              <w:right w:val="nil"/>
            </w:tcBorders>
            <w:shd w:val="clear" w:color="auto" w:fill="auto"/>
            <w:noWrap/>
            <w:vAlign w:val="bottom"/>
            <w:hideMark/>
          </w:tcPr>
          <w:p w14:paraId="6FC317F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-0.0610</w:t>
            </w:r>
          </w:p>
        </w:tc>
        <w:tc>
          <w:tcPr>
            <w:tcW w:w="0" w:type="auto"/>
            <w:tcBorders>
              <w:top w:val="nil"/>
              <w:left w:val="nil"/>
              <w:bottom w:val="nil"/>
              <w:right w:val="nil"/>
            </w:tcBorders>
            <w:shd w:val="clear" w:color="auto" w:fill="auto"/>
            <w:noWrap/>
            <w:vAlign w:val="bottom"/>
            <w:hideMark/>
          </w:tcPr>
          <w:p w14:paraId="2A7AE7A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0.0374</w:t>
            </w:r>
          </w:p>
        </w:tc>
        <w:tc>
          <w:tcPr>
            <w:tcW w:w="0" w:type="auto"/>
            <w:tcBorders>
              <w:top w:val="nil"/>
              <w:left w:val="nil"/>
              <w:bottom w:val="nil"/>
              <w:right w:val="nil"/>
            </w:tcBorders>
            <w:shd w:val="clear" w:color="auto" w:fill="auto"/>
            <w:noWrap/>
            <w:vAlign w:val="bottom"/>
            <w:hideMark/>
          </w:tcPr>
          <w:p w14:paraId="4815A41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0.0393</w:t>
            </w:r>
          </w:p>
        </w:tc>
        <w:tc>
          <w:tcPr>
            <w:tcW w:w="0" w:type="auto"/>
            <w:tcBorders>
              <w:top w:val="nil"/>
              <w:left w:val="nil"/>
              <w:bottom w:val="nil"/>
              <w:right w:val="nil"/>
            </w:tcBorders>
            <w:shd w:val="clear" w:color="auto" w:fill="auto"/>
            <w:noWrap/>
            <w:vAlign w:val="bottom"/>
            <w:hideMark/>
          </w:tcPr>
          <w:p w14:paraId="01450FE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0.0642</w:t>
            </w:r>
          </w:p>
        </w:tc>
        <w:tc>
          <w:tcPr>
            <w:tcW w:w="0" w:type="auto"/>
            <w:tcBorders>
              <w:top w:val="nil"/>
              <w:left w:val="nil"/>
              <w:bottom w:val="nil"/>
              <w:right w:val="nil"/>
            </w:tcBorders>
            <w:shd w:val="clear" w:color="auto" w:fill="auto"/>
            <w:noWrap/>
            <w:vAlign w:val="bottom"/>
            <w:hideMark/>
          </w:tcPr>
          <w:p w14:paraId="5180BD7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0.0636</w:t>
            </w:r>
          </w:p>
        </w:tc>
      </w:tr>
      <w:tr w:rsidR="003E148C" w:rsidRPr="00BD2A98" w14:paraId="55EA4DBE" w14:textId="77777777" w:rsidTr="0026218B">
        <w:trPr>
          <w:trHeight w:val="20"/>
        </w:trPr>
        <w:tc>
          <w:tcPr>
            <w:tcW w:w="0" w:type="auto"/>
            <w:tcBorders>
              <w:top w:val="nil"/>
              <w:left w:val="nil"/>
              <w:bottom w:val="nil"/>
              <w:right w:val="nil"/>
            </w:tcBorders>
            <w:shd w:val="clear" w:color="auto" w:fill="auto"/>
            <w:noWrap/>
            <w:vAlign w:val="bottom"/>
            <w:hideMark/>
          </w:tcPr>
          <w:p w14:paraId="01C64935"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shd w:val="clear" w:color="auto" w:fill="auto"/>
            <w:noWrap/>
            <w:vAlign w:val="bottom"/>
            <w:hideMark/>
          </w:tcPr>
          <w:p w14:paraId="2EF327C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(0.0815)</w:t>
            </w:r>
          </w:p>
        </w:tc>
        <w:tc>
          <w:tcPr>
            <w:tcW w:w="0" w:type="auto"/>
            <w:tcBorders>
              <w:top w:val="nil"/>
              <w:left w:val="nil"/>
              <w:bottom w:val="nil"/>
              <w:right w:val="nil"/>
            </w:tcBorders>
            <w:shd w:val="clear" w:color="auto" w:fill="auto"/>
            <w:noWrap/>
            <w:vAlign w:val="bottom"/>
            <w:hideMark/>
          </w:tcPr>
          <w:p w14:paraId="4149FFF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(0.0819)</w:t>
            </w:r>
          </w:p>
        </w:tc>
        <w:tc>
          <w:tcPr>
            <w:tcW w:w="0" w:type="auto"/>
            <w:tcBorders>
              <w:top w:val="nil"/>
              <w:left w:val="nil"/>
              <w:bottom w:val="nil"/>
              <w:right w:val="nil"/>
            </w:tcBorders>
            <w:shd w:val="clear" w:color="auto" w:fill="auto"/>
            <w:noWrap/>
            <w:vAlign w:val="bottom"/>
            <w:hideMark/>
          </w:tcPr>
          <w:p w14:paraId="4EEDB5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(0.0814)</w:t>
            </w:r>
          </w:p>
        </w:tc>
        <w:tc>
          <w:tcPr>
            <w:tcW w:w="0" w:type="auto"/>
            <w:tcBorders>
              <w:top w:val="nil"/>
              <w:left w:val="nil"/>
              <w:bottom w:val="nil"/>
              <w:right w:val="nil"/>
            </w:tcBorders>
            <w:shd w:val="clear" w:color="auto" w:fill="auto"/>
            <w:noWrap/>
            <w:vAlign w:val="bottom"/>
            <w:hideMark/>
          </w:tcPr>
          <w:p w14:paraId="105A774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(0.0859)</w:t>
            </w:r>
          </w:p>
        </w:tc>
        <w:tc>
          <w:tcPr>
            <w:tcW w:w="0" w:type="auto"/>
            <w:tcBorders>
              <w:top w:val="nil"/>
              <w:left w:val="nil"/>
              <w:bottom w:val="nil"/>
              <w:right w:val="nil"/>
            </w:tcBorders>
            <w:shd w:val="clear" w:color="auto" w:fill="auto"/>
            <w:noWrap/>
            <w:vAlign w:val="bottom"/>
            <w:hideMark/>
          </w:tcPr>
          <w:p w14:paraId="799EBA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(0.0972)</w:t>
            </w:r>
          </w:p>
        </w:tc>
        <w:tc>
          <w:tcPr>
            <w:tcW w:w="0" w:type="auto"/>
            <w:tcBorders>
              <w:top w:val="nil"/>
              <w:left w:val="nil"/>
              <w:bottom w:val="nil"/>
              <w:right w:val="nil"/>
            </w:tcBorders>
            <w:shd w:val="clear" w:color="auto" w:fill="auto"/>
            <w:noWrap/>
            <w:vAlign w:val="bottom"/>
            <w:hideMark/>
          </w:tcPr>
          <w:p w14:paraId="595A4DC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(0.0969)</w:t>
            </w:r>
          </w:p>
        </w:tc>
        <w:tc>
          <w:tcPr>
            <w:tcW w:w="0" w:type="auto"/>
            <w:tcBorders>
              <w:top w:val="nil"/>
              <w:left w:val="nil"/>
              <w:bottom w:val="nil"/>
              <w:right w:val="nil"/>
            </w:tcBorders>
            <w:shd w:val="clear" w:color="auto" w:fill="auto"/>
            <w:noWrap/>
            <w:vAlign w:val="bottom"/>
            <w:hideMark/>
          </w:tcPr>
          <w:p w14:paraId="7867CDD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(0.102)</w:t>
            </w:r>
          </w:p>
        </w:tc>
        <w:tc>
          <w:tcPr>
            <w:tcW w:w="0" w:type="auto"/>
            <w:tcBorders>
              <w:top w:val="nil"/>
              <w:left w:val="nil"/>
              <w:bottom w:val="nil"/>
              <w:right w:val="nil"/>
            </w:tcBorders>
            <w:shd w:val="clear" w:color="auto" w:fill="auto"/>
            <w:noWrap/>
            <w:vAlign w:val="bottom"/>
            <w:hideMark/>
          </w:tcPr>
          <w:p w14:paraId="4150DAE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(0.102)</w:t>
            </w:r>
          </w:p>
        </w:tc>
      </w:tr>
      <w:tr w:rsidR="003E148C" w:rsidRPr="00BD2A98" w14:paraId="52521CA2" w14:textId="77777777" w:rsidTr="0026218B">
        <w:trPr>
          <w:trHeight w:val="20"/>
        </w:trPr>
        <w:tc>
          <w:tcPr>
            <w:tcW w:w="0" w:type="auto"/>
            <w:tcBorders>
              <w:top w:val="nil"/>
              <w:left w:val="nil"/>
              <w:bottom w:val="nil"/>
              <w:right w:val="nil"/>
            </w:tcBorders>
            <w:shd w:val="clear" w:color="auto" w:fill="auto"/>
            <w:noWrap/>
            <w:vAlign w:val="bottom"/>
            <w:hideMark/>
          </w:tcPr>
          <w:p w14:paraId="18B567F7" w14:textId="77777777" w:rsidR="003E148C" w:rsidRPr="00BD2A98" w:rsidRDefault="003E148C" w:rsidP="0026218B">
            <w:pPr>
              <w:widowControl w:val="0"/>
              <w:autoSpaceDE w:val="0"/>
              <w:autoSpaceDN w:val="0"/>
              <w:adjustRightInd w:val="0"/>
              <w:rPr>
                <w:sz w:val="20"/>
                <w:szCs w:val="20"/>
              </w:rPr>
            </w:pPr>
            <w:r w:rsidRPr="00BD2A98">
              <w:rPr>
                <w:sz w:val="20"/>
                <w:szCs w:val="20"/>
              </w:rPr>
              <w:t>Total population (ln)</w:t>
            </w:r>
          </w:p>
        </w:tc>
        <w:tc>
          <w:tcPr>
            <w:tcW w:w="0" w:type="auto"/>
            <w:tcBorders>
              <w:top w:val="nil"/>
              <w:left w:val="nil"/>
              <w:bottom w:val="nil"/>
              <w:right w:val="nil"/>
            </w:tcBorders>
            <w:shd w:val="clear" w:color="auto" w:fill="auto"/>
            <w:noWrap/>
            <w:vAlign w:val="bottom"/>
            <w:hideMark/>
          </w:tcPr>
          <w:p w14:paraId="02621E7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0.0844</w:t>
            </w:r>
          </w:p>
        </w:tc>
        <w:tc>
          <w:tcPr>
            <w:tcW w:w="0" w:type="auto"/>
            <w:tcBorders>
              <w:top w:val="nil"/>
              <w:left w:val="nil"/>
              <w:bottom w:val="nil"/>
              <w:right w:val="nil"/>
            </w:tcBorders>
            <w:shd w:val="clear" w:color="auto" w:fill="auto"/>
            <w:noWrap/>
            <w:vAlign w:val="bottom"/>
            <w:hideMark/>
          </w:tcPr>
          <w:p w14:paraId="0937636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0.0847</w:t>
            </w:r>
          </w:p>
        </w:tc>
        <w:tc>
          <w:tcPr>
            <w:tcW w:w="0" w:type="auto"/>
            <w:tcBorders>
              <w:top w:val="nil"/>
              <w:left w:val="nil"/>
              <w:bottom w:val="nil"/>
              <w:right w:val="nil"/>
            </w:tcBorders>
            <w:shd w:val="clear" w:color="auto" w:fill="auto"/>
            <w:noWrap/>
            <w:vAlign w:val="bottom"/>
            <w:hideMark/>
          </w:tcPr>
          <w:p w14:paraId="2CECDAF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0.0844</w:t>
            </w:r>
          </w:p>
        </w:tc>
        <w:tc>
          <w:tcPr>
            <w:tcW w:w="0" w:type="auto"/>
            <w:tcBorders>
              <w:top w:val="nil"/>
              <w:left w:val="nil"/>
              <w:bottom w:val="nil"/>
              <w:right w:val="nil"/>
            </w:tcBorders>
            <w:shd w:val="clear" w:color="auto" w:fill="auto"/>
            <w:noWrap/>
            <w:vAlign w:val="bottom"/>
            <w:hideMark/>
          </w:tcPr>
          <w:p w14:paraId="1598BB7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0.0856</w:t>
            </w:r>
          </w:p>
        </w:tc>
        <w:tc>
          <w:tcPr>
            <w:tcW w:w="0" w:type="auto"/>
            <w:tcBorders>
              <w:top w:val="nil"/>
              <w:left w:val="nil"/>
              <w:bottom w:val="nil"/>
              <w:right w:val="nil"/>
            </w:tcBorders>
            <w:shd w:val="clear" w:color="auto" w:fill="auto"/>
            <w:noWrap/>
            <w:vAlign w:val="bottom"/>
            <w:hideMark/>
          </w:tcPr>
          <w:p w14:paraId="1F5D9AD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0.0642</w:t>
            </w:r>
          </w:p>
        </w:tc>
        <w:tc>
          <w:tcPr>
            <w:tcW w:w="0" w:type="auto"/>
            <w:tcBorders>
              <w:top w:val="nil"/>
              <w:left w:val="nil"/>
              <w:bottom w:val="nil"/>
              <w:right w:val="nil"/>
            </w:tcBorders>
            <w:shd w:val="clear" w:color="auto" w:fill="auto"/>
            <w:noWrap/>
            <w:vAlign w:val="bottom"/>
            <w:hideMark/>
          </w:tcPr>
          <w:p w14:paraId="650A05E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0.0643</w:t>
            </w:r>
          </w:p>
        </w:tc>
        <w:tc>
          <w:tcPr>
            <w:tcW w:w="0" w:type="auto"/>
            <w:tcBorders>
              <w:top w:val="nil"/>
              <w:left w:val="nil"/>
              <w:bottom w:val="nil"/>
              <w:right w:val="nil"/>
            </w:tcBorders>
            <w:shd w:val="clear" w:color="auto" w:fill="auto"/>
            <w:noWrap/>
            <w:vAlign w:val="bottom"/>
            <w:hideMark/>
          </w:tcPr>
          <w:p w14:paraId="4C92592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0.0662</w:t>
            </w:r>
          </w:p>
        </w:tc>
        <w:tc>
          <w:tcPr>
            <w:tcW w:w="0" w:type="auto"/>
            <w:tcBorders>
              <w:top w:val="nil"/>
              <w:left w:val="nil"/>
              <w:bottom w:val="nil"/>
              <w:right w:val="nil"/>
            </w:tcBorders>
            <w:shd w:val="clear" w:color="auto" w:fill="auto"/>
            <w:noWrap/>
            <w:vAlign w:val="bottom"/>
            <w:hideMark/>
          </w:tcPr>
          <w:p w14:paraId="2573460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0.0656</w:t>
            </w:r>
          </w:p>
        </w:tc>
      </w:tr>
      <w:tr w:rsidR="003E148C" w:rsidRPr="00BD2A98" w14:paraId="01764077" w14:textId="77777777" w:rsidTr="0026218B">
        <w:trPr>
          <w:trHeight w:val="20"/>
        </w:trPr>
        <w:tc>
          <w:tcPr>
            <w:tcW w:w="0" w:type="auto"/>
            <w:tcBorders>
              <w:top w:val="nil"/>
              <w:left w:val="nil"/>
              <w:bottom w:val="nil"/>
              <w:right w:val="nil"/>
            </w:tcBorders>
            <w:shd w:val="clear" w:color="auto" w:fill="auto"/>
            <w:noWrap/>
            <w:vAlign w:val="bottom"/>
            <w:hideMark/>
          </w:tcPr>
          <w:p w14:paraId="3321657E"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shd w:val="clear" w:color="auto" w:fill="auto"/>
            <w:noWrap/>
            <w:vAlign w:val="bottom"/>
            <w:hideMark/>
          </w:tcPr>
          <w:p w14:paraId="233F692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(0.0563)</w:t>
            </w:r>
          </w:p>
        </w:tc>
        <w:tc>
          <w:tcPr>
            <w:tcW w:w="0" w:type="auto"/>
            <w:tcBorders>
              <w:top w:val="nil"/>
              <w:left w:val="nil"/>
              <w:bottom w:val="nil"/>
              <w:right w:val="nil"/>
            </w:tcBorders>
            <w:shd w:val="clear" w:color="auto" w:fill="auto"/>
            <w:noWrap/>
            <w:vAlign w:val="bottom"/>
            <w:hideMark/>
          </w:tcPr>
          <w:p w14:paraId="52B25AA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(0.0558)</w:t>
            </w:r>
          </w:p>
        </w:tc>
        <w:tc>
          <w:tcPr>
            <w:tcW w:w="0" w:type="auto"/>
            <w:tcBorders>
              <w:top w:val="nil"/>
              <w:left w:val="nil"/>
              <w:bottom w:val="nil"/>
              <w:right w:val="nil"/>
            </w:tcBorders>
            <w:shd w:val="clear" w:color="auto" w:fill="auto"/>
            <w:noWrap/>
            <w:vAlign w:val="bottom"/>
            <w:hideMark/>
          </w:tcPr>
          <w:p w14:paraId="1F4CB62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(0.0565)</w:t>
            </w:r>
          </w:p>
        </w:tc>
        <w:tc>
          <w:tcPr>
            <w:tcW w:w="0" w:type="auto"/>
            <w:tcBorders>
              <w:top w:val="nil"/>
              <w:left w:val="nil"/>
              <w:bottom w:val="nil"/>
              <w:right w:val="nil"/>
            </w:tcBorders>
            <w:shd w:val="clear" w:color="auto" w:fill="auto"/>
            <w:noWrap/>
            <w:vAlign w:val="bottom"/>
            <w:hideMark/>
          </w:tcPr>
          <w:p w14:paraId="5CF5995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(0.0563)</w:t>
            </w:r>
          </w:p>
        </w:tc>
        <w:tc>
          <w:tcPr>
            <w:tcW w:w="0" w:type="auto"/>
            <w:tcBorders>
              <w:top w:val="nil"/>
              <w:left w:val="nil"/>
              <w:bottom w:val="nil"/>
              <w:right w:val="nil"/>
            </w:tcBorders>
            <w:shd w:val="clear" w:color="auto" w:fill="auto"/>
            <w:noWrap/>
            <w:vAlign w:val="bottom"/>
            <w:hideMark/>
          </w:tcPr>
          <w:p w14:paraId="550872E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(0.0525)</w:t>
            </w:r>
          </w:p>
        </w:tc>
        <w:tc>
          <w:tcPr>
            <w:tcW w:w="0" w:type="auto"/>
            <w:tcBorders>
              <w:top w:val="nil"/>
              <w:left w:val="nil"/>
              <w:bottom w:val="nil"/>
              <w:right w:val="nil"/>
            </w:tcBorders>
            <w:shd w:val="clear" w:color="auto" w:fill="auto"/>
            <w:noWrap/>
            <w:vAlign w:val="bottom"/>
            <w:hideMark/>
          </w:tcPr>
          <w:p w14:paraId="402CC8A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(0.0522)</w:t>
            </w:r>
          </w:p>
        </w:tc>
        <w:tc>
          <w:tcPr>
            <w:tcW w:w="0" w:type="auto"/>
            <w:tcBorders>
              <w:top w:val="nil"/>
              <w:left w:val="nil"/>
              <w:bottom w:val="nil"/>
              <w:right w:val="nil"/>
            </w:tcBorders>
            <w:shd w:val="clear" w:color="auto" w:fill="auto"/>
            <w:noWrap/>
            <w:vAlign w:val="bottom"/>
            <w:hideMark/>
          </w:tcPr>
          <w:p w14:paraId="111AAC7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(0.0522)</w:t>
            </w:r>
          </w:p>
        </w:tc>
        <w:tc>
          <w:tcPr>
            <w:tcW w:w="0" w:type="auto"/>
            <w:tcBorders>
              <w:top w:val="nil"/>
              <w:left w:val="nil"/>
              <w:bottom w:val="nil"/>
              <w:right w:val="nil"/>
            </w:tcBorders>
            <w:shd w:val="clear" w:color="auto" w:fill="auto"/>
            <w:noWrap/>
            <w:vAlign w:val="bottom"/>
            <w:hideMark/>
          </w:tcPr>
          <w:p w14:paraId="475776D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(0.0526)</w:t>
            </w:r>
          </w:p>
        </w:tc>
      </w:tr>
      <w:tr w:rsidR="003E148C" w:rsidRPr="00BD2A98" w14:paraId="183777DD" w14:textId="77777777" w:rsidTr="0026218B">
        <w:trPr>
          <w:trHeight w:val="20"/>
        </w:trPr>
        <w:tc>
          <w:tcPr>
            <w:tcW w:w="0" w:type="auto"/>
            <w:tcBorders>
              <w:top w:val="nil"/>
              <w:left w:val="nil"/>
              <w:bottom w:val="nil"/>
              <w:right w:val="nil"/>
            </w:tcBorders>
            <w:shd w:val="clear" w:color="auto" w:fill="auto"/>
            <w:noWrap/>
            <w:vAlign w:val="bottom"/>
            <w:hideMark/>
          </w:tcPr>
          <w:p w14:paraId="3093D778" w14:textId="77777777" w:rsidR="003E148C" w:rsidRPr="00BD2A98" w:rsidRDefault="003E148C" w:rsidP="0026218B">
            <w:pPr>
              <w:widowControl w:val="0"/>
              <w:autoSpaceDE w:val="0"/>
              <w:autoSpaceDN w:val="0"/>
              <w:adjustRightInd w:val="0"/>
              <w:rPr>
                <w:sz w:val="20"/>
                <w:szCs w:val="20"/>
              </w:rPr>
            </w:pPr>
            <w:r w:rsidRPr="00BD2A98">
              <w:rPr>
                <w:sz w:val="20"/>
                <w:szCs w:val="20"/>
              </w:rPr>
              <w:t>Fraction of inactive people</w:t>
            </w:r>
          </w:p>
        </w:tc>
        <w:tc>
          <w:tcPr>
            <w:tcW w:w="0" w:type="auto"/>
            <w:tcBorders>
              <w:top w:val="nil"/>
              <w:left w:val="nil"/>
              <w:bottom w:val="nil"/>
              <w:right w:val="nil"/>
            </w:tcBorders>
            <w:shd w:val="clear" w:color="auto" w:fill="auto"/>
            <w:noWrap/>
            <w:vAlign w:val="bottom"/>
            <w:hideMark/>
          </w:tcPr>
          <w:p w14:paraId="32BDDFF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-0.0180</w:t>
            </w:r>
          </w:p>
        </w:tc>
        <w:tc>
          <w:tcPr>
            <w:tcW w:w="0" w:type="auto"/>
            <w:tcBorders>
              <w:top w:val="nil"/>
              <w:left w:val="nil"/>
              <w:bottom w:val="nil"/>
              <w:right w:val="nil"/>
            </w:tcBorders>
            <w:shd w:val="clear" w:color="auto" w:fill="auto"/>
            <w:noWrap/>
            <w:vAlign w:val="bottom"/>
            <w:hideMark/>
          </w:tcPr>
          <w:p w14:paraId="39454BF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-0.0179</w:t>
            </w:r>
          </w:p>
        </w:tc>
        <w:tc>
          <w:tcPr>
            <w:tcW w:w="0" w:type="auto"/>
            <w:tcBorders>
              <w:top w:val="nil"/>
              <w:left w:val="nil"/>
              <w:bottom w:val="nil"/>
              <w:right w:val="nil"/>
            </w:tcBorders>
            <w:shd w:val="clear" w:color="auto" w:fill="auto"/>
            <w:noWrap/>
            <w:vAlign w:val="bottom"/>
            <w:hideMark/>
          </w:tcPr>
          <w:p w14:paraId="327F833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-0.0181</w:t>
            </w:r>
          </w:p>
        </w:tc>
        <w:tc>
          <w:tcPr>
            <w:tcW w:w="0" w:type="auto"/>
            <w:tcBorders>
              <w:top w:val="nil"/>
              <w:left w:val="nil"/>
              <w:bottom w:val="nil"/>
              <w:right w:val="nil"/>
            </w:tcBorders>
            <w:shd w:val="clear" w:color="auto" w:fill="auto"/>
            <w:noWrap/>
            <w:vAlign w:val="bottom"/>
            <w:hideMark/>
          </w:tcPr>
          <w:p w14:paraId="60DA376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-0.0193</w:t>
            </w:r>
          </w:p>
        </w:tc>
        <w:tc>
          <w:tcPr>
            <w:tcW w:w="0" w:type="auto"/>
            <w:tcBorders>
              <w:top w:val="nil"/>
              <w:left w:val="nil"/>
              <w:bottom w:val="nil"/>
              <w:right w:val="nil"/>
            </w:tcBorders>
            <w:shd w:val="clear" w:color="auto" w:fill="auto"/>
            <w:noWrap/>
            <w:vAlign w:val="bottom"/>
            <w:hideMark/>
          </w:tcPr>
          <w:p w14:paraId="2E8CB43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-0.0105</w:t>
            </w:r>
          </w:p>
        </w:tc>
        <w:tc>
          <w:tcPr>
            <w:tcW w:w="0" w:type="auto"/>
            <w:tcBorders>
              <w:top w:val="nil"/>
              <w:left w:val="nil"/>
              <w:bottom w:val="nil"/>
              <w:right w:val="nil"/>
            </w:tcBorders>
            <w:shd w:val="clear" w:color="auto" w:fill="auto"/>
            <w:noWrap/>
            <w:vAlign w:val="bottom"/>
            <w:hideMark/>
          </w:tcPr>
          <w:p w14:paraId="66E9E86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-0.0107</w:t>
            </w:r>
          </w:p>
        </w:tc>
        <w:tc>
          <w:tcPr>
            <w:tcW w:w="0" w:type="auto"/>
            <w:tcBorders>
              <w:top w:val="nil"/>
              <w:left w:val="nil"/>
              <w:bottom w:val="nil"/>
              <w:right w:val="nil"/>
            </w:tcBorders>
            <w:shd w:val="clear" w:color="auto" w:fill="auto"/>
            <w:noWrap/>
            <w:vAlign w:val="bottom"/>
            <w:hideMark/>
          </w:tcPr>
          <w:p w14:paraId="3686D75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-0.0124</w:t>
            </w:r>
          </w:p>
        </w:tc>
        <w:tc>
          <w:tcPr>
            <w:tcW w:w="0" w:type="auto"/>
            <w:tcBorders>
              <w:top w:val="nil"/>
              <w:left w:val="nil"/>
              <w:bottom w:val="nil"/>
              <w:right w:val="nil"/>
            </w:tcBorders>
            <w:shd w:val="clear" w:color="auto" w:fill="auto"/>
            <w:noWrap/>
            <w:vAlign w:val="bottom"/>
            <w:hideMark/>
          </w:tcPr>
          <w:p w14:paraId="6E002FD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-0.0120</w:t>
            </w:r>
          </w:p>
        </w:tc>
      </w:tr>
      <w:tr w:rsidR="003E148C" w:rsidRPr="00BD2A98" w14:paraId="7593A7C0" w14:textId="77777777" w:rsidTr="0026218B">
        <w:trPr>
          <w:trHeight w:val="20"/>
        </w:trPr>
        <w:tc>
          <w:tcPr>
            <w:tcW w:w="0" w:type="auto"/>
            <w:tcBorders>
              <w:top w:val="nil"/>
              <w:left w:val="nil"/>
              <w:bottom w:val="nil"/>
              <w:right w:val="nil"/>
            </w:tcBorders>
            <w:shd w:val="clear" w:color="auto" w:fill="auto"/>
            <w:noWrap/>
            <w:vAlign w:val="bottom"/>
            <w:hideMark/>
          </w:tcPr>
          <w:p w14:paraId="22FE1468"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shd w:val="clear" w:color="auto" w:fill="auto"/>
            <w:noWrap/>
            <w:vAlign w:val="bottom"/>
            <w:hideMark/>
          </w:tcPr>
          <w:p w14:paraId="0861995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(0.0509)</w:t>
            </w:r>
          </w:p>
        </w:tc>
        <w:tc>
          <w:tcPr>
            <w:tcW w:w="0" w:type="auto"/>
            <w:tcBorders>
              <w:top w:val="nil"/>
              <w:left w:val="nil"/>
              <w:bottom w:val="nil"/>
              <w:right w:val="nil"/>
            </w:tcBorders>
            <w:shd w:val="clear" w:color="auto" w:fill="auto"/>
            <w:noWrap/>
            <w:vAlign w:val="bottom"/>
            <w:hideMark/>
          </w:tcPr>
          <w:p w14:paraId="2343B9D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(0.0508)</w:t>
            </w:r>
          </w:p>
        </w:tc>
        <w:tc>
          <w:tcPr>
            <w:tcW w:w="0" w:type="auto"/>
            <w:tcBorders>
              <w:top w:val="nil"/>
              <w:left w:val="nil"/>
              <w:bottom w:val="nil"/>
              <w:right w:val="nil"/>
            </w:tcBorders>
            <w:shd w:val="clear" w:color="auto" w:fill="auto"/>
            <w:noWrap/>
            <w:vAlign w:val="bottom"/>
            <w:hideMark/>
          </w:tcPr>
          <w:p w14:paraId="783CC81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(0.0509)</w:t>
            </w:r>
          </w:p>
        </w:tc>
        <w:tc>
          <w:tcPr>
            <w:tcW w:w="0" w:type="auto"/>
            <w:tcBorders>
              <w:top w:val="nil"/>
              <w:left w:val="nil"/>
              <w:bottom w:val="nil"/>
              <w:right w:val="nil"/>
            </w:tcBorders>
            <w:shd w:val="clear" w:color="auto" w:fill="auto"/>
            <w:noWrap/>
            <w:vAlign w:val="bottom"/>
            <w:hideMark/>
          </w:tcPr>
          <w:p w14:paraId="4ED4FE8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(0.0506)</w:t>
            </w:r>
          </w:p>
        </w:tc>
        <w:tc>
          <w:tcPr>
            <w:tcW w:w="0" w:type="auto"/>
            <w:tcBorders>
              <w:top w:val="nil"/>
              <w:left w:val="nil"/>
              <w:bottom w:val="nil"/>
              <w:right w:val="nil"/>
            </w:tcBorders>
            <w:shd w:val="clear" w:color="auto" w:fill="auto"/>
            <w:noWrap/>
            <w:vAlign w:val="bottom"/>
            <w:hideMark/>
          </w:tcPr>
          <w:p w14:paraId="5C35A21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(0.0593)</w:t>
            </w:r>
          </w:p>
        </w:tc>
        <w:tc>
          <w:tcPr>
            <w:tcW w:w="0" w:type="auto"/>
            <w:tcBorders>
              <w:top w:val="nil"/>
              <w:left w:val="nil"/>
              <w:bottom w:val="nil"/>
              <w:right w:val="nil"/>
            </w:tcBorders>
            <w:shd w:val="clear" w:color="auto" w:fill="auto"/>
            <w:noWrap/>
            <w:vAlign w:val="bottom"/>
            <w:hideMark/>
          </w:tcPr>
          <w:p w14:paraId="109726E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(0.0591)</w:t>
            </w:r>
          </w:p>
        </w:tc>
        <w:tc>
          <w:tcPr>
            <w:tcW w:w="0" w:type="auto"/>
            <w:tcBorders>
              <w:top w:val="nil"/>
              <w:left w:val="nil"/>
              <w:bottom w:val="nil"/>
              <w:right w:val="nil"/>
            </w:tcBorders>
            <w:shd w:val="clear" w:color="auto" w:fill="auto"/>
            <w:noWrap/>
            <w:vAlign w:val="bottom"/>
            <w:hideMark/>
          </w:tcPr>
          <w:p w14:paraId="11BCB67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(0.0585)</w:t>
            </w:r>
          </w:p>
        </w:tc>
        <w:tc>
          <w:tcPr>
            <w:tcW w:w="0" w:type="auto"/>
            <w:tcBorders>
              <w:top w:val="nil"/>
              <w:left w:val="nil"/>
              <w:bottom w:val="nil"/>
              <w:right w:val="nil"/>
            </w:tcBorders>
            <w:shd w:val="clear" w:color="auto" w:fill="auto"/>
            <w:noWrap/>
            <w:vAlign w:val="bottom"/>
            <w:hideMark/>
          </w:tcPr>
          <w:p w14:paraId="0FB032A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(0.0587)</w:t>
            </w:r>
          </w:p>
        </w:tc>
      </w:tr>
      <w:tr w:rsidR="003E148C" w:rsidRPr="00BD2A98" w14:paraId="7528C20F" w14:textId="77777777" w:rsidTr="0026218B">
        <w:trPr>
          <w:trHeight w:val="20"/>
        </w:trPr>
        <w:tc>
          <w:tcPr>
            <w:tcW w:w="0" w:type="auto"/>
            <w:tcBorders>
              <w:top w:val="nil"/>
              <w:left w:val="nil"/>
              <w:bottom w:val="nil"/>
              <w:right w:val="nil"/>
            </w:tcBorders>
            <w:shd w:val="clear" w:color="auto" w:fill="auto"/>
            <w:noWrap/>
            <w:vAlign w:val="bottom"/>
            <w:hideMark/>
          </w:tcPr>
          <w:p w14:paraId="3C97595A" w14:textId="77777777" w:rsidR="003E148C" w:rsidRPr="00BD2A98" w:rsidRDefault="003E148C" w:rsidP="0026218B">
            <w:pPr>
              <w:widowControl w:val="0"/>
              <w:autoSpaceDE w:val="0"/>
              <w:autoSpaceDN w:val="0"/>
              <w:adjustRightInd w:val="0"/>
              <w:rPr>
                <w:sz w:val="20"/>
                <w:szCs w:val="20"/>
              </w:rPr>
            </w:pPr>
            <w:r w:rsidRPr="00BD2A98">
              <w:rPr>
                <w:sz w:val="20"/>
                <w:szCs w:val="20"/>
              </w:rPr>
              <w:t>Constant</w:t>
            </w:r>
          </w:p>
        </w:tc>
        <w:tc>
          <w:tcPr>
            <w:tcW w:w="0" w:type="auto"/>
            <w:tcBorders>
              <w:top w:val="nil"/>
              <w:left w:val="nil"/>
              <w:bottom w:val="nil"/>
              <w:right w:val="nil"/>
            </w:tcBorders>
            <w:shd w:val="clear" w:color="auto" w:fill="auto"/>
            <w:noWrap/>
            <w:vAlign w:val="bottom"/>
            <w:hideMark/>
          </w:tcPr>
          <w:p w14:paraId="154B9B0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-0.281</w:t>
            </w:r>
          </w:p>
        </w:tc>
        <w:tc>
          <w:tcPr>
            <w:tcW w:w="0" w:type="auto"/>
            <w:tcBorders>
              <w:top w:val="nil"/>
              <w:left w:val="nil"/>
              <w:bottom w:val="nil"/>
              <w:right w:val="nil"/>
            </w:tcBorders>
            <w:shd w:val="clear" w:color="auto" w:fill="auto"/>
            <w:noWrap/>
            <w:vAlign w:val="bottom"/>
            <w:hideMark/>
          </w:tcPr>
          <w:p w14:paraId="108814E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-0.313</w:t>
            </w:r>
          </w:p>
        </w:tc>
        <w:tc>
          <w:tcPr>
            <w:tcW w:w="0" w:type="auto"/>
            <w:tcBorders>
              <w:top w:val="nil"/>
              <w:left w:val="nil"/>
              <w:bottom w:val="nil"/>
              <w:right w:val="nil"/>
            </w:tcBorders>
            <w:shd w:val="clear" w:color="auto" w:fill="auto"/>
            <w:noWrap/>
            <w:vAlign w:val="bottom"/>
            <w:hideMark/>
          </w:tcPr>
          <w:p w14:paraId="4F96607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-0.286</w:t>
            </w:r>
          </w:p>
        </w:tc>
        <w:tc>
          <w:tcPr>
            <w:tcW w:w="0" w:type="auto"/>
            <w:tcBorders>
              <w:top w:val="nil"/>
              <w:left w:val="nil"/>
              <w:bottom w:val="nil"/>
              <w:right w:val="nil"/>
            </w:tcBorders>
            <w:shd w:val="clear" w:color="auto" w:fill="auto"/>
            <w:noWrap/>
            <w:vAlign w:val="bottom"/>
            <w:hideMark/>
          </w:tcPr>
          <w:p w14:paraId="5700B0A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-0.440</w:t>
            </w:r>
          </w:p>
        </w:tc>
        <w:tc>
          <w:tcPr>
            <w:tcW w:w="0" w:type="auto"/>
            <w:tcBorders>
              <w:top w:val="nil"/>
              <w:left w:val="nil"/>
              <w:bottom w:val="nil"/>
              <w:right w:val="nil"/>
            </w:tcBorders>
            <w:shd w:val="clear" w:color="auto" w:fill="auto"/>
            <w:noWrap/>
            <w:vAlign w:val="bottom"/>
            <w:hideMark/>
          </w:tcPr>
          <w:p w14:paraId="5086635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151.0</w:t>
            </w:r>
          </w:p>
        </w:tc>
        <w:tc>
          <w:tcPr>
            <w:tcW w:w="0" w:type="auto"/>
            <w:tcBorders>
              <w:top w:val="nil"/>
              <w:left w:val="nil"/>
              <w:bottom w:val="nil"/>
              <w:right w:val="nil"/>
            </w:tcBorders>
            <w:shd w:val="clear" w:color="auto" w:fill="auto"/>
            <w:noWrap/>
            <w:vAlign w:val="bottom"/>
            <w:hideMark/>
          </w:tcPr>
          <w:p w14:paraId="4E9EDF6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151.0</w:t>
            </w:r>
          </w:p>
        </w:tc>
        <w:tc>
          <w:tcPr>
            <w:tcW w:w="0" w:type="auto"/>
            <w:tcBorders>
              <w:top w:val="nil"/>
              <w:left w:val="nil"/>
              <w:bottom w:val="nil"/>
              <w:right w:val="nil"/>
            </w:tcBorders>
            <w:shd w:val="clear" w:color="auto" w:fill="auto"/>
            <w:noWrap/>
            <w:vAlign w:val="bottom"/>
            <w:hideMark/>
          </w:tcPr>
          <w:p w14:paraId="3FEDF6A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151.5</w:t>
            </w:r>
          </w:p>
        </w:tc>
        <w:tc>
          <w:tcPr>
            <w:tcW w:w="0" w:type="auto"/>
            <w:tcBorders>
              <w:top w:val="nil"/>
              <w:left w:val="nil"/>
              <w:bottom w:val="nil"/>
              <w:right w:val="nil"/>
            </w:tcBorders>
            <w:shd w:val="clear" w:color="auto" w:fill="auto"/>
            <w:noWrap/>
            <w:vAlign w:val="bottom"/>
            <w:hideMark/>
          </w:tcPr>
          <w:p w14:paraId="271BEB9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151.4</w:t>
            </w:r>
          </w:p>
        </w:tc>
      </w:tr>
      <w:tr w:rsidR="003E148C" w:rsidRPr="00BD2A98" w14:paraId="4F3011CD" w14:textId="77777777" w:rsidTr="0026218B">
        <w:trPr>
          <w:trHeight w:val="20"/>
        </w:trPr>
        <w:tc>
          <w:tcPr>
            <w:tcW w:w="0" w:type="auto"/>
            <w:tcBorders>
              <w:top w:val="nil"/>
              <w:left w:val="nil"/>
              <w:bottom w:val="nil"/>
              <w:right w:val="nil"/>
            </w:tcBorders>
            <w:shd w:val="clear" w:color="auto" w:fill="auto"/>
            <w:noWrap/>
            <w:vAlign w:val="bottom"/>
            <w:hideMark/>
          </w:tcPr>
          <w:p w14:paraId="37A9B5FB"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shd w:val="clear" w:color="auto" w:fill="auto"/>
            <w:noWrap/>
            <w:vAlign w:val="bottom"/>
            <w:hideMark/>
          </w:tcPr>
          <w:p w14:paraId="04B733D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(0.735)</w:t>
            </w:r>
          </w:p>
        </w:tc>
        <w:tc>
          <w:tcPr>
            <w:tcW w:w="0" w:type="auto"/>
            <w:tcBorders>
              <w:top w:val="nil"/>
              <w:left w:val="nil"/>
              <w:bottom w:val="nil"/>
              <w:right w:val="nil"/>
            </w:tcBorders>
            <w:shd w:val="clear" w:color="auto" w:fill="auto"/>
            <w:noWrap/>
            <w:vAlign w:val="bottom"/>
            <w:hideMark/>
          </w:tcPr>
          <w:p w14:paraId="034C171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(0.735)</w:t>
            </w:r>
          </w:p>
        </w:tc>
        <w:tc>
          <w:tcPr>
            <w:tcW w:w="0" w:type="auto"/>
            <w:tcBorders>
              <w:top w:val="nil"/>
              <w:left w:val="nil"/>
              <w:bottom w:val="nil"/>
              <w:right w:val="nil"/>
            </w:tcBorders>
            <w:shd w:val="clear" w:color="auto" w:fill="auto"/>
            <w:noWrap/>
            <w:vAlign w:val="bottom"/>
            <w:hideMark/>
          </w:tcPr>
          <w:p w14:paraId="191ECDB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(0.735)</w:t>
            </w:r>
          </w:p>
        </w:tc>
        <w:tc>
          <w:tcPr>
            <w:tcW w:w="0" w:type="auto"/>
            <w:tcBorders>
              <w:top w:val="nil"/>
              <w:left w:val="nil"/>
              <w:bottom w:val="nil"/>
              <w:right w:val="nil"/>
            </w:tcBorders>
            <w:shd w:val="clear" w:color="auto" w:fill="auto"/>
            <w:noWrap/>
            <w:vAlign w:val="bottom"/>
            <w:hideMark/>
          </w:tcPr>
          <w:p w14:paraId="4DC6785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(0.747)</w:t>
            </w:r>
          </w:p>
        </w:tc>
        <w:tc>
          <w:tcPr>
            <w:tcW w:w="0" w:type="auto"/>
            <w:tcBorders>
              <w:top w:val="nil"/>
              <w:left w:val="nil"/>
              <w:bottom w:val="nil"/>
              <w:right w:val="nil"/>
            </w:tcBorders>
            <w:shd w:val="clear" w:color="auto" w:fill="auto"/>
            <w:noWrap/>
            <w:vAlign w:val="bottom"/>
            <w:hideMark/>
          </w:tcPr>
          <w:p w14:paraId="52046FE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(4.348)</w:t>
            </w:r>
          </w:p>
        </w:tc>
        <w:tc>
          <w:tcPr>
            <w:tcW w:w="0" w:type="auto"/>
            <w:tcBorders>
              <w:top w:val="nil"/>
              <w:left w:val="nil"/>
              <w:bottom w:val="nil"/>
              <w:right w:val="nil"/>
            </w:tcBorders>
            <w:shd w:val="clear" w:color="auto" w:fill="auto"/>
            <w:noWrap/>
            <w:vAlign w:val="bottom"/>
            <w:hideMark/>
          </w:tcPr>
          <w:p w14:paraId="0F47101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(4.379)</w:t>
            </w:r>
          </w:p>
        </w:tc>
        <w:tc>
          <w:tcPr>
            <w:tcW w:w="0" w:type="auto"/>
            <w:tcBorders>
              <w:top w:val="nil"/>
              <w:left w:val="nil"/>
              <w:bottom w:val="nil"/>
              <w:right w:val="nil"/>
            </w:tcBorders>
            <w:shd w:val="clear" w:color="auto" w:fill="auto"/>
            <w:noWrap/>
            <w:vAlign w:val="bottom"/>
            <w:hideMark/>
          </w:tcPr>
          <w:p w14:paraId="3441549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(4.465)</w:t>
            </w:r>
          </w:p>
        </w:tc>
        <w:tc>
          <w:tcPr>
            <w:tcW w:w="0" w:type="auto"/>
            <w:tcBorders>
              <w:top w:val="nil"/>
              <w:left w:val="nil"/>
              <w:bottom w:val="nil"/>
              <w:right w:val="nil"/>
            </w:tcBorders>
            <w:shd w:val="clear" w:color="auto" w:fill="auto"/>
            <w:noWrap/>
            <w:vAlign w:val="bottom"/>
            <w:hideMark/>
          </w:tcPr>
          <w:p w14:paraId="4957FA74"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(4.458)</w:t>
            </w:r>
          </w:p>
        </w:tc>
      </w:tr>
      <w:tr w:rsidR="003E148C" w:rsidRPr="00BD2A98" w14:paraId="7450464C" w14:textId="77777777" w:rsidTr="0026218B">
        <w:trPr>
          <w:trHeight w:val="20"/>
        </w:trPr>
        <w:tc>
          <w:tcPr>
            <w:tcW w:w="0" w:type="auto"/>
            <w:tcBorders>
              <w:top w:val="nil"/>
              <w:left w:val="nil"/>
              <w:bottom w:val="nil"/>
              <w:right w:val="nil"/>
            </w:tcBorders>
            <w:shd w:val="clear" w:color="auto" w:fill="auto"/>
            <w:noWrap/>
            <w:vAlign w:val="bottom"/>
            <w:hideMark/>
          </w:tcPr>
          <w:p w14:paraId="0227C144" w14:textId="77777777" w:rsidR="003E148C" w:rsidRPr="00BD2A98" w:rsidRDefault="003E148C" w:rsidP="0026218B">
            <w:pPr>
              <w:widowControl w:val="0"/>
              <w:autoSpaceDE w:val="0"/>
              <w:autoSpaceDN w:val="0"/>
              <w:adjustRightInd w:val="0"/>
              <w:rPr>
                <w:sz w:val="20"/>
                <w:szCs w:val="20"/>
              </w:rPr>
            </w:pPr>
          </w:p>
        </w:tc>
        <w:tc>
          <w:tcPr>
            <w:tcW w:w="0" w:type="auto"/>
            <w:tcBorders>
              <w:top w:val="nil"/>
              <w:left w:val="nil"/>
              <w:bottom w:val="nil"/>
              <w:right w:val="nil"/>
            </w:tcBorders>
            <w:shd w:val="clear" w:color="auto" w:fill="auto"/>
            <w:noWrap/>
            <w:vAlign w:val="bottom"/>
            <w:hideMark/>
          </w:tcPr>
          <w:p w14:paraId="4A2DEE5F"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5F1E93D8"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331AB470"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228906E7"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7DDA9A11"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46556953"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55B66566" w14:textId="77777777" w:rsidR="003E148C" w:rsidRPr="00BD2A98" w:rsidRDefault="003E148C" w:rsidP="0026218B">
            <w:pPr>
              <w:widowControl w:val="0"/>
              <w:autoSpaceDE w:val="0"/>
              <w:autoSpaceDN w:val="0"/>
              <w:adjustRightInd w:val="0"/>
              <w:jc w:val="center"/>
              <w:rPr>
                <w:sz w:val="20"/>
                <w:szCs w:val="20"/>
                <w:lang w:val="fr-FR" w:eastAsia="fr-FR"/>
              </w:rPr>
            </w:pPr>
          </w:p>
        </w:tc>
        <w:tc>
          <w:tcPr>
            <w:tcW w:w="0" w:type="auto"/>
            <w:tcBorders>
              <w:top w:val="nil"/>
              <w:left w:val="nil"/>
              <w:bottom w:val="nil"/>
              <w:right w:val="nil"/>
            </w:tcBorders>
            <w:shd w:val="clear" w:color="auto" w:fill="auto"/>
            <w:noWrap/>
            <w:vAlign w:val="bottom"/>
            <w:hideMark/>
          </w:tcPr>
          <w:p w14:paraId="515CE880" w14:textId="77777777" w:rsidR="003E148C" w:rsidRPr="00BD2A98" w:rsidRDefault="003E148C" w:rsidP="0026218B">
            <w:pPr>
              <w:widowControl w:val="0"/>
              <w:autoSpaceDE w:val="0"/>
              <w:autoSpaceDN w:val="0"/>
              <w:adjustRightInd w:val="0"/>
              <w:jc w:val="center"/>
              <w:rPr>
                <w:sz w:val="20"/>
                <w:szCs w:val="20"/>
                <w:lang w:val="fr-FR" w:eastAsia="fr-FR"/>
              </w:rPr>
            </w:pPr>
          </w:p>
        </w:tc>
      </w:tr>
      <w:tr w:rsidR="003E148C" w:rsidRPr="00BD2A98" w14:paraId="644DC95D" w14:textId="77777777" w:rsidTr="0026218B">
        <w:trPr>
          <w:trHeight w:val="20"/>
        </w:trPr>
        <w:tc>
          <w:tcPr>
            <w:tcW w:w="0" w:type="auto"/>
            <w:tcBorders>
              <w:top w:val="nil"/>
              <w:left w:val="nil"/>
              <w:bottom w:val="nil"/>
              <w:right w:val="nil"/>
            </w:tcBorders>
            <w:shd w:val="clear" w:color="auto" w:fill="auto"/>
            <w:noWrap/>
            <w:vAlign w:val="bottom"/>
            <w:hideMark/>
          </w:tcPr>
          <w:p w14:paraId="46A5BC9B" w14:textId="77777777" w:rsidR="003E148C" w:rsidRPr="00BD2A98" w:rsidRDefault="003E148C" w:rsidP="0026218B">
            <w:pPr>
              <w:widowControl w:val="0"/>
              <w:autoSpaceDE w:val="0"/>
              <w:autoSpaceDN w:val="0"/>
              <w:adjustRightInd w:val="0"/>
              <w:rPr>
                <w:sz w:val="20"/>
                <w:szCs w:val="20"/>
              </w:rPr>
            </w:pPr>
            <w:r w:rsidRPr="00BD2A98">
              <w:rPr>
                <w:sz w:val="20"/>
                <w:szCs w:val="20"/>
              </w:rPr>
              <w:t>Observations</w:t>
            </w:r>
          </w:p>
        </w:tc>
        <w:tc>
          <w:tcPr>
            <w:tcW w:w="0" w:type="auto"/>
            <w:tcBorders>
              <w:top w:val="nil"/>
              <w:left w:val="nil"/>
              <w:bottom w:val="nil"/>
              <w:right w:val="nil"/>
            </w:tcBorders>
            <w:shd w:val="clear" w:color="auto" w:fill="auto"/>
            <w:noWrap/>
            <w:vAlign w:val="bottom"/>
            <w:hideMark/>
          </w:tcPr>
          <w:p w14:paraId="5F416ED5"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2,253</w:t>
            </w:r>
          </w:p>
        </w:tc>
        <w:tc>
          <w:tcPr>
            <w:tcW w:w="0" w:type="auto"/>
            <w:tcBorders>
              <w:top w:val="nil"/>
              <w:left w:val="nil"/>
              <w:bottom w:val="nil"/>
              <w:right w:val="nil"/>
            </w:tcBorders>
            <w:shd w:val="clear" w:color="auto" w:fill="auto"/>
            <w:noWrap/>
            <w:vAlign w:val="bottom"/>
            <w:hideMark/>
          </w:tcPr>
          <w:p w14:paraId="6C45CA20"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2,253</w:t>
            </w:r>
          </w:p>
        </w:tc>
        <w:tc>
          <w:tcPr>
            <w:tcW w:w="0" w:type="auto"/>
            <w:tcBorders>
              <w:top w:val="nil"/>
              <w:left w:val="nil"/>
              <w:bottom w:val="nil"/>
              <w:right w:val="nil"/>
            </w:tcBorders>
            <w:shd w:val="clear" w:color="auto" w:fill="auto"/>
            <w:noWrap/>
            <w:vAlign w:val="bottom"/>
            <w:hideMark/>
          </w:tcPr>
          <w:p w14:paraId="4C682B4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2,253</w:t>
            </w:r>
          </w:p>
        </w:tc>
        <w:tc>
          <w:tcPr>
            <w:tcW w:w="0" w:type="auto"/>
            <w:tcBorders>
              <w:top w:val="nil"/>
              <w:left w:val="nil"/>
              <w:bottom w:val="nil"/>
              <w:right w:val="nil"/>
            </w:tcBorders>
            <w:shd w:val="clear" w:color="auto" w:fill="auto"/>
            <w:noWrap/>
            <w:vAlign w:val="bottom"/>
            <w:hideMark/>
          </w:tcPr>
          <w:p w14:paraId="5351342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2,253</w:t>
            </w:r>
          </w:p>
        </w:tc>
        <w:tc>
          <w:tcPr>
            <w:tcW w:w="0" w:type="auto"/>
            <w:tcBorders>
              <w:top w:val="nil"/>
              <w:left w:val="nil"/>
              <w:bottom w:val="nil"/>
              <w:right w:val="nil"/>
            </w:tcBorders>
            <w:shd w:val="clear" w:color="auto" w:fill="auto"/>
            <w:noWrap/>
            <w:vAlign w:val="bottom"/>
            <w:hideMark/>
          </w:tcPr>
          <w:p w14:paraId="6D4ADBE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2,253</w:t>
            </w:r>
          </w:p>
        </w:tc>
        <w:tc>
          <w:tcPr>
            <w:tcW w:w="0" w:type="auto"/>
            <w:tcBorders>
              <w:top w:val="nil"/>
              <w:left w:val="nil"/>
              <w:bottom w:val="nil"/>
              <w:right w:val="nil"/>
            </w:tcBorders>
            <w:shd w:val="clear" w:color="auto" w:fill="auto"/>
            <w:noWrap/>
            <w:vAlign w:val="bottom"/>
            <w:hideMark/>
          </w:tcPr>
          <w:p w14:paraId="6BE383B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2,253</w:t>
            </w:r>
          </w:p>
        </w:tc>
        <w:tc>
          <w:tcPr>
            <w:tcW w:w="0" w:type="auto"/>
            <w:tcBorders>
              <w:top w:val="nil"/>
              <w:left w:val="nil"/>
              <w:bottom w:val="nil"/>
              <w:right w:val="nil"/>
            </w:tcBorders>
            <w:shd w:val="clear" w:color="auto" w:fill="auto"/>
            <w:noWrap/>
            <w:vAlign w:val="bottom"/>
            <w:hideMark/>
          </w:tcPr>
          <w:p w14:paraId="1241BA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2,253</w:t>
            </w:r>
          </w:p>
        </w:tc>
        <w:tc>
          <w:tcPr>
            <w:tcW w:w="0" w:type="auto"/>
            <w:tcBorders>
              <w:top w:val="nil"/>
              <w:left w:val="nil"/>
              <w:bottom w:val="nil"/>
              <w:right w:val="nil"/>
            </w:tcBorders>
            <w:shd w:val="clear" w:color="auto" w:fill="auto"/>
            <w:noWrap/>
            <w:vAlign w:val="bottom"/>
            <w:hideMark/>
          </w:tcPr>
          <w:p w14:paraId="7E9CE6C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2,253</w:t>
            </w:r>
          </w:p>
        </w:tc>
      </w:tr>
      <w:tr w:rsidR="003E148C" w:rsidRPr="00BD2A98" w14:paraId="66F0BF7D" w14:textId="77777777" w:rsidTr="0026218B">
        <w:trPr>
          <w:trHeight w:val="20"/>
        </w:trPr>
        <w:tc>
          <w:tcPr>
            <w:tcW w:w="0" w:type="auto"/>
            <w:tcBorders>
              <w:top w:val="nil"/>
              <w:left w:val="nil"/>
              <w:bottom w:val="nil"/>
              <w:right w:val="nil"/>
            </w:tcBorders>
            <w:shd w:val="clear" w:color="auto" w:fill="auto"/>
            <w:noWrap/>
            <w:vAlign w:val="bottom"/>
            <w:hideMark/>
          </w:tcPr>
          <w:p w14:paraId="1732DED0" w14:textId="77777777" w:rsidR="003E148C" w:rsidRPr="00BD2A98" w:rsidRDefault="003E148C" w:rsidP="0026218B">
            <w:pPr>
              <w:widowControl w:val="0"/>
              <w:autoSpaceDE w:val="0"/>
              <w:autoSpaceDN w:val="0"/>
              <w:adjustRightInd w:val="0"/>
              <w:rPr>
                <w:sz w:val="20"/>
                <w:szCs w:val="20"/>
              </w:rPr>
            </w:pPr>
            <w:r w:rsidRPr="00BD2A98">
              <w:rPr>
                <w:sz w:val="20"/>
                <w:szCs w:val="20"/>
              </w:rPr>
              <w:t>R-squared</w:t>
            </w:r>
          </w:p>
        </w:tc>
        <w:tc>
          <w:tcPr>
            <w:tcW w:w="0" w:type="auto"/>
            <w:tcBorders>
              <w:top w:val="nil"/>
              <w:left w:val="nil"/>
              <w:bottom w:val="nil"/>
              <w:right w:val="nil"/>
            </w:tcBorders>
            <w:shd w:val="clear" w:color="auto" w:fill="auto"/>
            <w:noWrap/>
            <w:vAlign w:val="bottom"/>
            <w:hideMark/>
          </w:tcPr>
          <w:p w14:paraId="159A85D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0.142</w:t>
            </w:r>
          </w:p>
        </w:tc>
        <w:tc>
          <w:tcPr>
            <w:tcW w:w="0" w:type="auto"/>
            <w:tcBorders>
              <w:top w:val="nil"/>
              <w:left w:val="nil"/>
              <w:bottom w:val="nil"/>
              <w:right w:val="nil"/>
            </w:tcBorders>
            <w:shd w:val="clear" w:color="auto" w:fill="auto"/>
            <w:noWrap/>
            <w:vAlign w:val="bottom"/>
            <w:hideMark/>
          </w:tcPr>
          <w:p w14:paraId="640E40E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0.142</w:t>
            </w:r>
          </w:p>
        </w:tc>
        <w:tc>
          <w:tcPr>
            <w:tcW w:w="0" w:type="auto"/>
            <w:tcBorders>
              <w:top w:val="nil"/>
              <w:left w:val="nil"/>
              <w:bottom w:val="nil"/>
              <w:right w:val="nil"/>
            </w:tcBorders>
            <w:shd w:val="clear" w:color="auto" w:fill="auto"/>
            <w:noWrap/>
            <w:vAlign w:val="bottom"/>
            <w:hideMark/>
          </w:tcPr>
          <w:p w14:paraId="11DBF08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0.142</w:t>
            </w:r>
          </w:p>
        </w:tc>
        <w:tc>
          <w:tcPr>
            <w:tcW w:w="0" w:type="auto"/>
            <w:tcBorders>
              <w:top w:val="nil"/>
              <w:left w:val="nil"/>
              <w:bottom w:val="nil"/>
              <w:right w:val="nil"/>
            </w:tcBorders>
            <w:shd w:val="clear" w:color="auto" w:fill="auto"/>
            <w:noWrap/>
            <w:vAlign w:val="bottom"/>
            <w:hideMark/>
          </w:tcPr>
          <w:p w14:paraId="3DA7170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0.142</w:t>
            </w:r>
          </w:p>
        </w:tc>
        <w:tc>
          <w:tcPr>
            <w:tcW w:w="0" w:type="auto"/>
            <w:tcBorders>
              <w:top w:val="nil"/>
              <w:left w:val="nil"/>
              <w:bottom w:val="nil"/>
              <w:right w:val="nil"/>
            </w:tcBorders>
            <w:shd w:val="clear" w:color="auto" w:fill="auto"/>
            <w:noWrap/>
            <w:vAlign w:val="bottom"/>
            <w:hideMark/>
          </w:tcPr>
          <w:p w14:paraId="4E2B32E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0.403</w:t>
            </w:r>
          </w:p>
        </w:tc>
        <w:tc>
          <w:tcPr>
            <w:tcW w:w="0" w:type="auto"/>
            <w:tcBorders>
              <w:top w:val="nil"/>
              <w:left w:val="nil"/>
              <w:bottom w:val="nil"/>
              <w:right w:val="nil"/>
            </w:tcBorders>
            <w:shd w:val="clear" w:color="auto" w:fill="auto"/>
            <w:noWrap/>
            <w:vAlign w:val="bottom"/>
            <w:hideMark/>
          </w:tcPr>
          <w:p w14:paraId="6A4D573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0.403</w:t>
            </w:r>
          </w:p>
        </w:tc>
        <w:tc>
          <w:tcPr>
            <w:tcW w:w="0" w:type="auto"/>
            <w:tcBorders>
              <w:top w:val="nil"/>
              <w:left w:val="nil"/>
              <w:bottom w:val="nil"/>
              <w:right w:val="nil"/>
            </w:tcBorders>
            <w:shd w:val="clear" w:color="auto" w:fill="auto"/>
            <w:noWrap/>
            <w:vAlign w:val="bottom"/>
            <w:hideMark/>
          </w:tcPr>
          <w:p w14:paraId="341867E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0.403</w:t>
            </w:r>
          </w:p>
        </w:tc>
        <w:tc>
          <w:tcPr>
            <w:tcW w:w="0" w:type="auto"/>
            <w:tcBorders>
              <w:top w:val="nil"/>
              <w:left w:val="nil"/>
              <w:bottom w:val="nil"/>
              <w:right w:val="nil"/>
            </w:tcBorders>
            <w:shd w:val="clear" w:color="auto" w:fill="auto"/>
            <w:noWrap/>
            <w:vAlign w:val="bottom"/>
            <w:hideMark/>
          </w:tcPr>
          <w:p w14:paraId="27579B6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0.403</w:t>
            </w:r>
          </w:p>
        </w:tc>
      </w:tr>
      <w:tr w:rsidR="003E148C" w:rsidRPr="00BD2A98" w14:paraId="7F2C8D23" w14:textId="77777777" w:rsidTr="0026218B">
        <w:trPr>
          <w:trHeight w:val="20"/>
        </w:trPr>
        <w:tc>
          <w:tcPr>
            <w:tcW w:w="0" w:type="auto"/>
            <w:tcBorders>
              <w:top w:val="nil"/>
              <w:left w:val="nil"/>
              <w:bottom w:val="nil"/>
              <w:right w:val="nil"/>
            </w:tcBorders>
            <w:shd w:val="clear" w:color="auto" w:fill="auto"/>
            <w:noWrap/>
            <w:vAlign w:val="bottom"/>
            <w:hideMark/>
          </w:tcPr>
          <w:p w14:paraId="3CEF03CA" w14:textId="77777777" w:rsidR="003E148C" w:rsidRPr="00BD2A98" w:rsidRDefault="003E148C" w:rsidP="0026218B">
            <w:pPr>
              <w:widowControl w:val="0"/>
              <w:autoSpaceDE w:val="0"/>
              <w:autoSpaceDN w:val="0"/>
              <w:adjustRightInd w:val="0"/>
              <w:rPr>
                <w:sz w:val="20"/>
                <w:szCs w:val="20"/>
              </w:rPr>
            </w:pPr>
            <w:r w:rsidRPr="00BD2A98">
              <w:rPr>
                <w:sz w:val="20"/>
                <w:szCs w:val="20"/>
              </w:rPr>
              <w:t>Number of municipality</w:t>
            </w:r>
          </w:p>
        </w:tc>
        <w:tc>
          <w:tcPr>
            <w:tcW w:w="0" w:type="auto"/>
            <w:tcBorders>
              <w:top w:val="nil"/>
              <w:left w:val="nil"/>
              <w:bottom w:val="nil"/>
              <w:right w:val="nil"/>
            </w:tcBorders>
            <w:shd w:val="clear" w:color="auto" w:fill="auto"/>
            <w:noWrap/>
            <w:vAlign w:val="bottom"/>
            <w:hideMark/>
          </w:tcPr>
          <w:p w14:paraId="38712D0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308</w:t>
            </w:r>
          </w:p>
        </w:tc>
        <w:tc>
          <w:tcPr>
            <w:tcW w:w="0" w:type="auto"/>
            <w:tcBorders>
              <w:top w:val="nil"/>
              <w:left w:val="nil"/>
              <w:bottom w:val="nil"/>
              <w:right w:val="nil"/>
            </w:tcBorders>
            <w:shd w:val="clear" w:color="auto" w:fill="auto"/>
            <w:noWrap/>
            <w:vAlign w:val="bottom"/>
            <w:hideMark/>
          </w:tcPr>
          <w:p w14:paraId="68D86A4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308</w:t>
            </w:r>
          </w:p>
        </w:tc>
        <w:tc>
          <w:tcPr>
            <w:tcW w:w="0" w:type="auto"/>
            <w:tcBorders>
              <w:top w:val="nil"/>
              <w:left w:val="nil"/>
              <w:bottom w:val="nil"/>
              <w:right w:val="nil"/>
            </w:tcBorders>
            <w:shd w:val="clear" w:color="auto" w:fill="auto"/>
            <w:noWrap/>
            <w:vAlign w:val="bottom"/>
            <w:hideMark/>
          </w:tcPr>
          <w:p w14:paraId="5172541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308</w:t>
            </w:r>
          </w:p>
        </w:tc>
        <w:tc>
          <w:tcPr>
            <w:tcW w:w="0" w:type="auto"/>
            <w:tcBorders>
              <w:top w:val="nil"/>
              <w:left w:val="nil"/>
              <w:bottom w:val="nil"/>
              <w:right w:val="nil"/>
            </w:tcBorders>
            <w:shd w:val="clear" w:color="auto" w:fill="auto"/>
            <w:noWrap/>
            <w:vAlign w:val="bottom"/>
            <w:hideMark/>
          </w:tcPr>
          <w:p w14:paraId="2A1049C6"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308</w:t>
            </w:r>
          </w:p>
        </w:tc>
        <w:tc>
          <w:tcPr>
            <w:tcW w:w="0" w:type="auto"/>
            <w:tcBorders>
              <w:top w:val="nil"/>
              <w:left w:val="nil"/>
              <w:bottom w:val="nil"/>
              <w:right w:val="nil"/>
            </w:tcBorders>
            <w:shd w:val="clear" w:color="auto" w:fill="auto"/>
            <w:noWrap/>
            <w:vAlign w:val="bottom"/>
            <w:hideMark/>
          </w:tcPr>
          <w:p w14:paraId="4DEB07D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308</w:t>
            </w:r>
          </w:p>
        </w:tc>
        <w:tc>
          <w:tcPr>
            <w:tcW w:w="0" w:type="auto"/>
            <w:tcBorders>
              <w:top w:val="nil"/>
              <w:left w:val="nil"/>
              <w:bottom w:val="nil"/>
              <w:right w:val="nil"/>
            </w:tcBorders>
            <w:shd w:val="clear" w:color="auto" w:fill="auto"/>
            <w:noWrap/>
            <w:vAlign w:val="bottom"/>
            <w:hideMark/>
          </w:tcPr>
          <w:p w14:paraId="4C98DE4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308</w:t>
            </w:r>
          </w:p>
        </w:tc>
        <w:tc>
          <w:tcPr>
            <w:tcW w:w="0" w:type="auto"/>
            <w:tcBorders>
              <w:top w:val="nil"/>
              <w:left w:val="nil"/>
              <w:bottom w:val="nil"/>
              <w:right w:val="nil"/>
            </w:tcBorders>
            <w:shd w:val="clear" w:color="auto" w:fill="auto"/>
            <w:noWrap/>
            <w:vAlign w:val="bottom"/>
            <w:hideMark/>
          </w:tcPr>
          <w:p w14:paraId="1F9450D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308</w:t>
            </w:r>
          </w:p>
        </w:tc>
        <w:tc>
          <w:tcPr>
            <w:tcW w:w="0" w:type="auto"/>
            <w:tcBorders>
              <w:top w:val="nil"/>
              <w:left w:val="nil"/>
              <w:bottom w:val="nil"/>
              <w:right w:val="nil"/>
            </w:tcBorders>
            <w:shd w:val="clear" w:color="auto" w:fill="auto"/>
            <w:noWrap/>
            <w:vAlign w:val="bottom"/>
            <w:hideMark/>
          </w:tcPr>
          <w:p w14:paraId="17ED218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308</w:t>
            </w:r>
          </w:p>
        </w:tc>
      </w:tr>
      <w:tr w:rsidR="003E148C" w:rsidRPr="00BD2A98" w14:paraId="4F3FA86E" w14:textId="77777777" w:rsidTr="0026218B">
        <w:trPr>
          <w:trHeight w:val="20"/>
        </w:trPr>
        <w:tc>
          <w:tcPr>
            <w:tcW w:w="0" w:type="auto"/>
            <w:tcBorders>
              <w:top w:val="nil"/>
              <w:left w:val="nil"/>
              <w:bottom w:val="nil"/>
              <w:right w:val="nil"/>
            </w:tcBorders>
            <w:shd w:val="clear" w:color="auto" w:fill="auto"/>
            <w:noWrap/>
            <w:vAlign w:val="bottom"/>
            <w:hideMark/>
          </w:tcPr>
          <w:p w14:paraId="6B2F6808" w14:textId="77777777" w:rsidR="003E148C" w:rsidRPr="00BD2A98" w:rsidRDefault="003E148C" w:rsidP="0026218B">
            <w:pPr>
              <w:widowControl w:val="0"/>
              <w:autoSpaceDE w:val="0"/>
              <w:autoSpaceDN w:val="0"/>
              <w:adjustRightInd w:val="0"/>
              <w:rPr>
                <w:sz w:val="20"/>
                <w:szCs w:val="20"/>
              </w:rPr>
            </w:pPr>
            <w:r w:rsidRPr="00BD2A98">
              <w:rPr>
                <w:sz w:val="20"/>
                <w:szCs w:val="20"/>
              </w:rPr>
              <w:t>Municipality FEs</w:t>
            </w:r>
          </w:p>
        </w:tc>
        <w:tc>
          <w:tcPr>
            <w:tcW w:w="0" w:type="auto"/>
            <w:tcBorders>
              <w:top w:val="nil"/>
              <w:left w:val="nil"/>
              <w:bottom w:val="nil"/>
              <w:right w:val="nil"/>
            </w:tcBorders>
            <w:shd w:val="clear" w:color="auto" w:fill="auto"/>
            <w:noWrap/>
            <w:vAlign w:val="bottom"/>
            <w:hideMark/>
          </w:tcPr>
          <w:p w14:paraId="14B6DF8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shd w:val="clear" w:color="auto" w:fill="auto"/>
            <w:noWrap/>
            <w:vAlign w:val="bottom"/>
            <w:hideMark/>
          </w:tcPr>
          <w:p w14:paraId="46AA628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shd w:val="clear" w:color="auto" w:fill="auto"/>
            <w:noWrap/>
            <w:vAlign w:val="bottom"/>
            <w:hideMark/>
          </w:tcPr>
          <w:p w14:paraId="119209F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shd w:val="clear" w:color="auto" w:fill="auto"/>
            <w:noWrap/>
            <w:vAlign w:val="bottom"/>
            <w:hideMark/>
          </w:tcPr>
          <w:p w14:paraId="2A95226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shd w:val="clear" w:color="auto" w:fill="auto"/>
            <w:noWrap/>
            <w:vAlign w:val="bottom"/>
            <w:hideMark/>
          </w:tcPr>
          <w:p w14:paraId="36564CF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shd w:val="clear" w:color="auto" w:fill="auto"/>
            <w:noWrap/>
            <w:vAlign w:val="bottom"/>
            <w:hideMark/>
          </w:tcPr>
          <w:p w14:paraId="27D3A7BA"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shd w:val="clear" w:color="auto" w:fill="auto"/>
            <w:noWrap/>
            <w:vAlign w:val="bottom"/>
            <w:hideMark/>
          </w:tcPr>
          <w:p w14:paraId="7DD6580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bottom w:val="nil"/>
              <w:right w:val="nil"/>
            </w:tcBorders>
            <w:shd w:val="clear" w:color="auto" w:fill="auto"/>
            <w:noWrap/>
            <w:vAlign w:val="bottom"/>
            <w:hideMark/>
          </w:tcPr>
          <w:p w14:paraId="22FC972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632646E7" w14:textId="77777777" w:rsidTr="0026218B">
        <w:trPr>
          <w:trHeight w:val="20"/>
        </w:trPr>
        <w:tc>
          <w:tcPr>
            <w:tcW w:w="0" w:type="auto"/>
            <w:tcBorders>
              <w:top w:val="nil"/>
              <w:left w:val="nil"/>
              <w:right w:val="nil"/>
            </w:tcBorders>
            <w:shd w:val="clear" w:color="auto" w:fill="auto"/>
            <w:noWrap/>
            <w:vAlign w:val="bottom"/>
            <w:hideMark/>
          </w:tcPr>
          <w:p w14:paraId="582D6810" w14:textId="77777777" w:rsidR="003E148C" w:rsidRPr="00BD2A98" w:rsidRDefault="003E148C" w:rsidP="0026218B">
            <w:pPr>
              <w:widowControl w:val="0"/>
              <w:autoSpaceDE w:val="0"/>
              <w:autoSpaceDN w:val="0"/>
              <w:adjustRightInd w:val="0"/>
              <w:rPr>
                <w:sz w:val="20"/>
                <w:szCs w:val="20"/>
              </w:rPr>
            </w:pPr>
            <w:r w:rsidRPr="00BD2A98">
              <w:rPr>
                <w:sz w:val="20"/>
                <w:szCs w:val="20"/>
              </w:rPr>
              <w:t>Year FEs</w:t>
            </w:r>
          </w:p>
        </w:tc>
        <w:tc>
          <w:tcPr>
            <w:tcW w:w="0" w:type="auto"/>
            <w:tcBorders>
              <w:top w:val="nil"/>
              <w:left w:val="nil"/>
              <w:right w:val="nil"/>
            </w:tcBorders>
            <w:shd w:val="clear" w:color="auto" w:fill="auto"/>
            <w:noWrap/>
            <w:vAlign w:val="bottom"/>
            <w:hideMark/>
          </w:tcPr>
          <w:p w14:paraId="60FE216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shd w:val="clear" w:color="auto" w:fill="auto"/>
            <w:noWrap/>
            <w:vAlign w:val="bottom"/>
            <w:hideMark/>
          </w:tcPr>
          <w:p w14:paraId="105536DB"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shd w:val="clear" w:color="auto" w:fill="auto"/>
            <w:noWrap/>
            <w:vAlign w:val="bottom"/>
            <w:hideMark/>
          </w:tcPr>
          <w:p w14:paraId="3026246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shd w:val="clear" w:color="auto" w:fill="auto"/>
            <w:noWrap/>
            <w:vAlign w:val="bottom"/>
            <w:hideMark/>
          </w:tcPr>
          <w:p w14:paraId="424E9F9D"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shd w:val="clear" w:color="auto" w:fill="auto"/>
            <w:noWrap/>
            <w:vAlign w:val="bottom"/>
            <w:hideMark/>
          </w:tcPr>
          <w:p w14:paraId="5D4E25F9"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shd w:val="clear" w:color="auto" w:fill="auto"/>
            <w:noWrap/>
            <w:vAlign w:val="bottom"/>
            <w:hideMark/>
          </w:tcPr>
          <w:p w14:paraId="1A13966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shd w:val="clear" w:color="auto" w:fill="auto"/>
            <w:noWrap/>
            <w:vAlign w:val="bottom"/>
            <w:hideMark/>
          </w:tcPr>
          <w:p w14:paraId="7C7EACAF"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top w:val="nil"/>
              <w:left w:val="nil"/>
              <w:right w:val="nil"/>
            </w:tcBorders>
            <w:shd w:val="clear" w:color="auto" w:fill="auto"/>
            <w:noWrap/>
            <w:vAlign w:val="bottom"/>
            <w:hideMark/>
          </w:tcPr>
          <w:p w14:paraId="22B3B4A8"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r w:rsidR="003E148C" w:rsidRPr="00BD2A98" w14:paraId="5BF7EA5A" w14:textId="77777777" w:rsidTr="0026218B">
        <w:trPr>
          <w:trHeight w:val="20"/>
        </w:trPr>
        <w:tc>
          <w:tcPr>
            <w:tcW w:w="0" w:type="auto"/>
            <w:tcBorders>
              <w:left w:val="nil"/>
              <w:bottom w:val="single" w:sz="4" w:space="0" w:color="auto"/>
              <w:right w:val="nil"/>
            </w:tcBorders>
            <w:shd w:val="clear" w:color="auto" w:fill="auto"/>
            <w:noWrap/>
            <w:vAlign w:val="bottom"/>
          </w:tcPr>
          <w:p w14:paraId="4E7AFCC2" w14:textId="77777777" w:rsidR="003E148C" w:rsidRPr="00BD2A98" w:rsidRDefault="003E148C" w:rsidP="0026218B">
            <w:pPr>
              <w:widowControl w:val="0"/>
              <w:autoSpaceDE w:val="0"/>
              <w:autoSpaceDN w:val="0"/>
              <w:adjustRightInd w:val="0"/>
              <w:rPr>
                <w:sz w:val="20"/>
                <w:szCs w:val="20"/>
              </w:rPr>
            </w:pPr>
            <w:r w:rsidRPr="00BD2A98">
              <w:rPr>
                <w:sz w:val="20"/>
                <w:szCs w:val="20"/>
              </w:rPr>
              <w:t>Municipality-year trend FE</w:t>
            </w:r>
          </w:p>
        </w:tc>
        <w:tc>
          <w:tcPr>
            <w:tcW w:w="0" w:type="auto"/>
            <w:tcBorders>
              <w:left w:val="nil"/>
              <w:bottom w:val="single" w:sz="4" w:space="0" w:color="auto"/>
              <w:right w:val="nil"/>
            </w:tcBorders>
            <w:shd w:val="clear" w:color="auto" w:fill="auto"/>
            <w:noWrap/>
            <w:vAlign w:val="bottom"/>
          </w:tcPr>
          <w:p w14:paraId="5F3F8D72"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No</w:t>
            </w:r>
          </w:p>
        </w:tc>
        <w:tc>
          <w:tcPr>
            <w:tcW w:w="0" w:type="auto"/>
            <w:tcBorders>
              <w:left w:val="nil"/>
              <w:bottom w:val="single" w:sz="4" w:space="0" w:color="auto"/>
              <w:right w:val="nil"/>
            </w:tcBorders>
            <w:shd w:val="clear" w:color="auto" w:fill="auto"/>
            <w:noWrap/>
            <w:vAlign w:val="bottom"/>
          </w:tcPr>
          <w:p w14:paraId="242228A1"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No</w:t>
            </w:r>
          </w:p>
        </w:tc>
        <w:tc>
          <w:tcPr>
            <w:tcW w:w="0" w:type="auto"/>
            <w:tcBorders>
              <w:left w:val="nil"/>
              <w:bottom w:val="single" w:sz="4" w:space="0" w:color="auto"/>
              <w:right w:val="nil"/>
            </w:tcBorders>
            <w:shd w:val="clear" w:color="auto" w:fill="auto"/>
            <w:noWrap/>
            <w:vAlign w:val="bottom"/>
          </w:tcPr>
          <w:p w14:paraId="4D7D76A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No</w:t>
            </w:r>
          </w:p>
        </w:tc>
        <w:tc>
          <w:tcPr>
            <w:tcW w:w="0" w:type="auto"/>
            <w:tcBorders>
              <w:left w:val="nil"/>
              <w:bottom w:val="single" w:sz="4" w:space="0" w:color="auto"/>
              <w:right w:val="nil"/>
            </w:tcBorders>
            <w:shd w:val="clear" w:color="auto" w:fill="auto"/>
            <w:noWrap/>
            <w:vAlign w:val="bottom"/>
          </w:tcPr>
          <w:p w14:paraId="613D365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No</w:t>
            </w:r>
          </w:p>
        </w:tc>
        <w:tc>
          <w:tcPr>
            <w:tcW w:w="0" w:type="auto"/>
            <w:tcBorders>
              <w:left w:val="nil"/>
              <w:bottom w:val="single" w:sz="4" w:space="0" w:color="auto"/>
              <w:right w:val="nil"/>
            </w:tcBorders>
            <w:shd w:val="clear" w:color="auto" w:fill="auto"/>
            <w:noWrap/>
            <w:vAlign w:val="bottom"/>
          </w:tcPr>
          <w:p w14:paraId="045B5DE3"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left w:val="nil"/>
              <w:bottom w:val="single" w:sz="4" w:space="0" w:color="auto"/>
              <w:right w:val="nil"/>
            </w:tcBorders>
            <w:shd w:val="clear" w:color="auto" w:fill="auto"/>
            <w:noWrap/>
            <w:vAlign w:val="bottom"/>
          </w:tcPr>
          <w:p w14:paraId="402D879C"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left w:val="nil"/>
              <w:bottom w:val="single" w:sz="4" w:space="0" w:color="auto"/>
              <w:right w:val="nil"/>
            </w:tcBorders>
            <w:shd w:val="clear" w:color="auto" w:fill="auto"/>
            <w:noWrap/>
            <w:vAlign w:val="bottom"/>
          </w:tcPr>
          <w:p w14:paraId="2DB843B7"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c>
          <w:tcPr>
            <w:tcW w:w="0" w:type="auto"/>
            <w:tcBorders>
              <w:left w:val="nil"/>
              <w:bottom w:val="single" w:sz="4" w:space="0" w:color="auto"/>
              <w:right w:val="nil"/>
            </w:tcBorders>
            <w:shd w:val="clear" w:color="auto" w:fill="auto"/>
            <w:noWrap/>
            <w:vAlign w:val="bottom"/>
          </w:tcPr>
          <w:p w14:paraId="110A875E" w14:textId="77777777" w:rsidR="003E148C" w:rsidRPr="00BD2A98" w:rsidRDefault="003E148C" w:rsidP="0026218B">
            <w:pPr>
              <w:widowControl w:val="0"/>
              <w:autoSpaceDE w:val="0"/>
              <w:autoSpaceDN w:val="0"/>
              <w:adjustRightInd w:val="0"/>
              <w:jc w:val="center"/>
              <w:rPr>
                <w:sz w:val="20"/>
                <w:szCs w:val="20"/>
                <w:lang w:val="fr-FR" w:eastAsia="fr-FR"/>
              </w:rPr>
            </w:pPr>
            <w:r w:rsidRPr="00BD2A98">
              <w:rPr>
                <w:sz w:val="20"/>
                <w:szCs w:val="20"/>
                <w:lang w:val="fr-FR" w:eastAsia="fr-FR"/>
              </w:rPr>
              <w:t>Yes</w:t>
            </w:r>
          </w:p>
        </w:tc>
      </w:tr>
    </w:tbl>
    <w:p w14:paraId="50E66A4B" w14:textId="77777777" w:rsidR="003E148C" w:rsidRPr="0058683A" w:rsidRDefault="003E148C" w:rsidP="003E148C">
      <w:pPr>
        <w:pStyle w:val="TableCaption"/>
        <w:spacing w:line="240" w:lineRule="auto"/>
        <w:rPr>
          <w:i/>
        </w:rPr>
      </w:pPr>
      <w:r w:rsidRPr="00B200A7">
        <w:rPr>
          <w:sz w:val="20"/>
          <w:szCs w:val="20"/>
          <w:lang w:eastAsia="pt-PT"/>
        </w:rPr>
        <w:t>Robust standard errors clustered by municipality in brackets</w:t>
      </w:r>
    </w:p>
    <w:p w14:paraId="596B8CE0" w14:textId="6F961159" w:rsidR="00E17F02" w:rsidRPr="0058683A" w:rsidRDefault="00E17F02" w:rsidP="003E148C">
      <w:pPr>
        <w:widowControl w:val="0"/>
        <w:autoSpaceDE w:val="0"/>
        <w:autoSpaceDN w:val="0"/>
        <w:adjustRightInd w:val="0"/>
        <w:spacing w:after="220"/>
        <w:contextualSpacing/>
        <w:jc w:val="both"/>
        <w:rPr>
          <w:i/>
        </w:rPr>
      </w:pPr>
    </w:p>
    <w:sectPr w:rsidR="00E17F02" w:rsidRPr="0058683A" w:rsidSect="00E27DCC">
      <w:headerReference w:type="default" r:id="rId52"/>
      <w:footerReference w:type="default" r:id="rId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404E" w14:textId="77777777" w:rsidR="00E31B97" w:rsidRDefault="00E31B97" w:rsidP="00D314D6">
      <w:r>
        <w:separator/>
      </w:r>
    </w:p>
  </w:endnote>
  <w:endnote w:type="continuationSeparator" w:id="0">
    <w:p w14:paraId="31EA821D" w14:textId="77777777" w:rsidR="00E31B97" w:rsidRDefault="00E31B97" w:rsidP="00D3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025728"/>
      <w:docPartObj>
        <w:docPartGallery w:val="Page Numbers (Bottom of Page)"/>
        <w:docPartUnique/>
      </w:docPartObj>
    </w:sdtPr>
    <w:sdtEndPr>
      <w:rPr>
        <w:rStyle w:val="PageNumber"/>
      </w:rPr>
    </w:sdtEndPr>
    <w:sdtContent>
      <w:p w14:paraId="6EF999C1" w14:textId="3E2AB620" w:rsidR="00E27DCC" w:rsidRDefault="00E27DCC" w:rsidP="00553C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C77489" w14:textId="77777777" w:rsidR="00E27DCC" w:rsidRDefault="00E27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778017"/>
      <w:docPartObj>
        <w:docPartGallery w:val="Page Numbers (Bottom of Page)"/>
        <w:docPartUnique/>
      </w:docPartObj>
    </w:sdtPr>
    <w:sdtEndPr>
      <w:rPr>
        <w:rStyle w:val="PageNumber"/>
      </w:rPr>
    </w:sdtEndPr>
    <w:sdtContent>
      <w:p w14:paraId="3C9A5257" w14:textId="45FF8ECC" w:rsidR="00E27DCC" w:rsidRDefault="00E27DCC" w:rsidP="00553C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56836">
          <w:rPr>
            <w:rStyle w:val="PageNumber"/>
            <w:noProof/>
          </w:rPr>
          <w:t>52</w:t>
        </w:r>
        <w:r>
          <w:rPr>
            <w:rStyle w:val="PageNumber"/>
          </w:rPr>
          <w:fldChar w:fldCharType="end"/>
        </w:r>
      </w:p>
    </w:sdtContent>
  </w:sdt>
  <w:p w14:paraId="6AAF05EE" w14:textId="77777777" w:rsidR="00E27DCC" w:rsidRDefault="00E27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B68D" w14:textId="77777777" w:rsidR="008A26DC" w:rsidRDefault="008A2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36961"/>
      <w:docPartObj>
        <w:docPartGallery w:val="Page Numbers (Bottom of Page)"/>
        <w:docPartUnique/>
      </w:docPartObj>
    </w:sdtPr>
    <w:sdtEndPr>
      <w:rPr>
        <w:noProof/>
      </w:rPr>
    </w:sdtEndPr>
    <w:sdtContent>
      <w:p w14:paraId="6FDECD71" w14:textId="28E93AEC" w:rsidR="00E27DCC" w:rsidRDefault="00E27DCC">
        <w:pPr>
          <w:pStyle w:val="Footer"/>
        </w:pPr>
        <w:r>
          <w:fldChar w:fldCharType="begin"/>
        </w:r>
        <w:r>
          <w:instrText xml:space="preserve"> PAGE   \* MERGEFORMAT </w:instrText>
        </w:r>
        <w:r>
          <w:fldChar w:fldCharType="separate"/>
        </w:r>
        <w:r w:rsidR="00056836">
          <w:rPr>
            <w:noProof/>
          </w:rPr>
          <w:t>53</w:t>
        </w:r>
        <w:r>
          <w:rPr>
            <w:noProof/>
          </w:rPr>
          <w:fldChar w:fldCharType="end"/>
        </w:r>
      </w:p>
    </w:sdtContent>
  </w:sdt>
  <w:p w14:paraId="517C5FB6" w14:textId="77777777" w:rsidR="00E27DCC" w:rsidRDefault="00E27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4882" w14:textId="77777777" w:rsidR="00E31B97" w:rsidRDefault="00E31B97" w:rsidP="00D314D6">
      <w:r>
        <w:separator/>
      </w:r>
    </w:p>
  </w:footnote>
  <w:footnote w:type="continuationSeparator" w:id="0">
    <w:p w14:paraId="1365D564" w14:textId="77777777" w:rsidR="00E31B97" w:rsidRDefault="00E31B97" w:rsidP="00D314D6">
      <w:r>
        <w:continuationSeparator/>
      </w:r>
    </w:p>
  </w:footnote>
  <w:footnote w:id="1">
    <w:p w14:paraId="38D7A54B" w14:textId="1B3E8F0D" w:rsidR="00E27DCC" w:rsidRDefault="00E27DCC" w:rsidP="00D95F9F">
      <w:pPr>
        <w:pStyle w:val="FootnoteText"/>
        <w:contextualSpacing/>
        <w:mirrorIndents/>
      </w:pPr>
      <w:r w:rsidRPr="00006113">
        <w:rPr>
          <w:rStyle w:val="FootnoteReference"/>
        </w:rPr>
        <w:footnoteRef/>
      </w:r>
      <w:r>
        <w:t xml:space="preserve"> We exclude hybrid entrepreneurs, that is, those individuals creating a new venture while keeping their positions as paid employees. However, results (available upon request) remain robust to including such individuals in our sample. </w:t>
      </w:r>
    </w:p>
  </w:footnote>
  <w:footnote w:id="2">
    <w:p w14:paraId="7453E894" w14:textId="77777777" w:rsidR="00E27DCC" w:rsidRDefault="00E27DCC" w:rsidP="00D95F9F">
      <w:pPr>
        <w:pStyle w:val="FootnoteText"/>
        <w:contextualSpacing/>
        <w:mirrorIndents/>
      </w:pPr>
      <w:r w:rsidRPr="00006113">
        <w:rPr>
          <w:rStyle w:val="FootnoteReference"/>
        </w:rPr>
        <w:footnoteRef/>
      </w:r>
      <w:r>
        <w:t xml:space="preserve"> As a robustness check, we define the managerial position dummy equal to one when an employee occupies top managerial positions. Results (available upon request) remain quantitatively and qualitatively similar.</w:t>
      </w:r>
    </w:p>
  </w:footnote>
  <w:footnote w:id="3">
    <w:p w14:paraId="520E75AB" w14:textId="77777777" w:rsidR="00E27DCC" w:rsidRPr="009D6AC9" w:rsidRDefault="00E27DCC" w:rsidP="00D95F9F">
      <w:pPr>
        <w:pStyle w:val="FootnoteText"/>
        <w:contextualSpacing/>
      </w:pPr>
      <w:r w:rsidRPr="00006113">
        <w:rPr>
          <w:rStyle w:val="FootnoteReference"/>
        </w:rPr>
        <w:footnoteRef/>
      </w:r>
      <w:r w:rsidRPr="00A2360F">
        <w:t xml:space="preserve"> </w:t>
      </w:r>
      <w:r w:rsidRPr="009D6AC9">
        <w:rPr>
          <w:rStyle w:val="Emphasis"/>
          <w:i w:val="0"/>
        </w:rPr>
        <w:t>We consider individual level of education (years of schooling), as defined by the International Standard Classification of Education (ISCED). In particular, we define a dummy variable “High education” equal to 1 for individuals with a</w:t>
      </w:r>
      <w:r>
        <w:rPr>
          <w:rStyle w:val="Emphasis"/>
          <w:i w:val="0"/>
        </w:rPr>
        <w:t>n</w:t>
      </w:r>
      <w:r w:rsidRPr="009D6AC9">
        <w:rPr>
          <w:rStyle w:val="Emphasis"/>
          <w:i w:val="0"/>
        </w:rPr>
        <w:t xml:space="preserve"> ISCED 4/5/6 level – higher education (which corresponds to university degree), i.e., more than 12 years of schooling. The dummy variable “Low </w:t>
      </w:r>
      <w:r w:rsidRPr="009D6AC9">
        <w:t>education</w:t>
      </w:r>
      <w:r w:rsidRPr="009D6AC9">
        <w:rPr>
          <w:rStyle w:val="Emphasis"/>
          <w:i w:val="0"/>
        </w:rPr>
        <w:t>” and “Medium education” are respectively equal to 1 for individuals with ISCED level 1 (i.e., less than 9 years of schooling) and for individuals with ISCED level 2 (i.e., between 9 and 12 years of schooling).</w:t>
      </w:r>
    </w:p>
  </w:footnote>
  <w:footnote w:id="4">
    <w:p w14:paraId="0FC4FD5C" w14:textId="77777777" w:rsidR="00E27DCC" w:rsidRDefault="00E27DCC" w:rsidP="00D95F9F">
      <w:pPr>
        <w:pStyle w:val="FootnoteText"/>
        <w:contextualSpacing/>
      </w:pPr>
      <w:r w:rsidRPr="00006113">
        <w:rPr>
          <w:rStyle w:val="FootnoteReference"/>
        </w:rPr>
        <w:footnoteRef/>
      </w:r>
      <w:r>
        <w:t xml:space="preserve"> </w:t>
      </w:r>
      <w:r w:rsidRPr="00D314D6">
        <w:t>Occupations are</w:t>
      </w:r>
      <w:r>
        <w:t xml:space="preserve"> </w:t>
      </w:r>
      <w:r w:rsidRPr="00D314D6">
        <w:t>recorded</w:t>
      </w:r>
      <w:r>
        <w:t xml:space="preserve"> </w:t>
      </w:r>
      <w:r w:rsidRPr="00D314D6">
        <w:t>in</w:t>
      </w:r>
      <w:r>
        <w:t xml:space="preserve"> </w:t>
      </w:r>
      <w:r w:rsidRPr="00D314D6">
        <w:t>the</w:t>
      </w:r>
      <w:r>
        <w:t xml:space="preserve"> QDP </w:t>
      </w:r>
      <w:r w:rsidRPr="00D314D6">
        <w:t>data</w:t>
      </w:r>
      <w:r>
        <w:t xml:space="preserve"> </w:t>
      </w:r>
      <w:r w:rsidRPr="00D314D6">
        <w:t>at</w:t>
      </w:r>
      <w:r>
        <w:t xml:space="preserve"> </w:t>
      </w:r>
      <w:r w:rsidRPr="00D314D6">
        <w:t>the</w:t>
      </w:r>
      <w:r>
        <w:t xml:space="preserve"> six-</w:t>
      </w:r>
      <w:r w:rsidRPr="00D314D6">
        <w:t>digit</w:t>
      </w:r>
      <w:r>
        <w:t xml:space="preserve"> </w:t>
      </w:r>
      <w:r w:rsidRPr="00D314D6">
        <w:t>level</w:t>
      </w:r>
      <w:r>
        <w:t xml:space="preserve"> </w:t>
      </w:r>
      <w:r w:rsidRPr="00D314D6">
        <w:t>in</w:t>
      </w:r>
      <w:r>
        <w:t xml:space="preserve"> </w:t>
      </w:r>
      <w:r w:rsidRPr="00D314D6">
        <w:t>accordance</w:t>
      </w:r>
      <w:r>
        <w:t xml:space="preserve"> </w:t>
      </w:r>
      <w:r w:rsidRPr="00D314D6">
        <w:t>with</w:t>
      </w:r>
      <w:r>
        <w:t xml:space="preserve"> </w:t>
      </w:r>
      <w:r w:rsidRPr="00D314D6">
        <w:t>the</w:t>
      </w:r>
      <w:r>
        <w:t xml:space="preserve"> </w:t>
      </w:r>
      <w:r w:rsidRPr="00D314D6">
        <w:t>International</w:t>
      </w:r>
      <w:r>
        <w:t xml:space="preserve"> </w:t>
      </w:r>
      <w:r w:rsidRPr="00D314D6">
        <w:t>Standard</w:t>
      </w:r>
      <w:r>
        <w:t xml:space="preserve"> </w:t>
      </w:r>
      <w:r w:rsidRPr="00D314D6">
        <w:t>Classification</w:t>
      </w:r>
      <w:r>
        <w:t xml:space="preserve"> </w:t>
      </w:r>
      <w:r w:rsidRPr="00D314D6">
        <w:t>of</w:t>
      </w:r>
      <w:r>
        <w:t xml:space="preserve"> </w:t>
      </w:r>
      <w:r w:rsidRPr="00D314D6">
        <w:t>Occupations</w:t>
      </w:r>
      <w:r>
        <w:t xml:space="preserve"> </w:t>
      </w:r>
      <w:r w:rsidRPr="00D314D6">
        <w:t xml:space="preserve">(ISCO) </w:t>
      </w:r>
      <w:r>
        <w:t xml:space="preserve">for </w:t>
      </w:r>
      <w:r w:rsidRPr="00D314D6">
        <w:t>1988.</w:t>
      </w:r>
      <w:r>
        <w:t xml:space="preserve"> </w:t>
      </w:r>
      <w:r w:rsidRPr="00D314D6">
        <w:t>We</w:t>
      </w:r>
      <w:r>
        <w:t xml:space="preserve"> </w:t>
      </w:r>
      <w:r w:rsidRPr="00D314D6">
        <w:t>use</w:t>
      </w:r>
      <w:r>
        <w:t xml:space="preserve"> ISCO-88</w:t>
      </w:r>
      <w:r w:rsidRPr="00D314D6">
        <w:t>s</w:t>
      </w:r>
      <w:r>
        <w:t xml:space="preserve"> </w:t>
      </w:r>
      <w:r w:rsidRPr="00D314D6">
        <w:t>major</w:t>
      </w:r>
      <w:r>
        <w:t xml:space="preserve"> </w:t>
      </w:r>
      <w:r w:rsidRPr="00D314D6">
        <w:t>groups:</w:t>
      </w:r>
      <w:r>
        <w:t xml:space="preserve"> </w:t>
      </w:r>
      <w:r w:rsidRPr="00D314D6">
        <w:t>1 – directors;</w:t>
      </w:r>
      <w:r>
        <w:t xml:space="preserve"> </w:t>
      </w:r>
      <w:r w:rsidRPr="00D314D6">
        <w:t>2 – intellectual and</w:t>
      </w:r>
      <w:r>
        <w:t xml:space="preserve"> </w:t>
      </w:r>
      <w:r w:rsidRPr="00D314D6">
        <w:t>scientific</w:t>
      </w:r>
      <w:r>
        <w:t xml:space="preserve"> </w:t>
      </w:r>
      <w:r w:rsidRPr="00D314D6">
        <w:t>specialists;</w:t>
      </w:r>
      <w:r>
        <w:t xml:space="preserve"> </w:t>
      </w:r>
      <w:r w:rsidRPr="00D314D6">
        <w:t>3 – professional</w:t>
      </w:r>
      <w:r>
        <w:t xml:space="preserve"> </w:t>
      </w:r>
      <w:r w:rsidRPr="00D314D6">
        <w:t>and</w:t>
      </w:r>
      <w:r>
        <w:t xml:space="preserve"> </w:t>
      </w:r>
      <w:r w:rsidRPr="00D314D6">
        <w:t>technical;</w:t>
      </w:r>
      <w:r>
        <w:t xml:space="preserve"> </w:t>
      </w:r>
      <w:r w:rsidRPr="00D314D6">
        <w:t>4 – administrative</w:t>
      </w:r>
      <w:r>
        <w:t xml:space="preserve"> </w:t>
      </w:r>
      <w:r w:rsidRPr="00D314D6">
        <w:t>and managerial; 5 – clerical and</w:t>
      </w:r>
      <w:r>
        <w:t xml:space="preserve"> </w:t>
      </w:r>
      <w:r w:rsidRPr="00D314D6">
        <w:t>sales</w:t>
      </w:r>
      <w:r>
        <w:t xml:space="preserve"> </w:t>
      </w:r>
      <w:r w:rsidRPr="00D314D6">
        <w:t>workers;</w:t>
      </w:r>
      <w:r>
        <w:t xml:space="preserve"> </w:t>
      </w:r>
      <w:r w:rsidRPr="00D314D6">
        <w:t>6 – agriculture, silviculture</w:t>
      </w:r>
      <w:r>
        <w:t xml:space="preserve"> </w:t>
      </w:r>
      <w:r w:rsidRPr="00D314D6">
        <w:t>and</w:t>
      </w:r>
      <w:r>
        <w:t xml:space="preserve"> </w:t>
      </w:r>
      <w:r w:rsidRPr="00D314D6">
        <w:t>fishing;</w:t>
      </w:r>
      <w:r>
        <w:t xml:space="preserve"> </w:t>
      </w:r>
      <w:r w:rsidRPr="00D314D6">
        <w:t>7 – production</w:t>
      </w:r>
      <w:r>
        <w:t xml:space="preserve"> </w:t>
      </w:r>
      <w:r w:rsidRPr="00D314D6">
        <w:t>and</w:t>
      </w:r>
      <w:r>
        <w:t xml:space="preserve"> </w:t>
      </w:r>
      <w:r w:rsidRPr="00D314D6">
        <w:t>related</w:t>
      </w:r>
      <w:r>
        <w:t xml:space="preserve"> </w:t>
      </w:r>
      <w:r w:rsidRPr="00D314D6">
        <w:t>workers;</w:t>
      </w:r>
      <w:r>
        <w:t xml:space="preserve"> </w:t>
      </w:r>
      <w:r w:rsidRPr="00D314D6">
        <w:t>8 – equipment</w:t>
      </w:r>
      <w:r>
        <w:t xml:space="preserve"> </w:t>
      </w:r>
      <w:r w:rsidRPr="00D314D6">
        <w:t>operators</w:t>
      </w:r>
      <w:r>
        <w:t xml:space="preserve"> and laborer’s; and 9</w:t>
      </w:r>
      <w:r w:rsidRPr="00D314D6">
        <w:t xml:space="preserve"> – </w:t>
      </w:r>
      <w:r>
        <w:t xml:space="preserve">unqualified workers. </w:t>
      </w:r>
    </w:p>
  </w:footnote>
  <w:footnote w:id="5">
    <w:p w14:paraId="13387CE7" w14:textId="77777777" w:rsidR="00E27DCC" w:rsidRPr="002A0797" w:rsidRDefault="00E27DCC" w:rsidP="00D95F9F">
      <w:pPr>
        <w:pStyle w:val="FootnoteText"/>
      </w:pPr>
      <w:r w:rsidRPr="00006113">
        <w:rPr>
          <w:rStyle w:val="FootnoteReference"/>
        </w:rPr>
        <w:footnoteRef/>
      </w:r>
      <w:r w:rsidRPr="002A0797">
        <w:t xml:space="preserve"> To ensure </w:t>
      </w:r>
      <w:r>
        <w:t xml:space="preserve">that </w:t>
      </w:r>
      <w:r w:rsidRPr="002A0797">
        <w:t xml:space="preserve">our results are not driven by composition in the labor force, in counties enacting the “On the Spot Firm” </w:t>
      </w:r>
      <w:r>
        <w:t>reform</w:t>
      </w:r>
      <w:r w:rsidRPr="002A0797">
        <w:t xml:space="preserve">, we included </w:t>
      </w:r>
      <w:r>
        <w:t xml:space="preserve">only those </w:t>
      </w:r>
      <w:r w:rsidRPr="002A0797">
        <w:t>employees present in the sample both before and after the program</w:t>
      </w:r>
      <w:r>
        <w:t>’s</w:t>
      </w:r>
      <w:r w:rsidRPr="002A0797">
        <w:t xml:space="preserve"> enactment.</w:t>
      </w:r>
    </w:p>
  </w:footnote>
  <w:footnote w:id="6">
    <w:p w14:paraId="791C7285" w14:textId="77777777" w:rsidR="00E27DCC" w:rsidRPr="00903FD1" w:rsidRDefault="00E27DCC" w:rsidP="00D95F9F">
      <w:pPr>
        <w:autoSpaceDE w:val="0"/>
        <w:autoSpaceDN w:val="0"/>
        <w:adjustRightInd w:val="0"/>
        <w:rPr>
          <w:sz w:val="20"/>
          <w:szCs w:val="20"/>
        </w:rPr>
      </w:pPr>
      <w:r w:rsidRPr="00100B3D">
        <w:rPr>
          <w:rStyle w:val="FootnoteReference"/>
        </w:rPr>
        <w:footnoteRef/>
      </w:r>
      <w:r w:rsidRPr="00903FD1">
        <w:rPr>
          <w:sz w:val="20"/>
          <w:szCs w:val="20"/>
        </w:rPr>
        <w:t xml:space="preserve"> We also performed additional analyses to assess</w:t>
      </w:r>
      <w:r>
        <w:rPr>
          <w:sz w:val="20"/>
          <w:szCs w:val="20"/>
        </w:rPr>
        <w:t xml:space="preserve"> the time it takes for the entry reform to produce the effect on rents</w:t>
      </w:r>
      <w:r w:rsidRPr="00903FD1">
        <w:rPr>
          <w:sz w:val="20"/>
          <w:szCs w:val="20"/>
        </w:rPr>
        <w:t>, by considering different time-window</w:t>
      </w:r>
      <w:r>
        <w:rPr>
          <w:sz w:val="20"/>
          <w:szCs w:val="20"/>
        </w:rPr>
        <w:t>s</w:t>
      </w:r>
      <w:r w:rsidRPr="00903FD1">
        <w:rPr>
          <w:sz w:val="20"/>
          <w:szCs w:val="20"/>
        </w:rPr>
        <w:t xml:space="preserve"> around the shock</w:t>
      </w:r>
      <w:r w:rsidRPr="00CF20D3">
        <w:rPr>
          <w:sz w:val="20"/>
          <w:szCs w:val="20"/>
        </w:rPr>
        <w:t>. Results (available upon request) show that</w:t>
      </w:r>
      <w:r w:rsidRPr="00903FD1">
        <w:rPr>
          <w:sz w:val="20"/>
          <w:szCs w:val="20"/>
        </w:rPr>
        <w:t xml:space="preserve"> the effect become</w:t>
      </w:r>
      <w:r>
        <w:rPr>
          <w:sz w:val="20"/>
          <w:szCs w:val="20"/>
        </w:rPr>
        <w:t>s</w:t>
      </w:r>
      <w:r w:rsidRPr="00903FD1">
        <w:rPr>
          <w:sz w:val="20"/>
          <w:szCs w:val="20"/>
        </w:rPr>
        <w:t xml:space="preserve"> stronger around year 3 and continues increasing in strength till year 5. These results support</w:t>
      </w:r>
      <w:r>
        <w:rPr>
          <w:sz w:val="20"/>
          <w:szCs w:val="20"/>
        </w:rPr>
        <w:t>,</w:t>
      </w:r>
      <w:r w:rsidRPr="00903FD1">
        <w:rPr>
          <w:sz w:val="20"/>
          <w:szCs w:val="20"/>
        </w:rPr>
        <w:t xml:space="preserve"> </w:t>
      </w:r>
      <w:r>
        <w:rPr>
          <w:sz w:val="20"/>
          <w:szCs w:val="20"/>
        </w:rPr>
        <w:t xml:space="preserve">therefore, </w:t>
      </w:r>
      <w:r w:rsidRPr="00903FD1">
        <w:rPr>
          <w:sz w:val="20"/>
          <w:szCs w:val="20"/>
        </w:rPr>
        <w:t xml:space="preserve">the </w:t>
      </w:r>
      <w:r>
        <w:rPr>
          <w:sz w:val="20"/>
          <w:szCs w:val="20"/>
        </w:rPr>
        <w:t>notion</w:t>
      </w:r>
      <w:r w:rsidRPr="00903FD1">
        <w:rPr>
          <w:sz w:val="20"/>
          <w:szCs w:val="20"/>
        </w:rPr>
        <w:t xml:space="preserve"> that the mechanisms </w:t>
      </w:r>
      <w:r>
        <w:rPr>
          <w:sz w:val="20"/>
          <w:szCs w:val="20"/>
        </w:rPr>
        <w:t>driving</w:t>
      </w:r>
      <w:r w:rsidRPr="00903FD1">
        <w:rPr>
          <w:sz w:val="20"/>
          <w:szCs w:val="20"/>
        </w:rPr>
        <w:t xml:space="preserve"> our results are more likely to materialize over a longer run. </w:t>
      </w:r>
    </w:p>
    <w:p w14:paraId="536258E4" w14:textId="77777777" w:rsidR="00E27DCC" w:rsidRPr="00CF20D3" w:rsidRDefault="00E27DCC" w:rsidP="00D95F9F">
      <w:pPr>
        <w:pStyle w:val="FootnoteText"/>
      </w:pPr>
    </w:p>
  </w:footnote>
  <w:footnote w:id="7">
    <w:p w14:paraId="7EF91757" w14:textId="045BF14E" w:rsidR="00E27DCC" w:rsidRPr="00B200A7" w:rsidRDefault="00E27DCC" w:rsidP="00D95F9F">
      <w:pPr>
        <w:autoSpaceDE w:val="0"/>
        <w:autoSpaceDN w:val="0"/>
        <w:adjustRightInd w:val="0"/>
        <w:rPr>
          <w:sz w:val="20"/>
          <w:szCs w:val="20"/>
        </w:rPr>
      </w:pPr>
      <w:r w:rsidRPr="00100B3D">
        <w:rPr>
          <w:rStyle w:val="FootnoteReference"/>
        </w:rPr>
        <w:footnoteRef/>
      </w:r>
      <w:r w:rsidRPr="00692EB2">
        <w:rPr>
          <w:sz w:val="20"/>
          <w:szCs w:val="20"/>
        </w:rPr>
        <w:t xml:space="preserve"> </w:t>
      </w:r>
      <w:r>
        <w:rPr>
          <w:sz w:val="20"/>
          <w:szCs w:val="20"/>
        </w:rPr>
        <w:t>Any</w:t>
      </w:r>
      <w:r w:rsidRPr="00B200A7">
        <w:rPr>
          <w:sz w:val="20"/>
          <w:szCs w:val="20"/>
        </w:rPr>
        <w:t xml:space="preserve"> internal sorting across positions, whereby women would occupy lower-ranked and therefore lower-paid jobs within firms following the treatment, is unlikely to account for our main findings. Because our results are estimated “within jobs,” as we include occupation-fixed effects in our models, any differences between jobs that women and men occupy do not account for the observed increase in the wage gap, following the treatment. </w:t>
      </w:r>
    </w:p>
  </w:footnote>
  <w:footnote w:id="8">
    <w:p w14:paraId="35014FC1" w14:textId="355232E5" w:rsidR="00E27DCC" w:rsidRPr="00903FD1" w:rsidRDefault="00E27DCC" w:rsidP="00D95F9F">
      <w:pPr>
        <w:rPr>
          <w:color w:val="000000"/>
          <w:sz w:val="20"/>
          <w:szCs w:val="20"/>
        </w:rPr>
      </w:pPr>
      <w:r w:rsidRPr="00100B3D">
        <w:rPr>
          <w:rStyle w:val="FootnoteReference"/>
        </w:rPr>
        <w:footnoteRef/>
      </w:r>
      <w:r w:rsidRPr="00903FD1">
        <w:rPr>
          <w:sz w:val="20"/>
          <w:szCs w:val="20"/>
        </w:rPr>
        <w:t xml:space="preserve"> </w:t>
      </w:r>
      <w:r>
        <w:rPr>
          <w:color w:val="000000"/>
          <w:sz w:val="20"/>
          <w:szCs w:val="20"/>
        </w:rPr>
        <w:t>Our</w:t>
      </w:r>
      <w:r w:rsidRPr="00903FD1">
        <w:rPr>
          <w:color w:val="000000"/>
          <w:sz w:val="20"/>
          <w:szCs w:val="20"/>
        </w:rPr>
        <w:t xml:space="preserve"> analyses exclude this wage component, consistent with common approach taken by prior wage studies (e.g., Fernandes et al. 2013).</w:t>
      </w:r>
      <w:r w:rsidRPr="00E97E9A">
        <w:rPr>
          <w:color w:val="000000"/>
          <w:sz w:val="20"/>
          <w:szCs w:val="20"/>
        </w:rPr>
        <w:t xml:space="preserve"> </w:t>
      </w:r>
      <w:r w:rsidRPr="00903FD1">
        <w:rPr>
          <w:color w:val="000000"/>
          <w:sz w:val="20"/>
          <w:szCs w:val="20"/>
        </w:rPr>
        <w:t xml:space="preserve">Scholars have argued that the “irregular” component varies severely from month to month – and the survey is taken in </w:t>
      </w:r>
      <w:r w:rsidRPr="00E97E9A">
        <w:rPr>
          <w:color w:val="000000"/>
          <w:sz w:val="20"/>
          <w:szCs w:val="20"/>
        </w:rPr>
        <w:t>a specific and not-random month (</w:t>
      </w:r>
      <w:r w:rsidRPr="00903FD1">
        <w:rPr>
          <w:color w:val="000000"/>
          <w:sz w:val="20"/>
          <w:szCs w:val="20"/>
        </w:rPr>
        <w:t>October</w:t>
      </w:r>
      <w:r w:rsidRPr="00E97E9A">
        <w:rPr>
          <w:color w:val="000000"/>
          <w:sz w:val="20"/>
          <w:szCs w:val="20"/>
        </w:rPr>
        <w:t>)</w:t>
      </w:r>
      <w:r w:rsidRPr="00903FD1">
        <w:rPr>
          <w:color w:val="000000"/>
          <w:sz w:val="20"/>
          <w:szCs w:val="20"/>
        </w:rPr>
        <w:t>. In this sense, the pay-for-performance component may be a less reliable indicator of a worker wage compared to other components which do not vary monthly</w:t>
      </w:r>
      <w:r>
        <w:rPr>
          <w:color w:val="000000"/>
          <w:sz w:val="20"/>
          <w:szCs w:val="20"/>
        </w:rPr>
        <w:t xml:space="preserve"> or that vary depending on some variables which we can control for (e.g., extra hours worked)</w:t>
      </w:r>
      <w:r w:rsidRPr="00903FD1">
        <w:rPr>
          <w:color w:val="000000"/>
          <w:sz w:val="20"/>
          <w:szCs w:val="20"/>
        </w:rPr>
        <w:t>.</w:t>
      </w:r>
      <w:r w:rsidRPr="00E97E9A">
        <w:rPr>
          <w:color w:val="000000"/>
          <w:sz w:val="20"/>
          <w:szCs w:val="20"/>
        </w:rPr>
        <w:t xml:space="preserve"> However, our results </w:t>
      </w:r>
      <w:r>
        <w:rPr>
          <w:color w:val="000000"/>
          <w:sz w:val="20"/>
          <w:szCs w:val="20"/>
        </w:rPr>
        <w:t>are recovered –  and become stronger – when we include this component in the overall salary (results available upon request).</w:t>
      </w:r>
    </w:p>
    <w:p w14:paraId="0E5D6F5D" w14:textId="77777777" w:rsidR="00E27DCC" w:rsidRDefault="00E27DCC" w:rsidP="00D95F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4B41" w14:textId="77777777" w:rsidR="008A26DC" w:rsidRDefault="008A2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5782" w14:textId="77777777" w:rsidR="008A26DC" w:rsidRDefault="008A2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5F20" w14:textId="77777777" w:rsidR="008A26DC" w:rsidRDefault="008A2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4C4F2" w14:textId="77777777" w:rsidR="00E27DCC" w:rsidRDefault="00E2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45D"/>
    <w:multiLevelType w:val="hybridMultilevel"/>
    <w:tmpl w:val="7604DF22"/>
    <w:lvl w:ilvl="0" w:tplc="C78496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D96"/>
    <w:multiLevelType w:val="hybridMultilevel"/>
    <w:tmpl w:val="1CD44BC2"/>
    <w:lvl w:ilvl="0" w:tplc="04090017">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6C7F"/>
    <w:multiLevelType w:val="hybridMultilevel"/>
    <w:tmpl w:val="337A4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9647C"/>
    <w:multiLevelType w:val="hybridMultilevel"/>
    <w:tmpl w:val="64769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A101E0"/>
    <w:multiLevelType w:val="hybridMultilevel"/>
    <w:tmpl w:val="0F7ED7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40A4A0D"/>
    <w:multiLevelType w:val="hybridMultilevel"/>
    <w:tmpl w:val="77EAC3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863001"/>
    <w:multiLevelType w:val="hybridMultilevel"/>
    <w:tmpl w:val="984E6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FB76B5"/>
    <w:multiLevelType w:val="hybridMultilevel"/>
    <w:tmpl w:val="C646F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3C2556"/>
    <w:multiLevelType w:val="hybridMultilevel"/>
    <w:tmpl w:val="06D679C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8F259A"/>
    <w:multiLevelType w:val="hybridMultilevel"/>
    <w:tmpl w:val="38DA8CDA"/>
    <w:lvl w:ilvl="0" w:tplc="04090017">
      <w:start w:val="1"/>
      <w:numFmt w:val="lowerLetter"/>
      <w:lvlText w:val="%1)"/>
      <w:lvlJc w:val="left"/>
      <w:pPr>
        <w:ind w:left="360" w:hanging="360"/>
      </w:pPr>
      <w:rPr>
        <w:rFonts w:hint="default"/>
      </w:rPr>
    </w:lvl>
    <w:lvl w:ilvl="1" w:tplc="0A2C75F6">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646723"/>
    <w:multiLevelType w:val="hybridMultilevel"/>
    <w:tmpl w:val="D7903D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043B05"/>
    <w:multiLevelType w:val="hybridMultilevel"/>
    <w:tmpl w:val="827EA78A"/>
    <w:lvl w:ilvl="0" w:tplc="BF48A23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4744C9B"/>
    <w:multiLevelType w:val="hybridMultilevel"/>
    <w:tmpl w:val="9AA8A4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0"/>
  </w:num>
  <w:num w:numId="5">
    <w:abstractNumId w:val="12"/>
  </w:num>
  <w:num w:numId="6">
    <w:abstractNumId w:val="7"/>
  </w:num>
  <w:num w:numId="7">
    <w:abstractNumId w:val="11"/>
  </w:num>
  <w:num w:numId="8">
    <w:abstractNumId w:val="9"/>
  </w:num>
  <w:num w:numId="9">
    <w:abstractNumId w:val="1"/>
  </w:num>
  <w:num w:numId="10">
    <w:abstractNumId w:val="10"/>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displayBackgroundShape/>
  <w:activeWritingStyle w:appName="MSWord" w:lang="pt-P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0" w:nlCheck="1" w:checkStyle="0"/>
  <w:activeWritingStyle w:appName="MSWord" w:lang="pt-PT" w:vendorID="64" w:dllVersion="0" w:nlCheck="1" w:checkStyle="0"/>
  <w:activeWritingStyle w:appName="MSWord" w:lang="fr-FR" w:vendorID="64" w:dllVersion="6" w:nlCheck="1" w:checkStyle="0"/>
  <w:activeWritingStyle w:appName="MSWord" w:lang="it-IT" w:vendorID="64" w:dllVersion="4096" w:nlCheck="1" w:checkStyle="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2MLGwNLI0NjI1MzJQ0lEKTi0uzszPAykwNKoFAPE3l8AtAAAA"/>
  </w:docVars>
  <w:rsids>
    <w:rsidRoot w:val="00AB0F5E"/>
    <w:rsid w:val="00000278"/>
    <w:rsid w:val="00000666"/>
    <w:rsid w:val="0000085A"/>
    <w:rsid w:val="00000C9F"/>
    <w:rsid w:val="000014BB"/>
    <w:rsid w:val="000044E5"/>
    <w:rsid w:val="00004C57"/>
    <w:rsid w:val="0000580D"/>
    <w:rsid w:val="000060EA"/>
    <w:rsid w:val="000079D7"/>
    <w:rsid w:val="00007A52"/>
    <w:rsid w:val="00010C48"/>
    <w:rsid w:val="00011322"/>
    <w:rsid w:val="00011F21"/>
    <w:rsid w:val="00012E76"/>
    <w:rsid w:val="00013BB9"/>
    <w:rsid w:val="00013BCB"/>
    <w:rsid w:val="00014B21"/>
    <w:rsid w:val="000150AA"/>
    <w:rsid w:val="000161FD"/>
    <w:rsid w:val="00016346"/>
    <w:rsid w:val="000164F5"/>
    <w:rsid w:val="000174C0"/>
    <w:rsid w:val="00017AE3"/>
    <w:rsid w:val="00017F77"/>
    <w:rsid w:val="00020043"/>
    <w:rsid w:val="000222BD"/>
    <w:rsid w:val="000223C9"/>
    <w:rsid w:val="00023D14"/>
    <w:rsid w:val="00024896"/>
    <w:rsid w:val="00024F72"/>
    <w:rsid w:val="0002554E"/>
    <w:rsid w:val="00026EC1"/>
    <w:rsid w:val="00026FE7"/>
    <w:rsid w:val="0003056B"/>
    <w:rsid w:val="00031F2F"/>
    <w:rsid w:val="00032896"/>
    <w:rsid w:val="000339F9"/>
    <w:rsid w:val="00033CF1"/>
    <w:rsid w:val="000340E6"/>
    <w:rsid w:val="000347A3"/>
    <w:rsid w:val="000348EE"/>
    <w:rsid w:val="00034C3D"/>
    <w:rsid w:val="00035715"/>
    <w:rsid w:val="0003577D"/>
    <w:rsid w:val="000358C0"/>
    <w:rsid w:val="00036536"/>
    <w:rsid w:val="00040062"/>
    <w:rsid w:val="00041471"/>
    <w:rsid w:val="000417F6"/>
    <w:rsid w:val="00041CEE"/>
    <w:rsid w:val="00042568"/>
    <w:rsid w:val="000427A6"/>
    <w:rsid w:val="00043203"/>
    <w:rsid w:val="0004415D"/>
    <w:rsid w:val="00045BB0"/>
    <w:rsid w:val="00045E69"/>
    <w:rsid w:val="000514BD"/>
    <w:rsid w:val="00052654"/>
    <w:rsid w:val="00055B97"/>
    <w:rsid w:val="00056491"/>
    <w:rsid w:val="00056836"/>
    <w:rsid w:val="000572F2"/>
    <w:rsid w:val="000640B8"/>
    <w:rsid w:val="000648EC"/>
    <w:rsid w:val="00064B6F"/>
    <w:rsid w:val="00064CBE"/>
    <w:rsid w:val="000656BF"/>
    <w:rsid w:val="00065CEA"/>
    <w:rsid w:val="00066375"/>
    <w:rsid w:val="00067CE4"/>
    <w:rsid w:val="0007012C"/>
    <w:rsid w:val="000713B4"/>
    <w:rsid w:val="00071A14"/>
    <w:rsid w:val="00071A9C"/>
    <w:rsid w:val="00071BE0"/>
    <w:rsid w:val="0007430E"/>
    <w:rsid w:val="00076A38"/>
    <w:rsid w:val="00077C11"/>
    <w:rsid w:val="00080324"/>
    <w:rsid w:val="00080748"/>
    <w:rsid w:val="000834AD"/>
    <w:rsid w:val="00083D5E"/>
    <w:rsid w:val="000842E4"/>
    <w:rsid w:val="00084958"/>
    <w:rsid w:val="00084C77"/>
    <w:rsid w:val="00085268"/>
    <w:rsid w:val="00085E3E"/>
    <w:rsid w:val="00086594"/>
    <w:rsid w:val="000871E4"/>
    <w:rsid w:val="00090F63"/>
    <w:rsid w:val="00092127"/>
    <w:rsid w:val="000926CB"/>
    <w:rsid w:val="00093082"/>
    <w:rsid w:val="000942C8"/>
    <w:rsid w:val="00094339"/>
    <w:rsid w:val="00094739"/>
    <w:rsid w:val="00095FE8"/>
    <w:rsid w:val="00096173"/>
    <w:rsid w:val="00096995"/>
    <w:rsid w:val="00097666"/>
    <w:rsid w:val="000A1DED"/>
    <w:rsid w:val="000A218C"/>
    <w:rsid w:val="000A25F8"/>
    <w:rsid w:val="000A320E"/>
    <w:rsid w:val="000A3EBE"/>
    <w:rsid w:val="000A40DE"/>
    <w:rsid w:val="000A4350"/>
    <w:rsid w:val="000A45FF"/>
    <w:rsid w:val="000A4E12"/>
    <w:rsid w:val="000A4F35"/>
    <w:rsid w:val="000A5F3B"/>
    <w:rsid w:val="000A611E"/>
    <w:rsid w:val="000A73D2"/>
    <w:rsid w:val="000A7538"/>
    <w:rsid w:val="000B0317"/>
    <w:rsid w:val="000B0C93"/>
    <w:rsid w:val="000B3205"/>
    <w:rsid w:val="000B445A"/>
    <w:rsid w:val="000B496D"/>
    <w:rsid w:val="000B5CE4"/>
    <w:rsid w:val="000B5DC5"/>
    <w:rsid w:val="000B7151"/>
    <w:rsid w:val="000B76B6"/>
    <w:rsid w:val="000C0784"/>
    <w:rsid w:val="000C0BA4"/>
    <w:rsid w:val="000C1767"/>
    <w:rsid w:val="000C22FF"/>
    <w:rsid w:val="000C3590"/>
    <w:rsid w:val="000C41B2"/>
    <w:rsid w:val="000C43D3"/>
    <w:rsid w:val="000C5FD0"/>
    <w:rsid w:val="000C62A1"/>
    <w:rsid w:val="000D0190"/>
    <w:rsid w:val="000D0752"/>
    <w:rsid w:val="000D1468"/>
    <w:rsid w:val="000D1A34"/>
    <w:rsid w:val="000D1C39"/>
    <w:rsid w:val="000D1CC9"/>
    <w:rsid w:val="000D381E"/>
    <w:rsid w:val="000D42BA"/>
    <w:rsid w:val="000D4B63"/>
    <w:rsid w:val="000E0A85"/>
    <w:rsid w:val="000E0F7A"/>
    <w:rsid w:val="000E153B"/>
    <w:rsid w:val="000E2A25"/>
    <w:rsid w:val="000E2D5C"/>
    <w:rsid w:val="000E3095"/>
    <w:rsid w:val="000E41F7"/>
    <w:rsid w:val="000E51E6"/>
    <w:rsid w:val="000E5C14"/>
    <w:rsid w:val="000E6728"/>
    <w:rsid w:val="000E70B3"/>
    <w:rsid w:val="000E783E"/>
    <w:rsid w:val="000E792F"/>
    <w:rsid w:val="000E7CAE"/>
    <w:rsid w:val="000E7E32"/>
    <w:rsid w:val="000F09A9"/>
    <w:rsid w:val="000F161E"/>
    <w:rsid w:val="000F2306"/>
    <w:rsid w:val="000F2318"/>
    <w:rsid w:val="000F346A"/>
    <w:rsid w:val="000F380A"/>
    <w:rsid w:val="000F4560"/>
    <w:rsid w:val="000F5201"/>
    <w:rsid w:val="000F5370"/>
    <w:rsid w:val="000F5915"/>
    <w:rsid w:val="000F5D52"/>
    <w:rsid w:val="000F5DB4"/>
    <w:rsid w:val="001036EA"/>
    <w:rsid w:val="0010496C"/>
    <w:rsid w:val="001051F3"/>
    <w:rsid w:val="00105E53"/>
    <w:rsid w:val="0010626F"/>
    <w:rsid w:val="00107377"/>
    <w:rsid w:val="00107DC4"/>
    <w:rsid w:val="0011047A"/>
    <w:rsid w:val="00110958"/>
    <w:rsid w:val="00110C5A"/>
    <w:rsid w:val="00111A12"/>
    <w:rsid w:val="00111ED2"/>
    <w:rsid w:val="00112190"/>
    <w:rsid w:val="00112759"/>
    <w:rsid w:val="00114558"/>
    <w:rsid w:val="001164CF"/>
    <w:rsid w:val="00116735"/>
    <w:rsid w:val="001170AD"/>
    <w:rsid w:val="00120893"/>
    <w:rsid w:val="00120E40"/>
    <w:rsid w:val="00121392"/>
    <w:rsid w:val="00123711"/>
    <w:rsid w:val="001238AD"/>
    <w:rsid w:val="0012400E"/>
    <w:rsid w:val="001246BE"/>
    <w:rsid w:val="001248D6"/>
    <w:rsid w:val="001254A5"/>
    <w:rsid w:val="00125625"/>
    <w:rsid w:val="00126B46"/>
    <w:rsid w:val="0012791F"/>
    <w:rsid w:val="001309CB"/>
    <w:rsid w:val="00131AEE"/>
    <w:rsid w:val="00135236"/>
    <w:rsid w:val="00135378"/>
    <w:rsid w:val="00135C22"/>
    <w:rsid w:val="001372BD"/>
    <w:rsid w:val="001401D9"/>
    <w:rsid w:val="00141380"/>
    <w:rsid w:val="001419C8"/>
    <w:rsid w:val="001434DD"/>
    <w:rsid w:val="00143853"/>
    <w:rsid w:val="00143AEF"/>
    <w:rsid w:val="0014406C"/>
    <w:rsid w:val="00144B9C"/>
    <w:rsid w:val="00144BAF"/>
    <w:rsid w:val="00145CD1"/>
    <w:rsid w:val="001466D7"/>
    <w:rsid w:val="001476BD"/>
    <w:rsid w:val="00147D3E"/>
    <w:rsid w:val="00150581"/>
    <w:rsid w:val="001507ED"/>
    <w:rsid w:val="0015208B"/>
    <w:rsid w:val="001523C6"/>
    <w:rsid w:val="001526F7"/>
    <w:rsid w:val="001547B1"/>
    <w:rsid w:val="00155F48"/>
    <w:rsid w:val="00157DAE"/>
    <w:rsid w:val="00157ED1"/>
    <w:rsid w:val="00161403"/>
    <w:rsid w:val="00161C29"/>
    <w:rsid w:val="001633D6"/>
    <w:rsid w:val="001637EF"/>
    <w:rsid w:val="00163991"/>
    <w:rsid w:val="00164B9F"/>
    <w:rsid w:val="001657AC"/>
    <w:rsid w:val="00165D9A"/>
    <w:rsid w:val="00167541"/>
    <w:rsid w:val="001702FF"/>
    <w:rsid w:val="00170C48"/>
    <w:rsid w:val="001729A6"/>
    <w:rsid w:val="00172A9C"/>
    <w:rsid w:val="00173E9B"/>
    <w:rsid w:val="00174B85"/>
    <w:rsid w:val="00174F1E"/>
    <w:rsid w:val="0017730C"/>
    <w:rsid w:val="001800EE"/>
    <w:rsid w:val="00180907"/>
    <w:rsid w:val="00181652"/>
    <w:rsid w:val="00181DAA"/>
    <w:rsid w:val="00182E58"/>
    <w:rsid w:val="00184F3D"/>
    <w:rsid w:val="001859BA"/>
    <w:rsid w:val="001864BC"/>
    <w:rsid w:val="001869E2"/>
    <w:rsid w:val="001904FD"/>
    <w:rsid w:val="00190581"/>
    <w:rsid w:val="001906A2"/>
    <w:rsid w:val="00190EF1"/>
    <w:rsid w:val="0019159D"/>
    <w:rsid w:val="00191FAB"/>
    <w:rsid w:val="001927EC"/>
    <w:rsid w:val="001938E5"/>
    <w:rsid w:val="001953F2"/>
    <w:rsid w:val="00195823"/>
    <w:rsid w:val="0019677E"/>
    <w:rsid w:val="00197AB3"/>
    <w:rsid w:val="00197E14"/>
    <w:rsid w:val="001A090F"/>
    <w:rsid w:val="001A2D24"/>
    <w:rsid w:val="001A3D0F"/>
    <w:rsid w:val="001A4BD9"/>
    <w:rsid w:val="001A5CDF"/>
    <w:rsid w:val="001B00A1"/>
    <w:rsid w:val="001B20B4"/>
    <w:rsid w:val="001B2B2C"/>
    <w:rsid w:val="001B309F"/>
    <w:rsid w:val="001B3234"/>
    <w:rsid w:val="001B3311"/>
    <w:rsid w:val="001B45F4"/>
    <w:rsid w:val="001B51FB"/>
    <w:rsid w:val="001B5225"/>
    <w:rsid w:val="001B5618"/>
    <w:rsid w:val="001B5C08"/>
    <w:rsid w:val="001B6B82"/>
    <w:rsid w:val="001C0AF0"/>
    <w:rsid w:val="001C19FE"/>
    <w:rsid w:val="001C1C5B"/>
    <w:rsid w:val="001C3272"/>
    <w:rsid w:val="001C3B9D"/>
    <w:rsid w:val="001C3F7B"/>
    <w:rsid w:val="001C4306"/>
    <w:rsid w:val="001C6BE5"/>
    <w:rsid w:val="001C740A"/>
    <w:rsid w:val="001C791D"/>
    <w:rsid w:val="001D117E"/>
    <w:rsid w:val="001D13A8"/>
    <w:rsid w:val="001D2BA7"/>
    <w:rsid w:val="001D2C78"/>
    <w:rsid w:val="001D2D8B"/>
    <w:rsid w:val="001D3556"/>
    <w:rsid w:val="001D427B"/>
    <w:rsid w:val="001D5B68"/>
    <w:rsid w:val="001D7B2D"/>
    <w:rsid w:val="001E08D7"/>
    <w:rsid w:val="001E0AED"/>
    <w:rsid w:val="001E1656"/>
    <w:rsid w:val="001E2132"/>
    <w:rsid w:val="001E38D0"/>
    <w:rsid w:val="001E42D8"/>
    <w:rsid w:val="001E434B"/>
    <w:rsid w:val="001E5729"/>
    <w:rsid w:val="001E60CC"/>
    <w:rsid w:val="001E63DC"/>
    <w:rsid w:val="001E652F"/>
    <w:rsid w:val="001E6C9E"/>
    <w:rsid w:val="001E7CA1"/>
    <w:rsid w:val="001F0732"/>
    <w:rsid w:val="001F3074"/>
    <w:rsid w:val="001F33D9"/>
    <w:rsid w:val="001F3947"/>
    <w:rsid w:val="001F3C3B"/>
    <w:rsid w:val="001F4CF2"/>
    <w:rsid w:val="001F4D8A"/>
    <w:rsid w:val="001F536E"/>
    <w:rsid w:val="001F566E"/>
    <w:rsid w:val="001F6B3C"/>
    <w:rsid w:val="001F7289"/>
    <w:rsid w:val="001F79CC"/>
    <w:rsid w:val="00200608"/>
    <w:rsid w:val="00200824"/>
    <w:rsid w:val="00200CD8"/>
    <w:rsid w:val="002017D6"/>
    <w:rsid w:val="00202A58"/>
    <w:rsid w:val="00203E68"/>
    <w:rsid w:val="0020405E"/>
    <w:rsid w:val="002047B7"/>
    <w:rsid w:val="00205656"/>
    <w:rsid w:val="0020618D"/>
    <w:rsid w:val="0020683D"/>
    <w:rsid w:val="00206E17"/>
    <w:rsid w:val="002074E6"/>
    <w:rsid w:val="002104AA"/>
    <w:rsid w:val="00210A5C"/>
    <w:rsid w:val="00210E4D"/>
    <w:rsid w:val="0021154E"/>
    <w:rsid w:val="00212E35"/>
    <w:rsid w:val="002136D2"/>
    <w:rsid w:val="00213949"/>
    <w:rsid w:val="00215877"/>
    <w:rsid w:val="00215C3B"/>
    <w:rsid w:val="00215DF5"/>
    <w:rsid w:val="00216ED9"/>
    <w:rsid w:val="0022078B"/>
    <w:rsid w:val="0022184C"/>
    <w:rsid w:val="00221D0F"/>
    <w:rsid w:val="00222873"/>
    <w:rsid w:val="00222CAD"/>
    <w:rsid w:val="00224E3D"/>
    <w:rsid w:val="0022620B"/>
    <w:rsid w:val="00226F27"/>
    <w:rsid w:val="00227689"/>
    <w:rsid w:val="00227D41"/>
    <w:rsid w:val="00230036"/>
    <w:rsid w:val="00232067"/>
    <w:rsid w:val="00232ED5"/>
    <w:rsid w:val="0023427D"/>
    <w:rsid w:val="0023491D"/>
    <w:rsid w:val="00235B5C"/>
    <w:rsid w:val="00236B69"/>
    <w:rsid w:val="002373A6"/>
    <w:rsid w:val="00237B5C"/>
    <w:rsid w:val="00240522"/>
    <w:rsid w:val="00240B5A"/>
    <w:rsid w:val="00242FF7"/>
    <w:rsid w:val="00243327"/>
    <w:rsid w:val="002433F6"/>
    <w:rsid w:val="002451DF"/>
    <w:rsid w:val="002452A6"/>
    <w:rsid w:val="0024560C"/>
    <w:rsid w:val="00245956"/>
    <w:rsid w:val="0024692E"/>
    <w:rsid w:val="00246F8F"/>
    <w:rsid w:val="0024739E"/>
    <w:rsid w:val="00247C79"/>
    <w:rsid w:val="00250424"/>
    <w:rsid w:val="00250F09"/>
    <w:rsid w:val="002512A6"/>
    <w:rsid w:val="0025175E"/>
    <w:rsid w:val="00251CFF"/>
    <w:rsid w:val="002524CA"/>
    <w:rsid w:val="00254261"/>
    <w:rsid w:val="00254500"/>
    <w:rsid w:val="0025482D"/>
    <w:rsid w:val="00256D0D"/>
    <w:rsid w:val="00256F98"/>
    <w:rsid w:val="00257530"/>
    <w:rsid w:val="002609EA"/>
    <w:rsid w:val="00260DF9"/>
    <w:rsid w:val="00261312"/>
    <w:rsid w:val="002613CC"/>
    <w:rsid w:val="00261789"/>
    <w:rsid w:val="00261A91"/>
    <w:rsid w:val="0026218B"/>
    <w:rsid w:val="002622FC"/>
    <w:rsid w:val="0026356D"/>
    <w:rsid w:val="00263E15"/>
    <w:rsid w:val="00264269"/>
    <w:rsid w:val="00264545"/>
    <w:rsid w:val="002667D6"/>
    <w:rsid w:val="002672C0"/>
    <w:rsid w:val="00270763"/>
    <w:rsid w:val="002707AF"/>
    <w:rsid w:val="002729C4"/>
    <w:rsid w:val="00272AF9"/>
    <w:rsid w:val="0027481F"/>
    <w:rsid w:val="00274B73"/>
    <w:rsid w:val="002750A9"/>
    <w:rsid w:val="002751E9"/>
    <w:rsid w:val="00275307"/>
    <w:rsid w:val="0027552F"/>
    <w:rsid w:val="00275A72"/>
    <w:rsid w:val="00275FDA"/>
    <w:rsid w:val="00276838"/>
    <w:rsid w:val="00276F08"/>
    <w:rsid w:val="00281482"/>
    <w:rsid w:val="00281915"/>
    <w:rsid w:val="00282090"/>
    <w:rsid w:val="002827D2"/>
    <w:rsid w:val="00283C8C"/>
    <w:rsid w:val="00285E30"/>
    <w:rsid w:val="002864DF"/>
    <w:rsid w:val="00286EB9"/>
    <w:rsid w:val="002872E1"/>
    <w:rsid w:val="00287ACF"/>
    <w:rsid w:val="00287F20"/>
    <w:rsid w:val="00290F67"/>
    <w:rsid w:val="00291348"/>
    <w:rsid w:val="0029281E"/>
    <w:rsid w:val="00292877"/>
    <w:rsid w:val="00293AD0"/>
    <w:rsid w:val="00294EC3"/>
    <w:rsid w:val="00295041"/>
    <w:rsid w:val="00295C08"/>
    <w:rsid w:val="00297E47"/>
    <w:rsid w:val="002A017B"/>
    <w:rsid w:val="002A0797"/>
    <w:rsid w:val="002A1CF5"/>
    <w:rsid w:val="002A2F57"/>
    <w:rsid w:val="002A3A4C"/>
    <w:rsid w:val="002A3B3B"/>
    <w:rsid w:val="002A415A"/>
    <w:rsid w:val="002A43E4"/>
    <w:rsid w:val="002A4DAE"/>
    <w:rsid w:val="002A5648"/>
    <w:rsid w:val="002A5CCB"/>
    <w:rsid w:val="002A6189"/>
    <w:rsid w:val="002A7C1E"/>
    <w:rsid w:val="002B0D63"/>
    <w:rsid w:val="002B1176"/>
    <w:rsid w:val="002B1F5F"/>
    <w:rsid w:val="002B212B"/>
    <w:rsid w:val="002B3326"/>
    <w:rsid w:val="002B3794"/>
    <w:rsid w:val="002B3A2D"/>
    <w:rsid w:val="002B5B27"/>
    <w:rsid w:val="002B5E00"/>
    <w:rsid w:val="002B5F6A"/>
    <w:rsid w:val="002B70D2"/>
    <w:rsid w:val="002C091E"/>
    <w:rsid w:val="002C127A"/>
    <w:rsid w:val="002C2150"/>
    <w:rsid w:val="002C2497"/>
    <w:rsid w:val="002C26B7"/>
    <w:rsid w:val="002C270A"/>
    <w:rsid w:val="002C2CA5"/>
    <w:rsid w:val="002C3718"/>
    <w:rsid w:val="002C64E6"/>
    <w:rsid w:val="002C7B34"/>
    <w:rsid w:val="002D0157"/>
    <w:rsid w:val="002D1158"/>
    <w:rsid w:val="002D11E3"/>
    <w:rsid w:val="002D1B05"/>
    <w:rsid w:val="002D2785"/>
    <w:rsid w:val="002D2D55"/>
    <w:rsid w:val="002D2F31"/>
    <w:rsid w:val="002D300B"/>
    <w:rsid w:val="002D4BF3"/>
    <w:rsid w:val="002D4DD5"/>
    <w:rsid w:val="002D6051"/>
    <w:rsid w:val="002D63B5"/>
    <w:rsid w:val="002D708C"/>
    <w:rsid w:val="002D72DA"/>
    <w:rsid w:val="002D7806"/>
    <w:rsid w:val="002E02A2"/>
    <w:rsid w:val="002E0962"/>
    <w:rsid w:val="002E18C7"/>
    <w:rsid w:val="002E1A8B"/>
    <w:rsid w:val="002E2188"/>
    <w:rsid w:val="002E2556"/>
    <w:rsid w:val="002E38DC"/>
    <w:rsid w:val="002E48A7"/>
    <w:rsid w:val="002E4DAC"/>
    <w:rsid w:val="002E75AB"/>
    <w:rsid w:val="002F0082"/>
    <w:rsid w:val="002F0FBE"/>
    <w:rsid w:val="002F177B"/>
    <w:rsid w:val="002F18CF"/>
    <w:rsid w:val="002F192F"/>
    <w:rsid w:val="002F24C8"/>
    <w:rsid w:val="002F2ECA"/>
    <w:rsid w:val="002F2FC1"/>
    <w:rsid w:val="002F4AD2"/>
    <w:rsid w:val="002F4AD9"/>
    <w:rsid w:val="002F519B"/>
    <w:rsid w:val="002F606A"/>
    <w:rsid w:val="002F680C"/>
    <w:rsid w:val="002F6DC0"/>
    <w:rsid w:val="002F7A29"/>
    <w:rsid w:val="002F7CB6"/>
    <w:rsid w:val="00302288"/>
    <w:rsid w:val="003031D2"/>
    <w:rsid w:val="00303534"/>
    <w:rsid w:val="00303C2B"/>
    <w:rsid w:val="00304C05"/>
    <w:rsid w:val="00304EB9"/>
    <w:rsid w:val="0030554D"/>
    <w:rsid w:val="003064C9"/>
    <w:rsid w:val="0030656B"/>
    <w:rsid w:val="00306E89"/>
    <w:rsid w:val="0030705F"/>
    <w:rsid w:val="003072A7"/>
    <w:rsid w:val="003077ED"/>
    <w:rsid w:val="003104A4"/>
    <w:rsid w:val="003115D7"/>
    <w:rsid w:val="003135ED"/>
    <w:rsid w:val="00313D6F"/>
    <w:rsid w:val="00314C4B"/>
    <w:rsid w:val="00314DE2"/>
    <w:rsid w:val="003156EE"/>
    <w:rsid w:val="0031731C"/>
    <w:rsid w:val="003175A8"/>
    <w:rsid w:val="003204A1"/>
    <w:rsid w:val="00320CBA"/>
    <w:rsid w:val="00320D9F"/>
    <w:rsid w:val="00321010"/>
    <w:rsid w:val="00322325"/>
    <w:rsid w:val="0032496A"/>
    <w:rsid w:val="00324B9D"/>
    <w:rsid w:val="003250C5"/>
    <w:rsid w:val="00327258"/>
    <w:rsid w:val="00332C9D"/>
    <w:rsid w:val="00333B9D"/>
    <w:rsid w:val="00333CAC"/>
    <w:rsid w:val="00334B60"/>
    <w:rsid w:val="003358FA"/>
    <w:rsid w:val="003363D2"/>
    <w:rsid w:val="00337A0F"/>
    <w:rsid w:val="003415B6"/>
    <w:rsid w:val="00341A60"/>
    <w:rsid w:val="00341B09"/>
    <w:rsid w:val="00342C6B"/>
    <w:rsid w:val="00343D84"/>
    <w:rsid w:val="003446C2"/>
    <w:rsid w:val="00345FC2"/>
    <w:rsid w:val="0034601B"/>
    <w:rsid w:val="00346298"/>
    <w:rsid w:val="003463EC"/>
    <w:rsid w:val="00346497"/>
    <w:rsid w:val="00346CA6"/>
    <w:rsid w:val="003473DA"/>
    <w:rsid w:val="00350678"/>
    <w:rsid w:val="00350CE4"/>
    <w:rsid w:val="003522F3"/>
    <w:rsid w:val="0035297A"/>
    <w:rsid w:val="00353479"/>
    <w:rsid w:val="00353E98"/>
    <w:rsid w:val="003549EF"/>
    <w:rsid w:val="00354B9A"/>
    <w:rsid w:val="0035500A"/>
    <w:rsid w:val="003554D7"/>
    <w:rsid w:val="0035596A"/>
    <w:rsid w:val="00355A1A"/>
    <w:rsid w:val="00355CF1"/>
    <w:rsid w:val="00355FFF"/>
    <w:rsid w:val="003578A8"/>
    <w:rsid w:val="0036039F"/>
    <w:rsid w:val="003605F1"/>
    <w:rsid w:val="00361B9D"/>
    <w:rsid w:val="003620EA"/>
    <w:rsid w:val="00363726"/>
    <w:rsid w:val="00363FBD"/>
    <w:rsid w:val="00364AA9"/>
    <w:rsid w:val="003653FF"/>
    <w:rsid w:val="00365600"/>
    <w:rsid w:val="00365EEC"/>
    <w:rsid w:val="00366FEA"/>
    <w:rsid w:val="0036708C"/>
    <w:rsid w:val="0036756B"/>
    <w:rsid w:val="00367ACD"/>
    <w:rsid w:val="00367AEC"/>
    <w:rsid w:val="00370363"/>
    <w:rsid w:val="00370AF0"/>
    <w:rsid w:val="00371D3A"/>
    <w:rsid w:val="00373243"/>
    <w:rsid w:val="00373995"/>
    <w:rsid w:val="00374813"/>
    <w:rsid w:val="003754C4"/>
    <w:rsid w:val="003757D5"/>
    <w:rsid w:val="00376141"/>
    <w:rsid w:val="00376336"/>
    <w:rsid w:val="00376840"/>
    <w:rsid w:val="0037790B"/>
    <w:rsid w:val="0038016F"/>
    <w:rsid w:val="00380EF7"/>
    <w:rsid w:val="00380F0E"/>
    <w:rsid w:val="00382CA2"/>
    <w:rsid w:val="00382DFA"/>
    <w:rsid w:val="00384003"/>
    <w:rsid w:val="0038501D"/>
    <w:rsid w:val="0038524B"/>
    <w:rsid w:val="0038558B"/>
    <w:rsid w:val="00385615"/>
    <w:rsid w:val="0038579A"/>
    <w:rsid w:val="003861B5"/>
    <w:rsid w:val="003863FB"/>
    <w:rsid w:val="003879F9"/>
    <w:rsid w:val="00387B98"/>
    <w:rsid w:val="00387EDC"/>
    <w:rsid w:val="0039020C"/>
    <w:rsid w:val="00390589"/>
    <w:rsid w:val="00391A09"/>
    <w:rsid w:val="00393C72"/>
    <w:rsid w:val="0039422D"/>
    <w:rsid w:val="00394D92"/>
    <w:rsid w:val="00394E4E"/>
    <w:rsid w:val="00395A5D"/>
    <w:rsid w:val="00395AF7"/>
    <w:rsid w:val="003970F2"/>
    <w:rsid w:val="003A0B19"/>
    <w:rsid w:val="003A110D"/>
    <w:rsid w:val="003A1C18"/>
    <w:rsid w:val="003A2077"/>
    <w:rsid w:val="003A3A3E"/>
    <w:rsid w:val="003A5014"/>
    <w:rsid w:val="003A6A1D"/>
    <w:rsid w:val="003A6AEE"/>
    <w:rsid w:val="003A6CB5"/>
    <w:rsid w:val="003B25C8"/>
    <w:rsid w:val="003B2828"/>
    <w:rsid w:val="003B2A36"/>
    <w:rsid w:val="003B2A48"/>
    <w:rsid w:val="003B35F3"/>
    <w:rsid w:val="003B3605"/>
    <w:rsid w:val="003B6FFC"/>
    <w:rsid w:val="003B734A"/>
    <w:rsid w:val="003B73D9"/>
    <w:rsid w:val="003B79CC"/>
    <w:rsid w:val="003B7A00"/>
    <w:rsid w:val="003C051A"/>
    <w:rsid w:val="003C0954"/>
    <w:rsid w:val="003C0B5C"/>
    <w:rsid w:val="003C134C"/>
    <w:rsid w:val="003C188F"/>
    <w:rsid w:val="003C1A2F"/>
    <w:rsid w:val="003C1CB2"/>
    <w:rsid w:val="003C23AA"/>
    <w:rsid w:val="003C46A7"/>
    <w:rsid w:val="003C4BB4"/>
    <w:rsid w:val="003C4E9D"/>
    <w:rsid w:val="003C5350"/>
    <w:rsid w:val="003C54A1"/>
    <w:rsid w:val="003C55AE"/>
    <w:rsid w:val="003C6424"/>
    <w:rsid w:val="003C67D5"/>
    <w:rsid w:val="003C686A"/>
    <w:rsid w:val="003D1B30"/>
    <w:rsid w:val="003D21B3"/>
    <w:rsid w:val="003D236F"/>
    <w:rsid w:val="003D2D39"/>
    <w:rsid w:val="003D55AD"/>
    <w:rsid w:val="003E0411"/>
    <w:rsid w:val="003E137E"/>
    <w:rsid w:val="003E148C"/>
    <w:rsid w:val="003E15D0"/>
    <w:rsid w:val="003E2BC4"/>
    <w:rsid w:val="003E3185"/>
    <w:rsid w:val="003E581A"/>
    <w:rsid w:val="003E6790"/>
    <w:rsid w:val="003E700E"/>
    <w:rsid w:val="003E79BB"/>
    <w:rsid w:val="003E7EC6"/>
    <w:rsid w:val="003E7F35"/>
    <w:rsid w:val="003F0086"/>
    <w:rsid w:val="003F0436"/>
    <w:rsid w:val="003F084A"/>
    <w:rsid w:val="003F0AEA"/>
    <w:rsid w:val="003F0EC3"/>
    <w:rsid w:val="003F20B8"/>
    <w:rsid w:val="003F2962"/>
    <w:rsid w:val="003F2C51"/>
    <w:rsid w:val="003F3483"/>
    <w:rsid w:val="003F3CD4"/>
    <w:rsid w:val="003F5CD5"/>
    <w:rsid w:val="003F5F21"/>
    <w:rsid w:val="003F63D8"/>
    <w:rsid w:val="003F6D39"/>
    <w:rsid w:val="003F71FD"/>
    <w:rsid w:val="004001CD"/>
    <w:rsid w:val="00401058"/>
    <w:rsid w:val="00402F7D"/>
    <w:rsid w:val="00403694"/>
    <w:rsid w:val="004036EF"/>
    <w:rsid w:val="0040525B"/>
    <w:rsid w:val="00406584"/>
    <w:rsid w:val="004066B5"/>
    <w:rsid w:val="004078AA"/>
    <w:rsid w:val="004078EF"/>
    <w:rsid w:val="00407A7D"/>
    <w:rsid w:val="00407CBE"/>
    <w:rsid w:val="004100F6"/>
    <w:rsid w:val="004101E9"/>
    <w:rsid w:val="00412346"/>
    <w:rsid w:val="00412361"/>
    <w:rsid w:val="00412554"/>
    <w:rsid w:val="00413859"/>
    <w:rsid w:val="00414435"/>
    <w:rsid w:val="00414461"/>
    <w:rsid w:val="004145FD"/>
    <w:rsid w:val="004149F7"/>
    <w:rsid w:val="004159A5"/>
    <w:rsid w:val="00415FE5"/>
    <w:rsid w:val="00416014"/>
    <w:rsid w:val="0041635C"/>
    <w:rsid w:val="00417437"/>
    <w:rsid w:val="00417733"/>
    <w:rsid w:val="00417BF0"/>
    <w:rsid w:val="00417E1E"/>
    <w:rsid w:val="00421D6A"/>
    <w:rsid w:val="0042223B"/>
    <w:rsid w:val="004227FE"/>
    <w:rsid w:val="004229EB"/>
    <w:rsid w:val="00422CE7"/>
    <w:rsid w:val="00424A9C"/>
    <w:rsid w:val="00424BC4"/>
    <w:rsid w:val="00426BD3"/>
    <w:rsid w:val="0042726E"/>
    <w:rsid w:val="004272F7"/>
    <w:rsid w:val="004279E5"/>
    <w:rsid w:val="00431046"/>
    <w:rsid w:val="004319B8"/>
    <w:rsid w:val="00431AEC"/>
    <w:rsid w:val="0043236F"/>
    <w:rsid w:val="004326DF"/>
    <w:rsid w:val="0043366D"/>
    <w:rsid w:val="00433B66"/>
    <w:rsid w:val="004358A2"/>
    <w:rsid w:val="00436F50"/>
    <w:rsid w:val="0043718D"/>
    <w:rsid w:val="004375A9"/>
    <w:rsid w:val="004378BE"/>
    <w:rsid w:val="00441B3A"/>
    <w:rsid w:val="00442966"/>
    <w:rsid w:val="00442D90"/>
    <w:rsid w:val="00443534"/>
    <w:rsid w:val="0044361A"/>
    <w:rsid w:val="00443EE4"/>
    <w:rsid w:val="0044423B"/>
    <w:rsid w:val="00444625"/>
    <w:rsid w:val="004463BE"/>
    <w:rsid w:val="0044654B"/>
    <w:rsid w:val="00450C49"/>
    <w:rsid w:val="00451171"/>
    <w:rsid w:val="0045247B"/>
    <w:rsid w:val="004534D7"/>
    <w:rsid w:val="00453D8E"/>
    <w:rsid w:val="004542A9"/>
    <w:rsid w:val="0045432E"/>
    <w:rsid w:val="00454ACC"/>
    <w:rsid w:val="00454BD1"/>
    <w:rsid w:val="0045509C"/>
    <w:rsid w:val="004553E4"/>
    <w:rsid w:val="00457792"/>
    <w:rsid w:val="004578B5"/>
    <w:rsid w:val="00457B67"/>
    <w:rsid w:val="0046128F"/>
    <w:rsid w:val="00461595"/>
    <w:rsid w:val="00461B8A"/>
    <w:rsid w:val="00461C25"/>
    <w:rsid w:val="004620AE"/>
    <w:rsid w:val="004622B7"/>
    <w:rsid w:val="0046239A"/>
    <w:rsid w:val="0046277A"/>
    <w:rsid w:val="004649AE"/>
    <w:rsid w:val="004672C6"/>
    <w:rsid w:val="00470C7B"/>
    <w:rsid w:val="004715D9"/>
    <w:rsid w:val="00471758"/>
    <w:rsid w:val="00471C81"/>
    <w:rsid w:val="00471FCD"/>
    <w:rsid w:val="00472D2A"/>
    <w:rsid w:val="00473C92"/>
    <w:rsid w:val="00473F3F"/>
    <w:rsid w:val="0047543F"/>
    <w:rsid w:val="004756A3"/>
    <w:rsid w:val="00475936"/>
    <w:rsid w:val="00476806"/>
    <w:rsid w:val="004801B9"/>
    <w:rsid w:val="004814B9"/>
    <w:rsid w:val="0048213D"/>
    <w:rsid w:val="004826ED"/>
    <w:rsid w:val="00482803"/>
    <w:rsid w:val="0048360B"/>
    <w:rsid w:val="00485378"/>
    <w:rsid w:val="004855C4"/>
    <w:rsid w:val="00485924"/>
    <w:rsid w:val="0048798C"/>
    <w:rsid w:val="00490D06"/>
    <w:rsid w:val="00491AED"/>
    <w:rsid w:val="00493208"/>
    <w:rsid w:val="0049357C"/>
    <w:rsid w:val="00493B72"/>
    <w:rsid w:val="00494413"/>
    <w:rsid w:val="00494947"/>
    <w:rsid w:val="00495901"/>
    <w:rsid w:val="0049590C"/>
    <w:rsid w:val="0049597E"/>
    <w:rsid w:val="00495B1F"/>
    <w:rsid w:val="00495B76"/>
    <w:rsid w:val="00495B84"/>
    <w:rsid w:val="00497C18"/>
    <w:rsid w:val="004A03E8"/>
    <w:rsid w:val="004A0AFE"/>
    <w:rsid w:val="004A2888"/>
    <w:rsid w:val="004A303E"/>
    <w:rsid w:val="004A3511"/>
    <w:rsid w:val="004A3BF5"/>
    <w:rsid w:val="004A4056"/>
    <w:rsid w:val="004A5253"/>
    <w:rsid w:val="004A68B9"/>
    <w:rsid w:val="004A742F"/>
    <w:rsid w:val="004A7B17"/>
    <w:rsid w:val="004A7CF0"/>
    <w:rsid w:val="004B1E05"/>
    <w:rsid w:val="004B248C"/>
    <w:rsid w:val="004B2A53"/>
    <w:rsid w:val="004B2C49"/>
    <w:rsid w:val="004B2EE9"/>
    <w:rsid w:val="004B4C02"/>
    <w:rsid w:val="004B54D5"/>
    <w:rsid w:val="004B5913"/>
    <w:rsid w:val="004B6FD5"/>
    <w:rsid w:val="004B71B3"/>
    <w:rsid w:val="004B7298"/>
    <w:rsid w:val="004C06B9"/>
    <w:rsid w:val="004C0772"/>
    <w:rsid w:val="004C07F3"/>
    <w:rsid w:val="004C1283"/>
    <w:rsid w:val="004C1937"/>
    <w:rsid w:val="004C1CDF"/>
    <w:rsid w:val="004C1E3A"/>
    <w:rsid w:val="004C26B2"/>
    <w:rsid w:val="004C2E54"/>
    <w:rsid w:val="004C304B"/>
    <w:rsid w:val="004C30CA"/>
    <w:rsid w:val="004C3431"/>
    <w:rsid w:val="004C3C62"/>
    <w:rsid w:val="004C4547"/>
    <w:rsid w:val="004C45E4"/>
    <w:rsid w:val="004C50C9"/>
    <w:rsid w:val="004C66BE"/>
    <w:rsid w:val="004C6BF9"/>
    <w:rsid w:val="004C6C37"/>
    <w:rsid w:val="004C7B3D"/>
    <w:rsid w:val="004D0532"/>
    <w:rsid w:val="004D0583"/>
    <w:rsid w:val="004D1EC6"/>
    <w:rsid w:val="004D2550"/>
    <w:rsid w:val="004D33F5"/>
    <w:rsid w:val="004D3718"/>
    <w:rsid w:val="004D6A6B"/>
    <w:rsid w:val="004D6C14"/>
    <w:rsid w:val="004D6C6E"/>
    <w:rsid w:val="004E0117"/>
    <w:rsid w:val="004E2D7C"/>
    <w:rsid w:val="004E3781"/>
    <w:rsid w:val="004E3C41"/>
    <w:rsid w:val="004E5DF3"/>
    <w:rsid w:val="004E6BF0"/>
    <w:rsid w:val="004E718E"/>
    <w:rsid w:val="004F0DC7"/>
    <w:rsid w:val="004F18D1"/>
    <w:rsid w:val="004F1965"/>
    <w:rsid w:val="004F1CFE"/>
    <w:rsid w:val="004F2AAC"/>
    <w:rsid w:val="004F3289"/>
    <w:rsid w:val="004F35E5"/>
    <w:rsid w:val="004F43BD"/>
    <w:rsid w:val="004F474F"/>
    <w:rsid w:val="004F488F"/>
    <w:rsid w:val="004F7188"/>
    <w:rsid w:val="004F7375"/>
    <w:rsid w:val="004F76B7"/>
    <w:rsid w:val="004F7BF9"/>
    <w:rsid w:val="0050016C"/>
    <w:rsid w:val="00501360"/>
    <w:rsid w:val="00502ED3"/>
    <w:rsid w:val="00504846"/>
    <w:rsid w:val="00506999"/>
    <w:rsid w:val="00506B01"/>
    <w:rsid w:val="005077B7"/>
    <w:rsid w:val="00511A66"/>
    <w:rsid w:val="00512598"/>
    <w:rsid w:val="00512E93"/>
    <w:rsid w:val="005133FF"/>
    <w:rsid w:val="0051440F"/>
    <w:rsid w:val="00514A15"/>
    <w:rsid w:val="00514AF2"/>
    <w:rsid w:val="00514B91"/>
    <w:rsid w:val="00514BEB"/>
    <w:rsid w:val="00514EF3"/>
    <w:rsid w:val="00515DF3"/>
    <w:rsid w:val="00515F1C"/>
    <w:rsid w:val="00517047"/>
    <w:rsid w:val="00517369"/>
    <w:rsid w:val="0051752C"/>
    <w:rsid w:val="00517A16"/>
    <w:rsid w:val="0052050E"/>
    <w:rsid w:val="00520B84"/>
    <w:rsid w:val="00521C22"/>
    <w:rsid w:val="0052211A"/>
    <w:rsid w:val="0052402F"/>
    <w:rsid w:val="0052448F"/>
    <w:rsid w:val="005245FB"/>
    <w:rsid w:val="00524706"/>
    <w:rsid w:val="005252A8"/>
    <w:rsid w:val="005256EA"/>
    <w:rsid w:val="00527056"/>
    <w:rsid w:val="00527213"/>
    <w:rsid w:val="005279EF"/>
    <w:rsid w:val="005318B3"/>
    <w:rsid w:val="0053397B"/>
    <w:rsid w:val="00533D8C"/>
    <w:rsid w:val="0053459D"/>
    <w:rsid w:val="00535CCB"/>
    <w:rsid w:val="00535FF7"/>
    <w:rsid w:val="00536A02"/>
    <w:rsid w:val="0053766F"/>
    <w:rsid w:val="005376AE"/>
    <w:rsid w:val="00537745"/>
    <w:rsid w:val="005401FE"/>
    <w:rsid w:val="00540372"/>
    <w:rsid w:val="005409C6"/>
    <w:rsid w:val="00540E6D"/>
    <w:rsid w:val="00540FD5"/>
    <w:rsid w:val="00541799"/>
    <w:rsid w:val="00543272"/>
    <w:rsid w:val="005432E6"/>
    <w:rsid w:val="005456F8"/>
    <w:rsid w:val="00545CA2"/>
    <w:rsid w:val="00545FB5"/>
    <w:rsid w:val="005463F4"/>
    <w:rsid w:val="0054662F"/>
    <w:rsid w:val="00551CCD"/>
    <w:rsid w:val="0055252D"/>
    <w:rsid w:val="00553C07"/>
    <w:rsid w:val="00553CDD"/>
    <w:rsid w:val="00553F1B"/>
    <w:rsid w:val="00553F27"/>
    <w:rsid w:val="005540BF"/>
    <w:rsid w:val="00555C68"/>
    <w:rsid w:val="00556320"/>
    <w:rsid w:val="005572F6"/>
    <w:rsid w:val="00557C65"/>
    <w:rsid w:val="0056069D"/>
    <w:rsid w:val="00560BAA"/>
    <w:rsid w:val="00560DE5"/>
    <w:rsid w:val="00561CE0"/>
    <w:rsid w:val="00562BE7"/>
    <w:rsid w:val="005638FD"/>
    <w:rsid w:val="005643B1"/>
    <w:rsid w:val="0056475D"/>
    <w:rsid w:val="00564BF9"/>
    <w:rsid w:val="005652B2"/>
    <w:rsid w:val="00565572"/>
    <w:rsid w:val="00565CCE"/>
    <w:rsid w:val="00565E60"/>
    <w:rsid w:val="005666B6"/>
    <w:rsid w:val="0056758C"/>
    <w:rsid w:val="0057104D"/>
    <w:rsid w:val="005727BD"/>
    <w:rsid w:val="00572CA6"/>
    <w:rsid w:val="00573538"/>
    <w:rsid w:val="0057366C"/>
    <w:rsid w:val="00574417"/>
    <w:rsid w:val="00577879"/>
    <w:rsid w:val="00577FC7"/>
    <w:rsid w:val="00581709"/>
    <w:rsid w:val="00582D1A"/>
    <w:rsid w:val="005835E0"/>
    <w:rsid w:val="00585141"/>
    <w:rsid w:val="00585287"/>
    <w:rsid w:val="00586183"/>
    <w:rsid w:val="0058683A"/>
    <w:rsid w:val="00586BA8"/>
    <w:rsid w:val="00587A80"/>
    <w:rsid w:val="005909AF"/>
    <w:rsid w:val="00590A2F"/>
    <w:rsid w:val="005A0560"/>
    <w:rsid w:val="005A05D6"/>
    <w:rsid w:val="005A09D3"/>
    <w:rsid w:val="005A1495"/>
    <w:rsid w:val="005A2612"/>
    <w:rsid w:val="005A2B64"/>
    <w:rsid w:val="005A3001"/>
    <w:rsid w:val="005A3DE4"/>
    <w:rsid w:val="005A49B1"/>
    <w:rsid w:val="005A66FF"/>
    <w:rsid w:val="005A76CE"/>
    <w:rsid w:val="005B1A4F"/>
    <w:rsid w:val="005B2B73"/>
    <w:rsid w:val="005B2D59"/>
    <w:rsid w:val="005B2FCC"/>
    <w:rsid w:val="005B51CC"/>
    <w:rsid w:val="005B54D1"/>
    <w:rsid w:val="005B582E"/>
    <w:rsid w:val="005B5966"/>
    <w:rsid w:val="005B5A53"/>
    <w:rsid w:val="005B69B2"/>
    <w:rsid w:val="005B797C"/>
    <w:rsid w:val="005C0FD8"/>
    <w:rsid w:val="005C1674"/>
    <w:rsid w:val="005C2607"/>
    <w:rsid w:val="005C26E1"/>
    <w:rsid w:val="005C3C39"/>
    <w:rsid w:val="005C4618"/>
    <w:rsid w:val="005C5765"/>
    <w:rsid w:val="005C6C1D"/>
    <w:rsid w:val="005C6E77"/>
    <w:rsid w:val="005C7C22"/>
    <w:rsid w:val="005C7F7F"/>
    <w:rsid w:val="005D349F"/>
    <w:rsid w:val="005D4501"/>
    <w:rsid w:val="005D4EDB"/>
    <w:rsid w:val="005D4F24"/>
    <w:rsid w:val="005D59B0"/>
    <w:rsid w:val="005D5A2D"/>
    <w:rsid w:val="005D6668"/>
    <w:rsid w:val="005D7201"/>
    <w:rsid w:val="005D78DA"/>
    <w:rsid w:val="005D7C49"/>
    <w:rsid w:val="005E0331"/>
    <w:rsid w:val="005E319E"/>
    <w:rsid w:val="005E353A"/>
    <w:rsid w:val="005E442B"/>
    <w:rsid w:val="005E4536"/>
    <w:rsid w:val="005E5A97"/>
    <w:rsid w:val="005E7C0B"/>
    <w:rsid w:val="005F04A6"/>
    <w:rsid w:val="005F0F60"/>
    <w:rsid w:val="005F1910"/>
    <w:rsid w:val="005F1D85"/>
    <w:rsid w:val="005F233B"/>
    <w:rsid w:val="005F33DE"/>
    <w:rsid w:val="005F3403"/>
    <w:rsid w:val="005F4A2D"/>
    <w:rsid w:val="005F5537"/>
    <w:rsid w:val="005F577D"/>
    <w:rsid w:val="005F5887"/>
    <w:rsid w:val="005F60CD"/>
    <w:rsid w:val="005F690C"/>
    <w:rsid w:val="005F716E"/>
    <w:rsid w:val="00601422"/>
    <w:rsid w:val="00601A47"/>
    <w:rsid w:val="0060212D"/>
    <w:rsid w:val="00604789"/>
    <w:rsid w:val="006047C3"/>
    <w:rsid w:val="00605BC6"/>
    <w:rsid w:val="006066C1"/>
    <w:rsid w:val="00606776"/>
    <w:rsid w:val="00606C06"/>
    <w:rsid w:val="006107C8"/>
    <w:rsid w:val="006137DD"/>
    <w:rsid w:val="00614517"/>
    <w:rsid w:val="00614BAB"/>
    <w:rsid w:val="00614DCC"/>
    <w:rsid w:val="006151A4"/>
    <w:rsid w:val="00615B33"/>
    <w:rsid w:val="00615C9B"/>
    <w:rsid w:val="00616546"/>
    <w:rsid w:val="00616BD3"/>
    <w:rsid w:val="00617C33"/>
    <w:rsid w:val="00620864"/>
    <w:rsid w:val="00621E5F"/>
    <w:rsid w:val="00622868"/>
    <w:rsid w:val="006230F4"/>
    <w:rsid w:val="0062400A"/>
    <w:rsid w:val="006245DA"/>
    <w:rsid w:val="0062493A"/>
    <w:rsid w:val="00625919"/>
    <w:rsid w:val="00625E50"/>
    <w:rsid w:val="00626E51"/>
    <w:rsid w:val="0063036E"/>
    <w:rsid w:val="006307C6"/>
    <w:rsid w:val="006309B6"/>
    <w:rsid w:val="0063174F"/>
    <w:rsid w:val="006324F9"/>
    <w:rsid w:val="00636378"/>
    <w:rsid w:val="006363FC"/>
    <w:rsid w:val="00636674"/>
    <w:rsid w:val="00636BAD"/>
    <w:rsid w:val="00637683"/>
    <w:rsid w:val="006376F9"/>
    <w:rsid w:val="00637D18"/>
    <w:rsid w:val="006417C1"/>
    <w:rsid w:val="00641AD8"/>
    <w:rsid w:val="00642C55"/>
    <w:rsid w:val="00643128"/>
    <w:rsid w:val="0064331D"/>
    <w:rsid w:val="0064384E"/>
    <w:rsid w:val="00645BA9"/>
    <w:rsid w:val="0064609E"/>
    <w:rsid w:val="006460C1"/>
    <w:rsid w:val="00646199"/>
    <w:rsid w:val="006461E0"/>
    <w:rsid w:val="00646C59"/>
    <w:rsid w:val="00652455"/>
    <w:rsid w:val="0065458B"/>
    <w:rsid w:val="00655934"/>
    <w:rsid w:val="00655944"/>
    <w:rsid w:val="006573C0"/>
    <w:rsid w:val="00657EB2"/>
    <w:rsid w:val="00660938"/>
    <w:rsid w:val="00660985"/>
    <w:rsid w:val="00661D27"/>
    <w:rsid w:val="00663284"/>
    <w:rsid w:val="0066420C"/>
    <w:rsid w:val="0066477F"/>
    <w:rsid w:val="006656C5"/>
    <w:rsid w:val="00665D05"/>
    <w:rsid w:val="00670116"/>
    <w:rsid w:val="00670145"/>
    <w:rsid w:val="00670ABB"/>
    <w:rsid w:val="00670AEE"/>
    <w:rsid w:val="00670B51"/>
    <w:rsid w:val="006713BA"/>
    <w:rsid w:val="00672211"/>
    <w:rsid w:val="00673D6A"/>
    <w:rsid w:val="00673E51"/>
    <w:rsid w:val="006748A8"/>
    <w:rsid w:val="0067536C"/>
    <w:rsid w:val="006756E9"/>
    <w:rsid w:val="006771FB"/>
    <w:rsid w:val="00680A91"/>
    <w:rsid w:val="00680F5C"/>
    <w:rsid w:val="006811DF"/>
    <w:rsid w:val="00681385"/>
    <w:rsid w:val="00681FAE"/>
    <w:rsid w:val="00682204"/>
    <w:rsid w:val="00685204"/>
    <w:rsid w:val="00686236"/>
    <w:rsid w:val="00690832"/>
    <w:rsid w:val="00690856"/>
    <w:rsid w:val="0069136A"/>
    <w:rsid w:val="0069145F"/>
    <w:rsid w:val="00691F2F"/>
    <w:rsid w:val="006923C0"/>
    <w:rsid w:val="00692EB2"/>
    <w:rsid w:val="0069398F"/>
    <w:rsid w:val="006940DC"/>
    <w:rsid w:val="006942CA"/>
    <w:rsid w:val="00694D87"/>
    <w:rsid w:val="00696336"/>
    <w:rsid w:val="006969D1"/>
    <w:rsid w:val="00697519"/>
    <w:rsid w:val="006A0158"/>
    <w:rsid w:val="006A0931"/>
    <w:rsid w:val="006A327F"/>
    <w:rsid w:val="006A49F3"/>
    <w:rsid w:val="006A4D89"/>
    <w:rsid w:val="006A4DBA"/>
    <w:rsid w:val="006A6686"/>
    <w:rsid w:val="006A68C9"/>
    <w:rsid w:val="006A750F"/>
    <w:rsid w:val="006B2E46"/>
    <w:rsid w:val="006B2E52"/>
    <w:rsid w:val="006B308C"/>
    <w:rsid w:val="006B386E"/>
    <w:rsid w:val="006B38F7"/>
    <w:rsid w:val="006B46F6"/>
    <w:rsid w:val="006B4EA6"/>
    <w:rsid w:val="006B540A"/>
    <w:rsid w:val="006B5A78"/>
    <w:rsid w:val="006B65F0"/>
    <w:rsid w:val="006B7021"/>
    <w:rsid w:val="006B7E54"/>
    <w:rsid w:val="006C0E6B"/>
    <w:rsid w:val="006C15A1"/>
    <w:rsid w:val="006C1914"/>
    <w:rsid w:val="006C1A69"/>
    <w:rsid w:val="006C3314"/>
    <w:rsid w:val="006C49E8"/>
    <w:rsid w:val="006C513D"/>
    <w:rsid w:val="006C5B16"/>
    <w:rsid w:val="006C7C65"/>
    <w:rsid w:val="006D1723"/>
    <w:rsid w:val="006D1C0E"/>
    <w:rsid w:val="006D2046"/>
    <w:rsid w:val="006D221C"/>
    <w:rsid w:val="006D2C32"/>
    <w:rsid w:val="006D327F"/>
    <w:rsid w:val="006D6BCE"/>
    <w:rsid w:val="006D780D"/>
    <w:rsid w:val="006E0E2C"/>
    <w:rsid w:val="006E24BC"/>
    <w:rsid w:val="006E2589"/>
    <w:rsid w:val="006E296B"/>
    <w:rsid w:val="006E2EC6"/>
    <w:rsid w:val="006E3002"/>
    <w:rsid w:val="006E3110"/>
    <w:rsid w:val="006E38EC"/>
    <w:rsid w:val="006E4074"/>
    <w:rsid w:val="006E418E"/>
    <w:rsid w:val="006E5945"/>
    <w:rsid w:val="006E62F6"/>
    <w:rsid w:val="006E7AD6"/>
    <w:rsid w:val="006F04C4"/>
    <w:rsid w:val="006F1012"/>
    <w:rsid w:val="006F26AA"/>
    <w:rsid w:val="006F2C49"/>
    <w:rsid w:val="006F2D39"/>
    <w:rsid w:val="006F3175"/>
    <w:rsid w:val="006F41E4"/>
    <w:rsid w:val="006F437A"/>
    <w:rsid w:val="006F4F38"/>
    <w:rsid w:val="006F4FB4"/>
    <w:rsid w:val="006F5F2E"/>
    <w:rsid w:val="006F65D4"/>
    <w:rsid w:val="006F6AFB"/>
    <w:rsid w:val="00700388"/>
    <w:rsid w:val="00701266"/>
    <w:rsid w:val="00701619"/>
    <w:rsid w:val="00702839"/>
    <w:rsid w:val="00702DC2"/>
    <w:rsid w:val="00703998"/>
    <w:rsid w:val="007045DF"/>
    <w:rsid w:val="00704DDE"/>
    <w:rsid w:val="00705D27"/>
    <w:rsid w:val="00710E54"/>
    <w:rsid w:val="00710EA1"/>
    <w:rsid w:val="00710F27"/>
    <w:rsid w:val="007113B5"/>
    <w:rsid w:val="00711912"/>
    <w:rsid w:val="00711B14"/>
    <w:rsid w:val="007129D4"/>
    <w:rsid w:val="00713EA5"/>
    <w:rsid w:val="007143EC"/>
    <w:rsid w:val="00714F20"/>
    <w:rsid w:val="00720891"/>
    <w:rsid w:val="00720C4B"/>
    <w:rsid w:val="00722914"/>
    <w:rsid w:val="00722DEA"/>
    <w:rsid w:val="0072302E"/>
    <w:rsid w:val="00723CEA"/>
    <w:rsid w:val="00723FC0"/>
    <w:rsid w:val="00724B84"/>
    <w:rsid w:val="00730D7D"/>
    <w:rsid w:val="00730ECA"/>
    <w:rsid w:val="007318C5"/>
    <w:rsid w:val="0073194A"/>
    <w:rsid w:val="00731E40"/>
    <w:rsid w:val="00733B8D"/>
    <w:rsid w:val="007345FF"/>
    <w:rsid w:val="0073466A"/>
    <w:rsid w:val="00735A0A"/>
    <w:rsid w:val="00735E0D"/>
    <w:rsid w:val="00735E9D"/>
    <w:rsid w:val="00735FA2"/>
    <w:rsid w:val="0073636F"/>
    <w:rsid w:val="007369D6"/>
    <w:rsid w:val="007372DA"/>
    <w:rsid w:val="00737A67"/>
    <w:rsid w:val="007408E7"/>
    <w:rsid w:val="0074151E"/>
    <w:rsid w:val="00742054"/>
    <w:rsid w:val="00742DB8"/>
    <w:rsid w:val="0074336F"/>
    <w:rsid w:val="00746765"/>
    <w:rsid w:val="00746C57"/>
    <w:rsid w:val="007500B8"/>
    <w:rsid w:val="00750343"/>
    <w:rsid w:val="007512F3"/>
    <w:rsid w:val="00751516"/>
    <w:rsid w:val="00752A2D"/>
    <w:rsid w:val="00752A32"/>
    <w:rsid w:val="00752F35"/>
    <w:rsid w:val="00753060"/>
    <w:rsid w:val="007539E6"/>
    <w:rsid w:val="007542AE"/>
    <w:rsid w:val="00754337"/>
    <w:rsid w:val="00754FDC"/>
    <w:rsid w:val="00755F3A"/>
    <w:rsid w:val="007565DA"/>
    <w:rsid w:val="00756643"/>
    <w:rsid w:val="00756795"/>
    <w:rsid w:val="00757008"/>
    <w:rsid w:val="0076039F"/>
    <w:rsid w:val="007603C6"/>
    <w:rsid w:val="00760A49"/>
    <w:rsid w:val="00760B84"/>
    <w:rsid w:val="00761357"/>
    <w:rsid w:val="0076137A"/>
    <w:rsid w:val="00761811"/>
    <w:rsid w:val="00762149"/>
    <w:rsid w:val="007636FA"/>
    <w:rsid w:val="007649FC"/>
    <w:rsid w:val="00770C78"/>
    <w:rsid w:val="0077153E"/>
    <w:rsid w:val="007722A5"/>
    <w:rsid w:val="0077252E"/>
    <w:rsid w:val="00773AD7"/>
    <w:rsid w:val="00773CFB"/>
    <w:rsid w:val="00775BC1"/>
    <w:rsid w:val="00776E34"/>
    <w:rsid w:val="00777B47"/>
    <w:rsid w:val="007804E8"/>
    <w:rsid w:val="007811A6"/>
    <w:rsid w:val="00782043"/>
    <w:rsid w:val="00783BCB"/>
    <w:rsid w:val="00786C42"/>
    <w:rsid w:val="00790C34"/>
    <w:rsid w:val="00792F61"/>
    <w:rsid w:val="007938A0"/>
    <w:rsid w:val="00793C4E"/>
    <w:rsid w:val="007948EF"/>
    <w:rsid w:val="00794B98"/>
    <w:rsid w:val="00794C7A"/>
    <w:rsid w:val="00795BD3"/>
    <w:rsid w:val="0079699D"/>
    <w:rsid w:val="00796B1D"/>
    <w:rsid w:val="0079703E"/>
    <w:rsid w:val="0079708C"/>
    <w:rsid w:val="007A0769"/>
    <w:rsid w:val="007A1358"/>
    <w:rsid w:val="007A19D9"/>
    <w:rsid w:val="007A1B84"/>
    <w:rsid w:val="007A2AB8"/>
    <w:rsid w:val="007A2C64"/>
    <w:rsid w:val="007A394E"/>
    <w:rsid w:val="007A3E9F"/>
    <w:rsid w:val="007A4761"/>
    <w:rsid w:val="007A4ED5"/>
    <w:rsid w:val="007A5641"/>
    <w:rsid w:val="007A5712"/>
    <w:rsid w:val="007A6252"/>
    <w:rsid w:val="007A63BC"/>
    <w:rsid w:val="007B1A75"/>
    <w:rsid w:val="007B22F2"/>
    <w:rsid w:val="007B32E7"/>
    <w:rsid w:val="007B47E6"/>
    <w:rsid w:val="007B4CF7"/>
    <w:rsid w:val="007B5879"/>
    <w:rsid w:val="007B5EEE"/>
    <w:rsid w:val="007B6254"/>
    <w:rsid w:val="007B681D"/>
    <w:rsid w:val="007B6A01"/>
    <w:rsid w:val="007B6C4C"/>
    <w:rsid w:val="007B77B5"/>
    <w:rsid w:val="007C0694"/>
    <w:rsid w:val="007C0758"/>
    <w:rsid w:val="007C127E"/>
    <w:rsid w:val="007C1581"/>
    <w:rsid w:val="007C28D9"/>
    <w:rsid w:val="007C311C"/>
    <w:rsid w:val="007C414B"/>
    <w:rsid w:val="007C4BC9"/>
    <w:rsid w:val="007C697D"/>
    <w:rsid w:val="007C6995"/>
    <w:rsid w:val="007D1A20"/>
    <w:rsid w:val="007D3892"/>
    <w:rsid w:val="007D3E04"/>
    <w:rsid w:val="007D4724"/>
    <w:rsid w:val="007D5437"/>
    <w:rsid w:val="007D577C"/>
    <w:rsid w:val="007D5964"/>
    <w:rsid w:val="007D5A4F"/>
    <w:rsid w:val="007D6AC7"/>
    <w:rsid w:val="007D6D42"/>
    <w:rsid w:val="007D74EA"/>
    <w:rsid w:val="007D7E06"/>
    <w:rsid w:val="007E088D"/>
    <w:rsid w:val="007E1750"/>
    <w:rsid w:val="007E223D"/>
    <w:rsid w:val="007E335D"/>
    <w:rsid w:val="007E3C5E"/>
    <w:rsid w:val="007E43A6"/>
    <w:rsid w:val="007E49D3"/>
    <w:rsid w:val="007E5980"/>
    <w:rsid w:val="007E5EDF"/>
    <w:rsid w:val="007E6104"/>
    <w:rsid w:val="007E637A"/>
    <w:rsid w:val="007E65A2"/>
    <w:rsid w:val="007E6634"/>
    <w:rsid w:val="007F065D"/>
    <w:rsid w:val="007F0DE5"/>
    <w:rsid w:val="007F1A91"/>
    <w:rsid w:val="007F1E95"/>
    <w:rsid w:val="007F207B"/>
    <w:rsid w:val="007F2371"/>
    <w:rsid w:val="007F4E3B"/>
    <w:rsid w:val="007F7670"/>
    <w:rsid w:val="007F7F85"/>
    <w:rsid w:val="00800A2B"/>
    <w:rsid w:val="00801813"/>
    <w:rsid w:val="008027F6"/>
    <w:rsid w:val="00805260"/>
    <w:rsid w:val="008070ED"/>
    <w:rsid w:val="00810407"/>
    <w:rsid w:val="00810AA2"/>
    <w:rsid w:val="00810C5C"/>
    <w:rsid w:val="00810D7D"/>
    <w:rsid w:val="00813499"/>
    <w:rsid w:val="00813655"/>
    <w:rsid w:val="008140A0"/>
    <w:rsid w:val="00814321"/>
    <w:rsid w:val="00814EDB"/>
    <w:rsid w:val="00815138"/>
    <w:rsid w:val="00815DF7"/>
    <w:rsid w:val="00816016"/>
    <w:rsid w:val="0081760B"/>
    <w:rsid w:val="00817724"/>
    <w:rsid w:val="00817CA6"/>
    <w:rsid w:val="00817F24"/>
    <w:rsid w:val="00820724"/>
    <w:rsid w:val="0082123F"/>
    <w:rsid w:val="00822722"/>
    <w:rsid w:val="0082345B"/>
    <w:rsid w:val="00823EF3"/>
    <w:rsid w:val="008242AD"/>
    <w:rsid w:val="008271BF"/>
    <w:rsid w:val="00827B11"/>
    <w:rsid w:val="0083171B"/>
    <w:rsid w:val="0083223F"/>
    <w:rsid w:val="008326B8"/>
    <w:rsid w:val="00832E32"/>
    <w:rsid w:val="00833984"/>
    <w:rsid w:val="00834C88"/>
    <w:rsid w:val="00834E56"/>
    <w:rsid w:val="00835EAC"/>
    <w:rsid w:val="00835FBA"/>
    <w:rsid w:val="00836570"/>
    <w:rsid w:val="00836BDC"/>
    <w:rsid w:val="00837633"/>
    <w:rsid w:val="0083768F"/>
    <w:rsid w:val="008376C8"/>
    <w:rsid w:val="008403B8"/>
    <w:rsid w:val="008431BE"/>
    <w:rsid w:val="008434BA"/>
    <w:rsid w:val="00843D62"/>
    <w:rsid w:val="00844F57"/>
    <w:rsid w:val="00846CAF"/>
    <w:rsid w:val="00850769"/>
    <w:rsid w:val="00850C05"/>
    <w:rsid w:val="008511C4"/>
    <w:rsid w:val="00851FDB"/>
    <w:rsid w:val="0085244A"/>
    <w:rsid w:val="00853084"/>
    <w:rsid w:val="0085351A"/>
    <w:rsid w:val="00854F34"/>
    <w:rsid w:val="008552EF"/>
    <w:rsid w:val="008555EC"/>
    <w:rsid w:val="00856AA1"/>
    <w:rsid w:val="008572F7"/>
    <w:rsid w:val="00862020"/>
    <w:rsid w:val="0086459C"/>
    <w:rsid w:val="00864635"/>
    <w:rsid w:val="00864818"/>
    <w:rsid w:val="0086632B"/>
    <w:rsid w:val="0086701C"/>
    <w:rsid w:val="00867F82"/>
    <w:rsid w:val="00870971"/>
    <w:rsid w:val="00871140"/>
    <w:rsid w:val="008722A7"/>
    <w:rsid w:val="00872A23"/>
    <w:rsid w:val="00872C73"/>
    <w:rsid w:val="00873F2D"/>
    <w:rsid w:val="00874002"/>
    <w:rsid w:val="00875332"/>
    <w:rsid w:val="0087564A"/>
    <w:rsid w:val="008759A6"/>
    <w:rsid w:val="00875B36"/>
    <w:rsid w:val="00876F8B"/>
    <w:rsid w:val="008776C0"/>
    <w:rsid w:val="00880623"/>
    <w:rsid w:val="00880FB9"/>
    <w:rsid w:val="008814D0"/>
    <w:rsid w:val="00881775"/>
    <w:rsid w:val="00881F0D"/>
    <w:rsid w:val="00882061"/>
    <w:rsid w:val="00882AAD"/>
    <w:rsid w:val="0088402E"/>
    <w:rsid w:val="008846B2"/>
    <w:rsid w:val="0088476C"/>
    <w:rsid w:val="00884775"/>
    <w:rsid w:val="008856C4"/>
    <w:rsid w:val="00885DC7"/>
    <w:rsid w:val="00885FF1"/>
    <w:rsid w:val="00886314"/>
    <w:rsid w:val="00887576"/>
    <w:rsid w:val="008920C6"/>
    <w:rsid w:val="0089239D"/>
    <w:rsid w:val="00892D3F"/>
    <w:rsid w:val="008940AA"/>
    <w:rsid w:val="00894BDF"/>
    <w:rsid w:val="008953B5"/>
    <w:rsid w:val="00896AD9"/>
    <w:rsid w:val="00897373"/>
    <w:rsid w:val="008A0971"/>
    <w:rsid w:val="008A0E77"/>
    <w:rsid w:val="008A1106"/>
    <w:rsid w:val="008A17B6"/>
    <w:rsid w:val="008A18EB"/>
    <w:rsid w:val="008A215D"/>
    <w:rsid w:val="008A26DC"/>
    <w:rsid w:val="008A4EA6"/>
    <w:rsid w:val="008A4F04"/>
    <w:rsid w:val="008A53D8"/>
    <w:rsid w:val="008A7983"/>
    <w:rsid w:val="008B102E"/>
    <w:rsid w:val="008B230D"/>
    <w:rsid w:val="008B2327"/>
    <w:rsid w:val="008B2586"/>
    <w:rsid w:val="008B2BDD"/>
    <w:rsid w:val="008B36D0"/>
    <w:rsid w:val="008B5223"/>
    <w:rsid w:val="008B5B71"/>
    <w:rsid w:val="008B7583"/>
    <w:rsid w:val="008C03D2"/>
    <w:rsid w:val="008C064B"/>
    <w:rsid w:val="008C0742"/>
    <w:rsid w:val="008C172C"/>
    <w:rsid w:val="008C238A"/>
    <w:rsid w:val="008C31FE"/>
    <w:rsid w:val="008C44DF"/>
    <w:rsid w:val="008C47E9"/>
    <w:rsid w:val="008C4ACD"/>
    <w:rsid w:val="008C531B"/>
    <w:rsid w:val="008C5813"/>
    <w:rsid w:val="008C58F8"/>
    <w:rsid w:val="008C62E1"/>
    <w:rsid w:val="008C6AA0"/>
    <w:rsid w:val="008C6C40"/>
    <w:rsid w:val="008C6F4F"/>
    <w:rsid w:val="008D04BE"/>
    <w:rsid w:val="008D0D12"/>
    <w:rsid w:val="008D1401"/>
    <w:rsid w:val="008D1D30"/>
    <w:rsid w:val="008D1F52"/>
    <w:rsid w:val="008D301A"/>
    <w:rsid w:val="008D3E74"/>
    <w:rsid w:val="008D4168"/>
    <w:rsid w:val="008D4703"/>
    <w:rsid w:val="008D4972"/>
    <w:rsid w:val="008D560F"/>
    <w:rsid w:val="008D5779"/>
    <w:rsid w:val="008D67CE"/>
    <w:rsid w:val="008D686C"/>
    <w:rsid w:val="008D6E12"/>
    <w:rsid w:val="008D71E6"/>
    <w:rsid w:val="008D7247"/>
    <w:rsid w:val="008D7E53"/>
    <w:rsid w:val="008E1E15"/>
    <w:rsid w:val="008E1E87"/>
    <w:rsid w:val="008E1EF7"/>
    <w:rsid w:val="008E2D58"/>
    <w:rsid w:val="008E30BC"/>
    <w:rsid w:val="008E4422"/>
    <w:rsid w:val="008E566A"/>
    <w:rsid w:val="008E57C1"/>
    <w:rsid w:val="008E65A6"/>
    <w:rsid w:val="008E726F"/>
    <w:rsid w:val="008F02A0"/>
    <w:rsid w:val="008F0477"/>
    <w:rsid w:val="008F0ABC"/>
    <w:rsid w:val="008F20A0"/>
    <w:rsid w:val="008F3545"/>
    <w:rsid w:val="008F41E1"/>
    <w:rsid w:val="008F52B1"/>
    <w:rsid w:val="008F5CE3"/>
    <w:rsid w:val="008F61BD"/>
    <w:rsid w:val="008F62B5"/>
    <w:rsid w:val="008F63A7"/>
    <w:rsid w:val="008F66AA"/>
    <w:rsid w:val="00900315"/>
    <w:rsid w:val="009006FA"/>
    <w:rsid w:val="009007CE"/>
    <w:rsid w:val="00900ECF"/>
    <w:rsid w:val="0090219D"/>
    <w:rsid w:val="009022E5"/>
    <w:rsid w:val="00903317"/>
    <w:rsid w:val="00903B65"/>
    <w:rsid w:val="0090425C"/>
    <w:rsid w:val="00905A2D"/>
    <w:rsid w:val="00905B77"/>
    <w:rsid w:val="00905BB3"/>
    <w:rsid w:val="00907464"/>
    <w:rsid w:val="00910381"/>
    <w:rsid w:val="00912053"/>
    <w:rsid w:val="00912B4C"/>
    <w:rsid w:val="00912D8F"/>
    <w:rsid w:val="00914652"/>
    <w:rsid w:val="0091588C"/>
    <w:rsid w:val="0092085A"/>
    <w:rsid w:val="00920E1D"/>
    <w:rsid w:val="00920FF3"/>
    <w:rsid w:val="009215F0"/>
    <w:rsid w:val="00921C22"/>
    <w:rsid w:val="009220F2"/>
    <w:rsid w:val="0092294A"/>
    <w:rsid w:val="00923778"/>
    <w:rsid w:val="00924AC6"/>
    <w:rsid w:val="00925343"/>
    <w:rsid w:val="00926598"/>
    <w:rsid w:val="00926721"/>
    <w:rsid w:val="00926B25"/>
    <w:rsid w:val="00926BE3"/>
    <w:rsid w:val="00926E9D"/>
    <w:rsid w:val="009270BC"/>
    <w:rsid w:val="00930C48"/>
    <w:rsid w:val="009322B8"/>
    <w:rsid w:val="00932370"/>
    <w:rsid w:val="00932576"/>
    <w:rsid w:val="009325CF"/>
    <w:rsid w:val="00932A48"/>
    <w:rsid w:val="009335E3"/>
    <w:rsid w:val="00935589"/>
    <w:rsid w:val="00936622"/>
    <w:rsid w:val="009418B3"/>
    <w:rsid w:val="0094296C"/>
    <w:rsid w:val="00943E45"/>
    <w:rsid w:val="00944789"/>
    <w:rsid w:val="00944F0E"/>
    <w:rsid w:val="00944FA0"/>
    <w:rsid w:val="0094569D"/>
    <w:rsid w:val="0094599F"/>
    <w:rsid w:val="00945D7E"/>
    <w:rsid w:val="00945E61"/>
    <w:rsid w:val="0094602A"/>
    <w:rsid w:val="0094602E"/>
    <w:rsid w:val="009473EC"/>
    <w:rsid w:val="009511AD"/>
    <w:rsid w:val="00951AFC"/>
    <w:rsid w:val="00951F94"/>
    <w:rsid w:val="00952C1A"/>
    <w:rsid w:val="0095353A"/>
    <w:rsid w:val="009544F2"/>
    <w:rsid w:val="009548A9"/>
    <w:rsid w:val="00954A7B"/>
    <w:rsid w:val="00955CA0"/>
    <w:rsid w:val="0095661F"/>
    <w:rsid w:val="009575F9"/>
    <w:rsid w:val="00960223"/>
    <w:rsid w:val="00961C78"/>
    <w:rsid w:val="00962336"/>
    <w:rsid w:val="00963508"/>
    <w:rsid w:val="00963C87"/>
    <w:rsid w:val="00963D47"/>
    <w:rsid w:val="0096492C"/>
    <w:rsid w:val="00964C4D"/>
    <w:rsid w:val="00964DCE"/>
    <w:rsid w:val="00966DA7"/>
    <w:rsid w:val="00970C24"/>
    <w:rsid w:val="0097164A"/>
    <w:rsid w:val="00971DEF"/>
    <w:rsid w:val="00972147"/>
    <w:rsid w:val="0097243B"/>
    <w:rsid w:val="00973E6F"/>
    <w:rsid w:val="00973F10"/>
    <w:rsid w:val="00973F48"/>
    <w:rsid w:val="009741A2"/>
    <w:rsid w:val="00974E14"/>
    <w:rsid w:val="00976D7E"/>
    <w:rsid w:val="00977439"/>
    <w:rsid w:val="009804B0"/>
    <w:rsid w:val="00981131"/>
    <w:rsid w:val="00981248"/>
    <w:rsid w:val="00981252"/>
    <w:rsid w:val="00981BFB"/>
    <w:rsid w:val="00982151"/>
    <w:rsid w:val="0098252E"/>
    <w:rsid w:val="009827A3"/>
    <w:rsid w:val="009838F3"/>
    <w:rsid w:val="00985EA7"/>
    <w:rsid w:val="009877D5"/>
    <w:rsid w:val="00987ACC"/>
    <w:rsid w:val="0099433F"/>
    <w:rsid w:val="009960AF"/>
    <w:rsid w:val="0099637D"/>
    <w:rsid w:val="009963A1"/>
    <w:rsid w:val="00996935"/>
    <w:rsid w:val="00997DCA"/>
    <w:rsid w:val="009A0206"/>
    <w:rsid w:val="009A04F4"/>
    <w:rsid w:val="009A1856"/>
    <w:rsid w:val="009A27C5"/>
    <w:rsid w:val="009A2985"/>
    <w:rsid w:val="009A2E0F"/>
    <w:rsid w:val="009A3870"/>
    <w:rsid w:val="009A40FE"/>
    <w:rsid w:val="009A4D8C"/>
    <w:rsid w:val="009A5F7B"/>
    <w:rsid w:val="009A64E4"/>
    <w:rsid w:val="009A6802"/>
    <w:rsid w:val="009A69A4"/>
    <w:rsid w:val="009A7912"/>
    <w:rsid w:val="009B0DB5"/>
    <w:rsid w:val="009B1B0E"/>
    <w:rsid w:val="009B2045"/>
    <w:rsid w:val="009B2FC5"/>
    <w:rsid w:val="009B3243"/>
    <w:rsid w:val="009B35DE"/>
    <w:rsid w:val="009B39CD"/>
    <w:rsid w:val="009B4858"/>
    <w:rsid w:val="009B4D2F"/>
    <w:rsid w:val="009B5032"/>
    <w:rsid w:val="009B5210"/>
    <w:rsid w:val="009B53B3"/>
    <w:rsid w:val="009B5C7B"/>
    <w:rsid w:val="009B72F3"/>
    <w:rsid w:val="009B7C9C"/>
    <w:rsid w:val="009C025D"/>
    <w:rsid w:val="009C17CB"/>
    <w:rsid w:val="009C1B65"/>
    <w:rsid w:val="009C45A3"/>
    <w:rsid w:val="009C53A7"/>
    <w:rsid w:val="009C5438"/>
    <w:rsid w:val="009C5DD4"/>
    <w:rsid w:val="009C6D82"/>
    <w:rsid w:val="009C7703"/>
    <w:rsid w:val="009C7A3F"/>
    <w:rsid w:val="009D0647"/>
    <w:rsid w:val="009D20AD"/>
    <w:rsid w:val="009D252D"/>
    <w:rsid w:val="009D493A"/>
    <w:rsid w:val="009D5408"/>
    <w:rsid w:val="009D5508"/>
    <w:rsid w:val="009D6AC9"/>
    <w:rsid w:val="009D6E2D"/>
    <w:rsid w:val="009D6FA5"/>
    <w:rsid w:val="009D7BE4"/>
    <w:rsid w:val="009E0B81"/>
    <w:rsid w:val="009E0C36"/>
    <w:rsid w:val="009E105A"/>
    <w:rsid w:val="009E21F8"/>
    <w:rsid w:val="009E2CA1"/>
    <w:rsid w:val="009E3009"/>
    <w:rsid w:val="009E3471"/>
    <w:rsid w:val="009E42F4"/>
    <w:rsid w:val="009E4699"/>
    <w:rsid w:val="009E49A3"/>
    <w:rsid w:val="009E7147"/>
    <w:rsid w:val="009E7DEF"/>
    <w:rsid w:val="009F386C"/>
    <w:rsid w:val="009F3DB5"/>
    <w:rsid w:val="009F3E03"/>
    <w:rsid w:val="009F3E27"/>
    <w:rsid w:val="009F4339"/>
    <w:rsid w:val="009F74B4"/>
    <w:rsid w:val="009F7C73"/>
    <w:rsid w:val="00A02358"/>
    <w:rsid w:val="00A02DEC"/>
    <w:rsid w:val="00A02EE9"/>
    <w:rsid w:val="00A03086"/>
    <w:rsid w:val="00A04603"/>
    <w:rsid w:val="00A046F6"/>
    <w:rsid w:val="00A0478C"/>
    <w:rsid w:val="00A04881"/>
    <w:rsid w:val="00A04F57"/>
    <w:rsid w:val="00A064F0"/>
    <w:rsid w:val="00A10BC5"/>
    <w:rsid w:val="00A11BA3"/>
    <w:rsid w:val="00A11E9B"/>
    <w:rsid w:val="00A12721"/>
    <w:rsid w:val="00A12E39"/>
    <w:rsid w:val="00A1325A"/>
    <w:rsid w:val="00A133C2"/>
    <w:rsid w:val="00A135A7"/>
    <w:rsid w:val="00A13AC6"/>
    <w:rsid w:val="00A1537F"/>
    <w:rsid w:val="00A16154"/>
    <w:rsid w:val="00A1644D"/>
    <w:rsid w:val="00A16FF2"/>
    <w:rsid w:val="00A1729F"/>
    <w:rsid w:val="00A177BB"/>
    <w:rsid w:val="00A21E75"/>
    <w:rsid w:val="00A2356F"/>
    <w:rsid w:val="00A2360F"/>
    <w:rsid w:val="00A26319"/>
    <w:rsid w:val="00A27782"/>
    <w:rsid w:val="00A27973"/>
    <w:rsid w:val="00A27C3B"/>
    <w:rsid w:val="00A27FA3"/>
    <w:rsid w:val="00A30F73"/>
    <w:rsid w:val="00A31035"/>
    <w:rsid w:val="00A31DB6"/>
    <w:rsid w:val="00A3212F"/>
    <w:rsid w:val="00A33C08"/>
    <w:rsid w:val="00A346C1"/>
    <w:rsid w:val="00A34C80"/>
    <w:rsid w:val="00A35D8B"/>
    <w:rsid w:val="00A36332"/>
    <w:rsid w:val="00A36EA8"/>
    <w:rsid w:val="00A36F74"/>
    <w:rsid w:val="00A40214"/>
    <w:rsid w:val="00A404E3"/>
    <w:rsid w:val="00A4092E"/>
    <w:rsid w:val="00A40C7C"/>
    <w:rsid w:val="00A42121"/>
    <w:rsid w:val="00A43CB6"/>
    <w:rsid w:val="00A43F32"/>
    <w:rsid w:val="00A447FF"/>
    <w:rsid w:val="00A507D6"/>
    <w:rsid w:val="00A52A04"/>
    <w:rsid w:val="00A52A07"/>
    <w:rsid w:val="00A52E65"/>
    <w:rsid w:val="00A53DD2"/>
    <w:rsid w:val="00A542E1"/>
    <w:rsid w:val="00A549F4"/>
    <w:rsid w:val="00A551BE"/>
    <w:rsid w:val="00A552D1"/>
    <w:rsid w:val="00A57F88"/>
    <w:rsid w:val="00A6100B"/>
    <w:rsid w:val="00A6369D"/>
    <w:rsid w:val="00A63F90"/>
    <w:rsid w:val="00A64113"/>
    <w:rsid w:val="00A64E5B"/>
    <w:rsid w:val="00A66A8A"/>
    <w:rsid w:val="00A673AB"/>
    <w:rsid w:val="00A674D2"/>
    <w:rsid w:val="00A67CD1"/>
    <w:rsid w:val="00A7044A"/>
    <w:rsid w:val="00A70B64"/>
    <w:rsid w:val="00A7163B"/>
    <w:rsid w:val="00A7164D"/>
    <w:rsid w:val="00A72148"/>
    <w:rsid w:val="00A74DB7"/>
    <w:rsid w:val="00A75515"/>
    <w:rsid w:val="00A76D72"/>
    <w:rsid w:val="00A7710B"/>
    <w:rsid w:val="00A7738D"/>
    <w:rsid w:val="00A77632"/>
    <w:rsid w:val="00A8095A"/>
    <w:rsid w:val="00A80FCB"/>
    <w:rsid w:val="00A814F3"/>
    <w:rsid w:val="00A829F7"/>
    <w:rsid w:val="00A82DEC"/>
    <w:rsid w:val="00A844B6"/>
    <w:rsid w:val="00A8570A"/>
    <w:rsid w:val="00A859C4"/>
    <w:rsid w:val="00A8707A"/>
    <w:rsid w:val="00A871B2"/>
    <w:rsid w:val="00A90C34"/>
    <w:rsid w:val="00A90C81"/>
    <w:rsid w:val="00A90D21"/>
    <w:rsid w:val="00A91814"/>
    <w:rsid w:val="00A91A06"/>
    <w:rsid w:val="00A9336F"/>
    <w:rsid w:val="00A944C3"/>
    <w:rsid w:val="00A944C5"/>
    <w:rsid w:val="00A94E51"/>
    <w:rsid w:val="00A94E7C"/>
    <w:rsid w:val="00A953F4"/>
    <w:rsid w:val="00A95CEA"/>
    <w:rsid w:val="00A96129"/>
    <w:rsid w:val="00AA05D2"/>
    <w:rsid w:val="00AA1F8E"/>
    <w:rsid w:val="00AA26CC"/>
    <w:rsid w:val="00AA4130"/>
    <w:rsid w:val="00AA55F4"/>
    <w:rsid w:val="00AA77D5"/>
    <w:rsid w:val="00AB0F5E"/>
    <w:rsid w:val="00AB2048"/>
    <w:rsid w:val="00AB20AE"/>
    <w:rsid w:val="00AB2D3E"/>
    <w:rsid w:val="00AB2FAA"/>
    <w:rsid w:val="00AB3BB0"/>
    <w:rsid w:val="00AB4309"/>
    <w:rsid w:val="00AB5085"/>
    <w:rsid w:val="00AB5772"/>
    <w:rsid w:val="00AB59CE"/>
    <w:rsid w:val="00AB625E"/>
    <w:rsid w:val="00AB6748"/>
    <w:rsid w:val="00AB6E1B"/>
    <w:rsid w:val="00AB7EB3"/>
    <w:rsid w:val="00AC1387"/>
    <w:rsid w:val="00AC2AED"/>
    <w:rsid w:val="00AC3D68"/>
    <w:rsid w:val="00AC3FBA"/>
    <w:rsid w:val="00AC5B97"/>
    <w:rsid w:val="00AC711A"/>
    <w:rsid w:val="00AC74B2"/>
    <w:rsid w:val="00AD0F0B"/>
    <w:rsid w:val="00AD1BBB"/>
    <w:rsid w:val="00AD2B37"/>
    <w:rsid w:val="00AD3788"/>
    <w:rsid w:val="00AD3AE7"/>
    <w:rsid w:val="00AD4DAB"/>
    <w:rsid w:val="00AD56C0"/>
    <w:rsid w:val="00AD57A2"/>
    <w:rsid w:val="00AD5FE7"/>
    <w:rsid w:val="00AD747E"/>
    <w:rsid w:val="00AD7B16"/>
    <w:rsid w:val="00AE0A3F"/>
    <w:rsid w:val="00AE1D4A"/>
    <w:rsid w:val="00AE2491"/>
    <w:rsid w:val="00AE49E6"/>
    <w:rsid w:val="00AE4CB7"/>
    <w:rsid w:val="00AE72EA"/>
    <w:rsid w:val="00AF182E"/>
    <w:rsid w:val="00AF2679"/>
    <w:rsid w:val="00AF33B0"/>
    <w:rsid w:val="00AF41CD"/>
    <w:rsid w:val="00AF45AD"/>
    <w:rsid w:val="00AF5D33"/>
    <w:rsid w:val="00AF7002"/>
    <w:rsid w:val="00AF7053"/>
    <w:rsid w:val="00B005FC"/>
    <w:rsid w:val="00B00B8B"/>
    <w:rsid w:val="00B012A6"/>
    <w:rsid w:val="00B0175E"/>
    <w:rsid w:val="00B029C4"/>
    <w:rsid w:val="00B0323B"/>
    <w:rsid w:val="00B037FB"/>
    <w:rsid w:val="00B04F05"/>
    <w:rsid w:val="00B05730"/>
    <w:rsid w:val="00B06219"/>
    <w:rsid w:val="00B06251"/>
    <w:rsid w:val="00B06749"/>
    <w:rsid w:val="00B06960"/>
    <w:rsid w:val="00B10BF8"/>
    <w:rsid w:val="00B11651"/>
    <w:rsid w:val="00B1232D"/>
    <w:rsid w:val="00B13A4C"/>
    <w:rsid w:val="00B14188"/>
    <w:rsid w:val="00B14304"/>
    <w:rsid w:val="00B1656C"/>
    <w:rsid w:val="00B17115"/>
    <w:rsid w:val="00B200A7"/>
    <w:rsid w:val="00B208EF"/>
    <w:rsid w:val="00B21300"/>
    <w:rsid w:val="00B21483"/>
    <w:rsid w:val="00B231F5"/>
    <w:rsid w:val="00B23A8F"/>
    <w:rsid w:val="00B23F0F"/>
    <w:rsid w:val="00B24E54"/>
    <w:rsid w:val="00B2586C"/>
    <w:rsid w:val="00B268D1"/>
    <w:rsid w:val="00B26B5C"/>
    <w:rsid w:val="00B27BC3"/>
    <w:rsid w:val="00B319BB"/>
    <w:rsid w:val="00B31C27"/>
    <w:rsid w:val="00B325AB"/>
    <w:rsid w:val="00B337B9"/>
    <w:rsid w:val="00B33D99"/>
    <w:rsid w:val="00B34B83"/>
    <w:rsid w:val="00B34C28"/>
    <w:rsid w:val="00B35996"/>
    <w:rsid w:val="00B36D2B"/>
    <w:rsid w:val="00B3723B"/>
    <w:rsid w:val="00B4066C"/>
    <w:rsid w:val="00B40959"/>
    <w:rsid w:val="00B40F28"/>
    <w:rsid w:val="00B41237"/>
    <w:rsid w:val="00B417F0"/>
    <w:rsid w:val="00B42B6B"/>
    <w:rsid w:val="00B42CC1"/>
    <w:rsid w:val="00B43AE2"/>
    <w:rsid w:val="00B4442C"/>
    <w:rsid w:val="00B44EFD"/>
    <w:rsid w:val="00B45119"/>
    <w:rsid w:val="00B45977"/>
    <w:rsid w:val="00B46617"/>
    <w:rsid w:val="00B47FED"/>
    <w:rsid w:val="00B511A9"/>
    <w:rsid w:val="00B51233"/>
    <w:rsid w:val="00B51831"/>
    <w:rsid w:val="00B51B7E"/>
    <w:rsid w:val="00B527DA"/>
    <w:rsid w:val="00B52D8C"/>
    <w:rsid w:val="00B52F89"/>
    <w:rsid w:val="00B536C6"/>
    <w:rsid w:val="00B540BC"/>
    <w:rsid w:val="00B5520D"/>
    <w:rsid w:val="00B55B41"/>
    <w:rsid w:val="00B55B52"/>
    <w:rsid w:val="00B55B6D"/>
    <w:rsid w:val="00B562D7"/>
    <w:rsid w:val="00B57978"/>
    <w:rsid w:val="00B60AE5"/>
    <w:rsid w:val="00B60E7A"/>
    <w:rsid w:val="00B619C5"/>
    <w:rsid w:val="00B61E24"/>
    <w:rsid w:val="00B61F88"/>
    <w:rsid w:val="00B63E27"/>
    <w:rsid w:val="00B645C4"/>
    <w:rsid w:val="00B64C82"/>
    <w:rsid w:val="00B65AD5"/>
    <w:rsid w:val="00B667E4"/>
    <w:rsid w:val="00B66944"/>
    <w:rsid w:val="00B70018"/>
    <w:rsid w:val="00B70BE8"/>
    <w:rsid w:val="00B713AE"/>
    <w:rsid w:val="00B716EE"/>
    <w:rsid w:val="00B71E5A"/>
    <w:rsid w:val="00B71E9D"/>
    <w:rsid w:val="00B72267"/>
    <w:rsid w:val="00B725DB"/>
    <w:rsid w:val="00B72FD0"/>
    <w:rsid w:val="00B73569"/>
    <w:rsid w:val="00B73E6C"/>
    <w:rsid w:val="00B73FDA"/>
    <w:rsid w:val="00B743C2"/>
    <w:rsid w:val="00B745B0"/>
    <w:rsid w:val="00B7479A"/>
    <w:rsid w:val="00B761A1"/>
    <w:rsid w:val="00B76552"/>
    <w:rsid w:val="00B76ED1"/>
    <w:rsid w:val="00B800E0"/>
    <w:rsid w:val="00B804AD"/>
    <w:rsid w:val="00B80E80"/>
    <w:rsid w:val="00B81BCE"/>
    <w:rsid w:val="00B81EF9"/>
    <w:rsid w:val="00B82DD3"/>
    <w:rsid w:val="00B83C56"/>
    <w:rsid w:val="00B90E14"/>
    <w:rsid w:val="00B92F38"/>
    <w:rsid w:val="00B944F7"/>
    <w:rsid w:val="00B95910"/>
    <w:rsid w:val="00B95D8D"/>
    <w:rsid w:val="00B96688"/>
    <w:rsid w:val="00B96A9E"/>
    <w:rsid w:val="00BA2FAE"/>
    <w:rsid w:val="00BA364A"/>
    <w:rsid w:val="00BA482D"/>
    <w:rsid w:val="00BA52DF"/>
    <w:rsid w:val="00BA7215"/>
    <w:rsid w:val="00BA76AF"/>
    <w:rsid w:val="00BA788A"/>
    <w:rsid w:val="00BA7D30"/>
    <w:rsid w:val="00BB2024"/>
    <w:rsid w:val="00BB2F15"/>
    <w:rsid w:val="00BB4EFD"/>
    <w:rsid w:val="00BB55DC"/>
    <w:rsid w:val="00BB7A40"/>
    <w:rsid w:val="00BC1A08"/>
    <w:rsid w:val="00BC2D52"/>
    <w:rsid w:val="00BC2EA3"/>
    <w:rsid w:val="00BC3131"/>
    <w:rsid w:val="00BC3413"/>
    <w:rsid w:val="00BC354B"/>
    <w:rsid w:val="00BC389C"/>
    <w:rsid w:val="00BC43E4"/>
    <w:rsid w:val="00BC4A1D"/>
    <w:rsid w:val="00BC51DC"/>
    <w:rsid w:val="00BC5552"/>
    <w:rsid w:val="00BC5A4F"/>
    <w:rsid w:val="00BC69A7"/>
    <w:rsid w:val="00BC6ABA"/>
    <w:rsid w:val="00BC7FA5"/>
    <w:rsid w:val="00BD05B5"/>
    <w:rsid w:val="00BD078E"/>
    <w:rsid w:val="00BD0D81"/>
    <w:rsid w:val="00BD178B"/>
    <w:rsid w:val="00BD281D"/>
    <w:rsid w:val="00BD431C"/>
    <w:rsid w:val="00BD4F14"/>
    <w:rsid w:val="00BD5341"/>
    <w:rsid w:val="00BD5681"/>
    <w:rsid w:val="00BD6DF5"/>
    <w:rsid w:val="00BD767F"/>
    <w:rsid w:val="00BE0157"/>
    <w:rsid w:val="00BE0D13"/>
    <w:rsid w:val="00BE22E9"/>
    <w:rsid w:val="00BE3122"/>
    <w:rsid w:val="00BE3EAE"/>
    <w:rsid w:val="00BE5886"/>
    <w:rsid w:val="00BE5FCE"/>
    <w:rsid w:val="00BE7173"/>
    <w:rsid w:val="00BF021E"/>
    <w:rsid w:val="00BF2599"/>
    <w:rsid w:val="00BF2CAE"/>
    <w:rsid w:val="00BF3CC5"/>
    <w:rsid w:val="00BF4388"/>
    <w:rsid w:val="00BF56AD"/>
    <w:rsid w:val="00BF673A"/>
    <w:rsid w:val="00C00234"/>
    <w:rsid w:val="00C00AB7"/>
    <w:rsid w:val="00C01589"/>
    <w:rsid w:val="00C025D4"/>
    <w:rsid w:val="00C0414E"/>
    <w:rsid w:val="00C0516D"/>
    <w:rsid w:val="00C05194"/>
    <w:rsid w:val="00C06E2A"/>
    <w:rsid w:val="00C11DBA"/>
    <w:rsid w:val="00C123EC"/>
    <w:rsid w:val="00C127E3"/>
    <w:rsid w:val="00C141C0"/>
    <w:rsid w:val="00C1431C"/>
    <w:rsid w:val="00C16417"/>
    <w:rsid w:val="00C16A52"/>
    <w:rsid w:val="00C201AE"/>
    <w:rsid w:val="00C204EA"/>
    <w:rsid w:val="00C25DF2"/>
    <w:rsid w:val="00C2641C"/>
    <w:rsid w:val="00C2767D"/>
    <w:rsid w:val="00C3030E"/>
    <w:rsid w:val="00C31505"/>
    <w:rsid w:val="00C31C40"/>
    <w:rsid w:val="00C33823"/>
    <w:rsid w:val="00C33D28"/>
    <w:rsid w:val="00C35298"/>
    <w:rsid w:val="00C41042"/>
    <w:rsid w:val="00C41737"/>
    <w:rsid w:val="00C42EDD"/>
    <w:rsid w:val="00C44842"/>
    <w:rsid w:val="00C46FC6"/>
    <w:rsid w:val="00C5057E"/>
    <w:rsid w:val="00C50E86"/>
    <w:rsid w:val="00C51370"/>
    <w:rsid w:val="00C51F0A"/>
    <w:rsid w:val="00C5366B"/>
    <w:rsid w:val="00C538BB"/>
    <w:rsid w:val="00C53985"/>
    <w:rsid w:val="00C54750"/>
    <w:rsid w:val="00C54DFB"/>
    <w:rsid w:val="00C5608C"/>
    <w:rsid w:val="00C56F3D"/>
    <w:rsid w:val="00C578BD"/>
    <w:rsid w:val="00C57FD8"/>
    <w:rsid w:val="00C605C7"/>
    <w:rsid w:val="00C61576"/>
    <w:rsid w:val="00C619DF"/>
    <w:rsid w:val="00C61A91"/>
    <w:rsid w:val="00C61DE1"/>
    <w:rsid w:val="00C62008"/>
    <w:rsid w:val="00C6351F"/>
    <w:rsid w:val="00C63926"/>
    <w:rsid w:val="00C63ECC"/>
    <w:rsid w:val="00C65DB6"/>
    <w:rsid w:val="00C6751A"/>
    <w:rsid w:val="00C67636"/>
    <w:rsid w:val="00C67BCD"/>
    <w:rsid w:val="00C725A5"/>
    <w:rsid w:val="00C73292"/>
    <w:rsid w:val="00C749D9"/>
    <w:rsid w:val="00C74D6D"/>
    <w:rsid w:val="00C75BAD"/>
    <w:rsid w:val="00C7654A"/>
    <w:rsid w:val="00C779C9"/>
    <w:rsid w:val="00C77C5B"/>
    <w:rsid w:val="00C77F40"/>
    <w:rsid w:val="00C80411"/>
    <w:rsid w:val="00C81192"/>
    <w:rsid w:val="00C81B62"/>
    <w:rsid w:val="00C81CF0"/>
    <w:rsid w:val="00C8277C"/>
    <w:rsid w:val="00C82DB6"/>
    <w:rsid w:val="00C83003"/>
    <w:rsid w:val="00C83996"/>
    <w:rsid w:val="00C839F1"/>
    <w:rsid w:val="00C84DDA"/>
    <w:rsid w:val="00C86586"/>
    <w:rsid w:val="00C869E6"/>
    <w:rsid w:val="00C91242"/>
    <w:rsid w:val="00C91801"/>
    <w:rsid w:val="00C91DFB"/>
    <w:rsid w:val="00C92A08"/>
    <w:rsid w:val="00C92E8F"/>
    <w:rsid w:val="00C92FC1"/>
    <w:rsid w:val="00C9355C"/>
    <w:rsid w:val="00C93991"/>
    <w:rsid w:val="00C95165"/>
    <w:rsid w:val="00C9570C"/>
    <w:rsid w:val="00C95936"/>
    <w:rsid w:val="00C95E80"/>
    <w:rsid w:val="00CA1341"/>
    <w:rsid w:val="00CA237C"/>
    <w:rsid w:val="00CA4C07"/>
    <w:rsid w:val="00CA4F65"/>
    <w:rsid w:val="00CA542D"/>
    <w:rsid w:val="00CA71B9"/>
    <w:rsid w:val="00CB11F1"/>
    <w:rsid w:val="00CB125F"/>
    <w:rsid w:val="00CB2AD4"/>
    <w:rsid w:val="00CB4162"/>
    <w:rsid w:val="00CB42A9"/>
    <w:rsid w:val="00CB5F94"/>
    <w:rsid w:val="00CB604B"/>
    <w:rsid w:val="00CB79AA"/>
    <w:rsid w:val="00CC0EE5"/>
    <w:rsid w:val="00CC18CA"/>
    <w:rsid w:val="00CC2B54"/>
    <w:rsid w:val="00CC512A"/>
    <w:rsid w:val="00CC5CB7"/>
    <w:rsid w:val="00CC6DC5"/>
    <w:rsid w:val="00CC6E53"/>
    <w:rsid w:val="00CD09FB"/>
    <w:rsid w:val="00CD0F3B"/>
    <w:rsid w:val="00CD0F9D"/>
    <w:rsid w:val="00CD1594"/>
    <w:rsid w:val="00CD1B97"/>
    <w:rsid w:val="00CD1E92"/>
    <w:rsid w:val="00CD3DAC"/>
    <w:rsid w:val="00CD4FF7"/>
    <w:rsid w:val="00CD56FC"/>
    <w:rsid w:val="00CD611A"/>
    <w:rsid w:val="00CD6178"/>
    <w:rsid w:val="00CD7932"/>
    <w:rsid w:val="00CE1543"/>
    <w:rsid w:val="00CE1B39"/>
    <w:rsid w:val="00CE1DD3"/>
    <w:rsid w:val="00CE24F3"/>
    <w:rsid w:val="00CE2CAA"/>
    <w:rsid w:val="00CE2E63"/>
    <w:rsid w:val="00CE4030"/>
    <w:rsid w:val="00CE51B3"/>
    <w:rsid w:val="00CE54DB"/>
    <w:rsid w:val="00CE5726"/>
    <w:rsid w:val="00CE5BB3"/>
    <w:rsid w:val="00CF08C5"/>
    <w:rsid w:val="00CF0D37"/>
    <w:rsid w:val="00CF1B96"/>
    <w:rsid w:val="00CF1CC8"/>
    <w:rsid w:val="00CF205C"/>
    <w:rsid w:val="00CF2EB0"/>
    <w:rsid w:val="00CF35A6"/>
    <w:rsid w:val="00CF394D"/>
    <w:rsid w:val="00CF3BB7"/>
    <w:rsid w:val="00CF4C96"/>
    <w:rsid w:val="00CF78FB"/>
    <w:rsid w:val="00D013B4"/>
    <w:rsid w:val="00D0162C"/>
    <w:rsid w:val="00D02897"/>
    <w:rsid w:val="00D02ADA"/>
    <w:rsid w:val="00D02B47"/>
    <w:rsid w:val="00D0309C"/>
    <w:rsid w:val="00D03986"/>
    <w:rsid w:val="00D03DAF"/>
    <w:rsid w:val="00D03FED"/>
    <w:rsid w:val="00D048CD"/>
    <w:rsid w:val="00D05BA1"/>
    <w:rsid w:val="00D07D3E"/>
    <w:rsid w:val="00D10712"/>
    <w:rsid w:val="00D10DF0"/>
    <w:rsid w:val="00D128B8"/>
    <w:rsid w:val="00D12F3B"/>
    <w:rsid w:val="00D13422"/>
    <w:rsid w:val="00D13A44"/>
    <w:rsid w:val="00D13A83"/>
    <w:rsid w:val="00D13D34"/>
    <w:rsid w:val="00D13D8F"/>
    <w:rsid w:val="00D14C68"/>
    <w:rsid w:val="00D16C60"/>
    <w:rsid w:val="00D16CA8"/>
    <w:rsid w:val="00D16CC7"/>
    <w:rsid w:val="00D20AD6"/>
    <w:rsid w:val="00D21340"/>
    <w:rsid w:val="00D21BB5"/>
    <w:rsid w:val="00D24E02"/>
    <w:rsid w:val="00D25380"/>
    <w:rsid w:val="00D253CF"/>
    <w:rsid w:val="00D26D5C"/>
    <w:rsid w:val="00D271F1"/>
    <w:rsid w:val="00D272E6"/>
    <w:rsid w:val="00D273FC"/>
    <w:rsid w:val="00D27F30"/>
    <w:rsid w:val="00D30C9C"/>
    <w:rsid w:val="00D314D6"/>
    <w:rsid w:val="00D31979"/>
    <w:rsid w:val="00D31C8D"/>
    <w:rsid w:val="00D323CD"/>
    <w:rsid w:val="00D3288E"/>
    <w:rsid w:val="00D32CFE"/>
    <w:rsid w:val="00D32ECB"/>
    <w:rsid w:val="00D335C6"/>
    <w:rsid w:val="00D34758"/>
    <w:rsid w:val="00D34F8D"/>
    <w:rsid w:val="00D355F2"/>
    <w:rsid w:val="00D35E06"/>
    <w:rsid w:val="00D365EE"/>
    <w:rsid w:val="00D36933"/>
    <w:rsid w:val="00D36D7C"/>
    <w:rsid w:val="00D376E0"/>
    <w:rsid w:val="00D37B2A"/>
    <w:rsid w:val="00D412AC"/>
    <w:rsid w:val="00D423B6"/>
    <w:rsid w:val="00D426E8"/>
    <w:rsid w:val="00D42A2F"/>
    <w:rsid w:val="00D42F9A"/>
    <w:rsid w:val="00D4300E"/>
    <w:rsid w:val="00D435F8"/>
    <w:rsid w:val="00D43636"/>
    <w:rsid w:val="00D44395"/>
    <w:rsid w:val="00D4493C"/>
    <w:rsid w:val="00D45AF1"/>
    <w:rsid w:val="00D462C9"/>
    <w:rsid w:val="00D475BE"/>
    <w:rsid w:val="00D5045A"/>
    <w:rsid w:val="00D51DB8"/>
    <w:rsid w:val="00D51FC7"/>
    <w:rsid w:val="00D52AE4"/>
    <w:rsid w:val="00D52E19"/>
    <w:rsid w:val="00D535A6"/>
    <w:rsid w:val="00D5403D"/>
    <w:rsid w:val="00D5445F"/>
    <w:rsid w:val="00D547C4"/>
    <w:rsid w:val="00D553E7"/>
    <w:rsid w:val="00D55B07"/>
    <w:rsid w:val="00D56B35"/>
    <w:rsid w:val="00D56CD7"/>
    <w:rsid w:val="00D575D0"/>
    <w:rsid w:val="00D5794A"/>
    <w:rsid w:val="00D57AA8"/>
    <w:rsid w:val="00D6169E"/>
    <w:rsid w:val="00D617CE"/>
    <w:rsid w:val="00D617D9"/>
    <w:rsid w:val="00D61AAC"/>
    <w:rsid w:val="00D6392D"/>
    <w:rsid w:val="00D63A3B"/>
    <w:rsid w:val="00D64D3A"/>
    <w:rsid w:val="00D650BF"/>
    <w:rsid w:val="00D6529C"/>
    <w:rsid w:val="00D6547C"/>
    <w:rsid w:val="00D669CA"/>
    <w:rsid w:val="00D66DB1"/>
    <w:rsid w:val="00D6741B"/>
    <w:rsid w:val="00D70406"/>
    <w:rsid w:val="00D70B99"/>
    <w:rsid w:val="00D70D7C"/>
    <w:rsid w:val="00D716D0"/>
    <w:rsid w:val="00D7175E"/>
    <w:rsid w:val="00D71F44"/>
    <w:rsid w:val="00D7260C"/>
    <w:rsid w:val="00D73071"/>
    <w:rsid w:val="00D7316C"/>
    <w:rsid w:val="00D739A4"/>
    <w:rsid w:val="00D74C6A"/>
    <w:rsid w:val="00D75BC4"/>
    <w:rsid w:val="00D826F2"/>
    <w:rsid w:val="00D859B6"/>
    <w:rsid w:val="00D8602D"/>
    <w:rsid w:val="00D90208"/>
    <w:rsid w:val="00D913E2"/>
    <w:rsid w:val="00D9227C"/>
    <w:rsid w:val="00D93045"/>
    <w:rsid w:val="00D9323D"/>
    <w:rsid w:val="00D934FC"/>
    <w:rsid w:val="00D93610"/>
    <w:rsid w:val="00D9405C"/>
    <w:rsid w:val="00D940F1"/>
    <w:rsid w:val="00D956FC"/>
    <w:rsid w:val="00D957C7"/>
    <w:rsid w:val="00D95D0F"/>
    <w:rsid w:val="00D95F9F"/>
    <w:rsid w:val="00D97251"/>
    <w:rsid w:val="00D979E0"/>
    <w:rsid w:val="00DA02E6"/>
    <w:rsid w:val="00DA1381"/>
    <w:rsid w:val="00DA1A57"/>
    <w:rsid w:val="00DA41CD"/>
    <w:rsid w:val="00DA48E7"/>
    <w:rsid w:val="00DA4A82"/>
    <w:rsid w:val="00DA5377"/>
    <w:rsid w:val="00DA5DCF"/>
    <w:rsid w:val="00DA69DC"/>
    <w:rsid w:val="00DA7921"/>
    <w:rsid w:val="00DB061D"/>
    <w:rsid w:val="00DB0E59"/>
    <w:rsid w:val="00DB4395"/>
    <w:rsid w:val="00DB49E8"/>
    <w:rsid w:val="00DB5D51"/>
    <w:rsid w:val="00DC1296"/>
    <w:rsid w:val="00DC190F"/>
    <w:rsid w:val="00DC1A98"/>
    <w:rsid w:val="00DC1D30"/>
    <w:rsid w:val="00DC1F0F"/>
    <w:rsid w:val="00DC498E"/>
    <w:rsid w:val="00DC7667"/>
    <w:rsid w:val="00DC7FF6"/>
    <w:rsid w:val="00DD0B67"/>
    <w:rsid w:val="00DD0E72"/>
    <w:rsid w:val="00DD0E83"/>
    <w:rsid w:val="00DD2E79"/>
    <w:rsid w:val="00DD3062"/>
    <w:rsid w:val="00DD4197"/>
    <w:rsid w:val="00DD54FA"/>
    <w:rsid w:val="00DD57FE"/>
    <w:rsid w:val="00DD5808"/>
    <w:rsid w:val="00DE0484"/>
    <w:rsid w:val="00DE0630"/>
    <w:rsid w:val="00DE17BE"/>
    <w:rsid w:val="00DE2DB3"/>
    <w:rsid w:val="00DE3634"/>
    <w:rsid w:val="00DE36BA"/>
    <w:rsid w:val="00DE410A"/>
    <w:rsid w:val="00DE48F9"/>
    <w:rsid w:val="00DE48FB"/>
    <w:rsid w:val="00DE4DD1"/>
    <w:rsid w:val="00DE6F3F"/>
    <w:rsid w:val="00DE72CE"/>
    <w:rsid w:val="00DE77F4"/>
    <w:rsid w:val="00DE7965"/>
    <w:rsid w:val="00DF048C"/>
    <w:rsid w:val="00DF1F3B"/>
    <w:rsid w:val="00DF2E67"/>
    <w:rsid w:val="00DF3087"/>
    <w:rsid w:val="00DF34D2"/>
    <w:rsid w:val="00DF45D4"/>
    <w:rsid w:val="00DF4921"/>
    <w:rsid w:val="00DF532D"/>
    <w:rsid w:val="00DF5421"/>
    <w:rsid w:val="00DF5CF2"/>
    <w:rsid w:val="00DF7196"/>
    <w:rsid w:val="00E032B9"/>
    <w:rsid w:val="00E037B4"/>
    <w:rsid w:val="00E038E2"/>
    <w:rsid w:val="00E042F5"/>
    <w:rsid w:val="00E05DA5"/>
    <w:rsid w:val="00E06A95"/>
    <w:rsid w:val="00E1035A"/>
    <w:rsid w:val="00E10736"/>
    <w:rsid w:val="00E1078D"/>
    <w:rsid w:val="00E11B24"/>
    <w:rsid w:val="00E12744"/>
    <w:rsid w:val="00E12CDD"/>
    <w:rsid w:val="00E138BE"/>
    <w:rsid w:val="00E146DD"/>
    <w:rsid w:val="00E14ED9"/>
    <w:rsid w:val="00E170C1"/>
    <w:rsid w:val="00E175F1"/>
    <w:rsid w:val="00E17A25"/>
    <w:rsid w:val="00E17F02"/>
    <w:rsid w:val="00E203EB"/>
    <w:rsid w:val="00E20D8D"/>
    <w:rsid w:val="00E223EC"/>
    <w:rsid w:val="00E22778"/>
    <w:rsid w:val="00E236F3"/>
    <w:rsid w:val="00E23EBC"/>
    <w:rsid w:val="00E248F2"/>
    <w:rsid w:val="00E26EC1"/>
    <w:rsid w:val="00E27092"/>
    <w:rsid w:val="00E27510"/>
    <w:rsid w:val="00E275F6"/>
    <w:rsid w:val="00E27DCC"/>
    <w:rsid w:val="00E30902"/>
    <w:rsid w:val="00E319A6"/>
    <w:rsid w:val="00E31B97"/>
    <w:rsid w:val="00E31E9E"/>
    <w:rsid w:val="00E31FC7"/>
    <w:rsid w:val="00E32C64"/>
    <w:rsid w:val="00E33792"/>
    <w:rsid w:val="00E34784"/>
    <w:rsid w:val="00E34B9E"/>
    <w:rsid w:val="00E34FB7"/>
    <w:rsid w:val="00E3515F"/>
    <w:rsid w:val="00E359B9"/>
    <w:rsid w:val="00E36110"/>
    <w:rsid w:val="00E36366"/>
    <w:rsid w:val="00E405D0"/>
    <w:rsid w:val="00E408E4"/>
    <w:rsid w:val="00E40DE8"/>
    <w:rsid w:val="00E41231"/>
    <w:rsid w:val="00E430CF"/>
    <w:rsid w:val="00E443C4"/>
    <w:rsid w:val="00E452E9"/>
    <w:rsid w:val="00E46C93"/>
    <w:rsid w:val="00E474DB"/>
    <w:rsid w:val="00E47612"/>
    <w:rsid w:val="00E5049D"/>
    <w:rsid w:val="00E51F39"/>
    <w:rsid w:val="00E55E51"/>
    <w:rsid w:val="00E561CA"/>
    <w:rsid w:val="00E617FE"/>
    <w:rsid w:val="00E61A61"/>
    <w:rsid w:val="00E6265A"/>
    <w:rsid w:val="00E62ADC"/>
    <w:rsid w:val="00E64C90"/>
    <w:rsid w:val="00E64D32"/>
    <w:rsid w:val="00E66516"/>
    <w:rsid w:val="00E677C5"/>
    <w:rsid w:val="00E70A34"/>
    <w:rsid w:val="00E70DAD"/>
    <w:rsid w:val="00E71C74"/>
    <w:rsid w:val="00E7295D"/>
    <w:rsid w:val="00E72987"/>
    <w:rsid w:val="00E7316D"/>
    <w:rsid w:val="00E74593"/>
    <w:rsid w:val="00E75941"/>
    <w:rsid w:val="00E75A4F"/>
    <w:rsid w:val="00E75B2E"/>
    <w:rsid w:val="00E75FE2"/>
    <w:rsid w:val="00E76A7F"/>
    <w:rsid w:val="00E76EE0"/>
    <w:rsid w:val="00E77490"/>
    <w:rsid w:val="00E8129D"/>
    <w:rsid w:val="00E823D5"/>
    <w:rsid w:val="00E837A2"/>
    <w:rsid w:val="00E8431B"/>
    <w:rsid w:val="00E8476C"/>
    <w:rsid w:val="00E8490C"/>
    <w:rsid w:val="00E85354"/>
    <w:rsid w:val="00E86AB7"/>
    <w:rsid w:val="00E86F40"/>
    <w:rsid w:val="00E87332"/>
    <w:rsid w:val="00E879EF"/>
    <w:rsid w:val="00E90DC4"/>
    <w:rsid w:val="00E91CB2"/>
    <w:rsid w:val="00E933EC"/>
    <w:rsid w:val="00E93C0E"/>
    <w:rsid w:val="00E93C37"/>
    <w:rsid w:val="00E942FD"/>
    <w:rsid w:val="00E94CC0"/>
    <w:rsid w:val="00E96301"/>
    <w:rsid w:val="00E96C3A"/>
    <w:rsid w:val="00E9760F"/>
    <w:rsid w:val="00EA053C"/>
    <w:rsid w:val="00EA0AEE"/>
    <w:rsid w:val="00EA0B80"/>
    <w:rsid w:val="00EA0C67"/>
    <w:rsid w:val="00EA21ED"/>
    <w:rsid w:val="00EA34CD"/>
    <w:rsid w:val="00EA4577"/>
    <w:rsid w:val="00EA539D"/>
    <w:rsid w:val="00EA610E"/>
    <w:rsid w:val="00EA7675"/>
    <w:rsid w:val="00EA7FC7"/>
    <w:rsid w:val="00EB07BA"/>
    <w:rsid w:val="00EB2211"/>
    <w:rsid w:val="00EB30BE"/>
    <w:rsid w:val="00EB453B"/>
    <w:rsid w:val="00EB55F4"/>
    <w:rsid w:val="00EB78BC"/>
    <w:rsid w:val="00EC0424"/>
    <w:rsid w:val="00EC073E"/>
    <w:rsid w:val="00EC081F"/>
    <w:rsid w:val="00EC116F"/>
    <w:rsid w:val="00EC166D"/>
    <w:rsid w:val="00EC188A"/>
    <w:rsid w:val="00EC1A66"/>
    <w:rsid w:val="00EC2800"/>
    <w:rsid w:val="00EC3659"/>
    <w:rsid w:val="00EC4A2D"/>
    <w:rsid w:val="00EC5144"/>
    <w:rsid w:val="00ED0B74"/>
    <w:rsid w:val="00ED114E"/>
    <w:rsid w:val="00ED26C1"/>
    <w:rsid w:val="00ED26D7"/>
    <w:rsid w:val="00ED342A"/>
    <w:rsid w:val="00ED3CC7"/>
    <w:rsid w:val="00ED519C"/>
    <w:rsid w:val="00ED75CA"/>
    <w:rsid w:val="00ED77DE"/>
    <w:rsid w:val="00EE09C5"/>
    <w:rsid w:val="00EE0F28"/>
    <w:rsid w:val="00EE1349"/>
    <w:rsid w:val="00EE17DB"/>
    <w:rsid w:val="00EE2949"/>
    <w:rsid w:val="00EE7566"/>
    <w:rsid w:val="00EE7C1C"/>
    <w:rsid w:val="00EE7CDA"/>
    <w:rsid w:val="00EE7D16"/>
    <w:rsid w:val="00EE7ED6"/>
    <w:rsid w:val="00EF0B33"/>
    <w:rsid w:val="00EF18E5"/>
    <w:rsid w:val="00EF2F31"/>
    <w:rsid w:val="00EF3C81"/>
    <w:rsid w:val="00EF3F9F"/>
    <w:rsid w:val="00EF4C8A"/>
    <w:rsid w:val="00EF54CC"/>
    <w:rsid w:val="00EF5C3E"/>
    <w:rsid w:val="00EF6E70"/>
    <w:rsid w:val="00F002E7"/>
    <w:rsid w:val="00F008D1"/>
    <w:rsid w:val="00F01DC8"/>
    <w:rsid w:val="00F02062"/>
    <w:rsid w:val="00F04475"/>
    <w:rsid w:val="00F04D26"/>
    <w:rsid w:val="00F0526B"/>
    <w:rsid w:val="00F054A0"/>
    <w:rsid w:val="00F05864"/>
    <w:rsid w:val="00F05A04"/>
    <w:rsid w:val="00F05B61"/>
    <w:rsid w:val="00F05F2C"/>
    <w:rsid w:val="00F06240"/>
    <w:rsid w:val="00F125A2"/>
    <w:rsid w:val="00F12CE3"/>
    <w:rsid w:val="00F14240"/>
    <w:rsid w:val="00F14BBA"/>
    <w:rsid w:val="00F1569B"/>
    <w:rsid w:val="00F1610E"/>
    <w:rsid w:val="00F17204"/>
    <w:rsid w:val="00F20844"/>
    <w:rsid w:val="00F208AE"/>
    <w:rsid w:val="00F21B81"/>
    <w:rsid w:val="00F22A9F"/>
    <w:rsid w:val="00F23055"/>
    <w:rsid w:val="00F23808"/>
    <w:rsid w:val="00F23E3D"/>
    <w:rsid w:val="00F25741"/>
    <w:rsid w:val="00F25D30"/>
    <w:rsid w:val="00F26215"/>
    <w:rsid w:val="00F269FD"/>
    <w:rsid w:val="00F27119"/>
    <w:rsid w:val="00F274CE"/>
    <w:rsid w:val="00F30514"/>
    <w:rsid w:val="00F31BF4"/>
    <w:rsid w:val="00F32825"/>
    <w:rsid w:val="00F33064"/>
    <w:rsid w:val="00F3402F"/>
    <w:rsid w:val="00F34505"/>
    <w:rsid w:val="00F359DC"/>
    <w:rsid w:val="00F37229"/>
    <w:rsid w:val="00F378CE"/>
    <w:rsid w:val="00F42128"/>
    <w:rsid w:val="00F44B9D"/>
    <w:rsid w:val="00F456DA"/>
    <w:rsid w:val="00F4680C"/>
    <w:rsid w:val="00F46D0C"/>
    <w:rsid w:val="00F46ED2"/>
    <w:rsid w:val="00F52D34"/>
    <w:rsid w:val="00F52ED3"/>
    <w:rsid w:val="00F52FF3"/>
    <w:rsid w:val="00F537E8"/>
    <w:rsid w:val="00F545DD"/>
    <w:rsid w:val="00F5471A"/>
    <w:rsid w:val="00F54B54"/>
    <w:rsid w:val="00F54B61"/>
    <w:rsid w:val="00F56768"/>
    <w:rsid w:val="00F57706"/>
    <w:rsid w:val="00F57C08"/>
    <w:rsid w:val="00F6047E"/>
    <w:rsid w:val="00F60DED"/>
    <w:rsid w:val="00F61170"/>
    <w:rsid w:val="00F618C8"/>
    <w:rsid w:val="00F63F8D"/>
    <w:rsid w:val="00F6454A"/>
    <w:rsid w:val="00F64D0A"/>
    <w:rsid w:val="00F64F03"/>
    <w:rsid w:val="00F6643C"/>
    <w:rsid w:val="00F6684B"/>
    <w:rsid w:val="00F66D63"/>
    <w:rsid w:val="00F66EFE"/>
    <w:rsid w:val="00F6796D"/>
    <w:rsid w:val="00F70755"/>
    <w:rsid w:val="00F70EED"/>
    <w:rsid w:val="00F718A0"/>
    <w:rsid w:val="00F718A8"/>
    <w:rsid w:val="00F71A2F"/>
    <w:rsid w:val="00F71F9A"/>
    <w:rsid w:val="00F72C10"/>
    <w:rsid w:val="00F7464C"/>
    <w:rsid w:val="00F7565C"/>
    <w:rsid w:val="00F756A8"/>
    <w:rsid w:val="00F7618E"/>
    <w:rsid w:val="00F76B00"/>
    <w:rsid w:val="00F77683"/>
    <w:rsid w:val="00F77BD9"/>
    <w:rsid w:val="00F77D20"/>
    <w:rsid w:val="00F80444"/>
    <w:rsid w:val="00F8055A"/>
    <w:rsid w:val="00F805F5"/>
    <w:rsid w:val="00F807F0"/>
    <w:rsid w:val="00F80BA3"/>
    <w:rsid w:val="00F81393"/>
    <w:rsid w:val="00F816DD"/>
    <w:rsid w:val="00F81C72"/>
    <w:rsid w:val="00F8221A"/>
    <w:rsid w:val="00F82CBA"/>
    <w:rsid w:val="00F83AB5"/>
    <w:rsid w:val="00F83B54"/>
    <w:rsid w:val="00F83CC6"/>
    <w:rsid w:val="00F84F7B"/>
    <w:rsid w:val="00F86C92"/>
    <w:rsid w:val="00F873BE"/>
    <w:rsid w:val="00F873E7"/>
    <w:rsid w:val="00F87B76"/>
    <w:rsid w:val="00F9012A"/>
    <w:rsid w:val="00F90BC2"/>
    <w:rsid w:val="00F90C1A"/>
    <w:rsid w:val="00F92039"/>
    <w:rsid w:val="00F92D2D"/>
    <w:rsid w:val="00F93FB3"/>
    <w:rsid w:val="00F95BC6"/>
    <w:rsid w:val="00F963E5"/>
    <w:rsid w:val="00F96DC0"/>
    <w:rsid w:val="00FA018F"/>
    <w:rsid w:val="00FA2065"/>
    <w:rsid w:val="00FA282C"/>
    <w:rsid w:val="00FA2985"/>
    <w:rsid w:val="00FA3449"/>
    <w:rsid w:val="00FA35DD"/>
    <w:rsid w:val="00FA39F4"/>
    <w:rsid w:val="00FA401F"/>
    <w:rsid w:val="00FA47D8"/>
    <w:rsid w:val="00FA55B1"/>
    <w:rsid w:val="00FA5EE2"/>
    <w:rsid w:val="00FA690D"/>
    <w:rsid w:val="00FB041D"/>
    <w:rsid w:val="00FB0D62"/>
    <w:rsid w:val="00FB15B7"/>
    <w:rsid w:val="00FB2DD3"/>
    <w:rsid w:val="00FB2F74"/>
    <w:rsid w:val="00FB4FCB"/>
    <w:rsid w:val="00FB6C7E"/>
    <w:rsid w:val="00FB7760"/>
    <w:rsid w:val="00FB7ECF"/>
    <w:rsid w:val="00FC0714"/>
    <w:rsid w:val="00FC269D"/>
    <w:rsid w:val="00FC34FC"/>
    <w:rsid w:val="00FC351C"/>
    <w:rsid w:val="00FC3820"/>
    <w:rsid w:val="00FC4EE0"/>
    <w:rsid w:val="00FC59DE"/>
    <w:rsid w:val="00FC609D"/>
    <w:rsid w:val="00FC62ED"/>
    <w:rsid w:val="00FC735D"/>
    <w:rsid w:val="00FD06FF"/>
    <w:rsid w:val="00FD098F"/>
    <w:rsid w:val="00FD0D9C"/>
    <w:rsid w:val="00FD11C8"/>
    <w:rsid w:val="00FD179F"/>
    <w:rsid w:val="00FD2050"/>
    <w:rsid w:val="00FD27A4"/>
    <w:rsid w:val="00FD41E6"/>
    <w:rsid w:val="00FD45A0"/>
    <w:rsid w:val="00FD4920"/>
    <w:rsid w:val="00FD5E99"/>
    <w:rsid w:val="00FE05FE"/>
    <w:rsid w:val="00FE239D"/>
    <w:rsid w:val="00FE2A61"/>
    <w:rsid w:val="00FE33F5"/>
    <w:rsid w:val="00FE36DB"/>
    <w:rsid w:val="00FE4D4A"/>
    <w:rsid w:val="00FE5408"/>
    <w:rsid w:val="00FE54D5"/>
    <w:rsid w:val="00FE59A6"/>
    <w:rsid w:val="00FE5F84"/>
    <w:rsid w:val="00FE60A0"/>
    <w:rsid w:val="00FE68F9"/>
    <w:rsid w:val="00FF1450"/>
    <w:rsid w:val="00FF2B3B"/>
    <w:rsid w:val="00FF2D55"/>
    <w:rsid w:val="00FF3C72"/>
    <w:rsid w:val="00FF4258"/>
    <w:rsid w:val="00FF6933"/>
    <w:rsid w:val="00FF769B"/>
    <w:rsid w:val="00FF7779"/>
    <w:rsid w:val="00FF78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30DF"/>
  <w15:docId w15:val="{23E6DF94-82F3-0F4F-B05D-51DD1D23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1CD"/>
    <w:pPr>
      <w:spacing w:after="0" w:line="240" w:lineRule="auto"/>
    </w:pPr>
    <w:rPr>
      <w:rFonts w:ascii="Times New Roman" w:eastAsia="Times New Roman" w:hAnsi="Times New Roman" w:cs="Times New Roman"/>
      <w:sz w:val="24"/>
      <w:szCs w:val="24"/>
    </w:rPr>
  </w:style>
  <w:style w:type="paragraph" w:styleId="Heading1">
    <w:name w:val="heading 1"/>
    <w:basedOn w:val="p"/>
    <w:next w:val="Normal"/>
    <w:link w:val="Heading1Char"/>
    <w:uiPriority w:val="9"/>
    <w:qFormat/>
    <w:rsid w:val="00A944C3"/>
    <w:pPr>
      <w:keepNext/>
      <w:keepLines/>
      <w:spacing w:before="480" w:beforeAutospacing="0" w:after="0" w:afterAutospacing="0" w:line="480" w:lineRule="auto"/>
      <w:outlineLvl w:val="0"/>
    </w:pPr>
    <w:rPr>
      <w:rFonts w:eastAsia="Times New Roman"/>
      <w:b/>
      <w:sz w:val="22"/>
      <w:szCs w:val="22"/>
    </w:rPr>
  </w:style>
  <w:style w:type="paragraph" w:styleId="Heading2">
    <w:name w:val="heading 2"/>
    <w:basedOn w:val="Normal"/>
    <w:next w:val="Normal"/>
    <w:link w:val="Heading2Char"/>
    <w:uiPriority w:val="9"/>
    <w:unhideWhenUsed/>
    <w:qFormat/>
    <w:rsid w:val="000A73D2"/>
    <w:pPr>
      <w:keepNext/>
      <w:keepLines/>
      <w:spacing w:before="480" w:line="480" w:lineRule="auto"/>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link w:val="pChar"/>
    <w:rsid w:val="00C95E80"/>
    <w:pPr>
      <w:spacing w:before="100" w:beforeAutospacing="1" w:after="100" w:afterAutospacing="1"/>
    </w:pPr>
    <w:rPr>
      <w:rFonts w:eastAsiaTheme="minorEastAsia"/>
    </w:rPr>
  </w:style>
  <w:style w:type="character" w:customStyle="1" w:styleId="pChar">
    <w:name w:val="p Char"/>
    <w:basedOn w:val="DefaultParagraphFont"/>
    <w:link w:val="p"/>
    <w:rsid w:val="00C95E80"/>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944C3"/>
    <w:rPr>
      <w:rFonts w:ascii="Times New Roman" w:eastAsia="Times New Roman" w:hAnsi="Times New Roman" w:cs="Times New Roman"/>
      <w:b/>
    </w:rPr>
  </w:style>
  <w:style w:type="character" w:customStyle="1" w:styleId="Heading2Char">
    <w:name w:val="Heading 2 Char"/>
    <w:basedOn w:val="DefaultParagraphFont"/>
    <w:link w:val="Heading2"/>
    <w:uiPriority w:val="9"/>
    <w:rsid w:val="000A73D2"/>
    <w:rPr>
      <w:rFonts w:ascii="Times New Roman" w:eastAsia="Times New Roman" w:hAnsi="Times New Roman" w:cs="Times New Roman"/>
      <w:b/>
    </w:rPr>
  </w:style>
  <w:style w:type="paragraph" w:styleId="BodyText">
    <w:name w:val="Body Text"/>
    <w:basedOn w:val="Normal"/>
    <w:next w:val="Normal"/>
    <w:link w:val="BodyTextChar1"/>
    <w:uiPriority w:val="99"/>
    <w:rsid w:val="00AB0F5E"/>
    <w:pPr>
      <w:widowControl w:val="0"/>
      <w:autoSpaceDE w:val="0"/>
      <w:autoSpaceDN w:val="0"/>
      <w:adjustRightInd w:val="0"/>
      <w:spacing w:line="480" w:lineRule="auto"/>
    </w:pPr>
    <w:rPr>
      <w:rFonts w:eastAsiaTheme="minorHAnsi"/>
      <w:sz w:val="22"/>
      <w:szCs w:val="22"/>
    </w:rPr>
  </w:style>
  <w:style w:type="character" w:customStyle="1" w:styleId="BodyTextChar1">
    <w:name w:val="Body Text Char1"/>
    <w:link w:val="BodyText"/>
    <w:uiPriority w:val="99"/>
    <w:locked/>
    <w:rsid w:val="00AB0F5E"/>
    <w:rPr>
      <w:rFonts w:ascii="Times New Roman" w:hAnsi="Times New Roman" w:cs="Times New Roman"/>
    </w:rPr>
  </w:style>
  <w:style w:type="character" w:customStyle="1" w:styleId="BodyTextChar">
    <w:name w:val="Body Text Char"/>
    <w:basedOn w:val="DefaultParagraphFont"/>
    <w:uiPriority w:val="99"/>
    <w:semiHidden/>
    <w:rsid w:val="00AB0F5E"/>
    <w:rPr>
      <w:sz w:val="24"/>
      <w:szCs w:val="24"/>
    </w:rPr>
  </w:style>
  <w:style w:type="paragraph" w:styleId="BodyTextIndent">
    <w:name w:val="Body Text Indent"/>
    <w:basedOn w:val="Normal"/>
    <w:link w:val="BodyTextIndentChar"/>
    <w:uiPriority w:val="99"/>
    <w:rsid w:val="006B2E52"/>
    <w:pPr>
      <w:autoSpaceDE w:val="0"/>
      <w:autoSpaceDN w:val="0"/>
      <w:adjustRightInd w:val="0"/>
      <w:spacing w:line="480" w:lineRule="auto"/>
      <w:ind w:firstLine="720"/>
    </w:pPr>
    <w:rPr>
      <w:sz w:val="22"/>
      <w:szCs w:val="22"/>
    </w:rPr>
  </w:style>
  <w:style w:type="character" w:customStyle="1" w:styleId="BodyTextIndentChar">
    <w:name w:val="Body Text Indent Char"/>
    <w:basedOn w:val="DefaultParagraphFont"/>
    <w:link w:val="BodyTextIndent"/>
    <w:uiPriority w:val="99"/>
    <w:rsid w:val="006B2E52"/>
    <w:rPr>
      <w:rFonts w:ascii="Times New Roman" w:eastAsia="Times New Roman" w:hAnsi="Times New Roman" w:cs="Times New Roman"/>
    </w:rPr>
  </w:style>
  <w:style w:type="character" w:styleId="Emphasis">
    <w:name w:val="Emphasis"/>
    <w:basedOn w:val="DefaultParagraphFont"/>
    <w:uiPriority w:val="20"/>
    <w:qFormat/>
    <w:rsid w:val="00AB0F5E"/>
    <w:rPr>
      <w:i/>
      <w:iCs/>
    </w:rPr>
  </w:style>
  <w:style w:type="paragraph" w:customStyle="1" w:styleId="Callout">
    <w:name w:val="Callout"/>
    <w:basedOn w:val="Normal"/>
    <w:qFormat/>
    <w:rsid w:val="00AB0F5E"/>
    <w:pPr>
      <w:spacing w:before="120" w:after="360"/>
      <w:jc w:val="center"/>
    </w:pPr>
    <w:rPr>
      <w:rFonts w:eastAsiaTheme="minorHAnsi"/>
      <w:color w:val="000000" w:themeColor="text1"/>
      <w:sz w:val="22"/>
      <w:szCs w:val="22"/>
    </w:rPr>
  </w:style>
  <w:style w:type="character" w:styleId="CommentReference">
    <w:name w:val="annotation reference"/>
    <w:basedOn w:val="DefaultParagraphFont"/>
    <w:uiPriority w:val="99"/>
    <w:unhideWhenUsed/>
    <w:rsid w:val="006D221C"/>
    <w:rPr>
      <w:sz w:val="16"/>
      <w:szCs w:val="16"/>
    </w:rPr>
  </w:style>
  <w:style w:type="paragraph" w:styleId="CommentText">
    <w:name w:val="annotation text"/>
    <w:basedOn w:val="Normal"/>
    <w:link w:val="CommentTextChar"/>
    <w:uiPriority w:val="99"/>
    <w:unhideWhenUsed/>
    <w:rsid w:val="006D221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D221C"/>
    <w:rPr>
      <w:sz w:val="20"/>
      <w:szCs w:val="20"/>
    </w:rPr>
  </w:style>
  <w:style w:type="paragraph" w:styleId="CommentSubject">
    <w:name w:val="annotation subject"/>
    <w:basedOn w:val="CommentText"/>
    <w:next w:val="CommentText"/>
    <w:link w:val="CommentSubjectChar"/>
    <w:uiPriority w:val="99"/>
    <w:semiHidden/>
    <w:unhideWhenUsed/>
    <w:rsid w:val="006D221C"/>
    <w:rPr>
      <w:b/>
      <w:bCs/>
    </w:rPr>
  </w:style>
  <w:style w:type="character" w:customStyle="1" w:styleId="CommentSubjectChar">
    <w:name w:val="Comment Subject Char"/>
    <w:basedOn w:val="CommentTextChar"/>
    <w:link w:val="CommentSubject"/>
    <w:uiPriority w:val="99"/>
    <w:semiHidden/>
    <w:rsid w:val="006D221C"/>
    <w:rPr>
      <w:b/>
      <w:bCs/>
      <w:sz w:val="20"/>
      <w:szCs w:val="20"/>
    </w:rPr>
  </w:style>
  <w:style w:type="paragraph" w:styleId="BalloonText">
    <w:name w:val="Balloon Text"/>
    <w:basedOn w:val="Normal"/>
    <w:link w:val="BalloonTextChar"/>
    <w:uiPriority w:val="99"/>
    <w:semiHidden/>
    <w:unhideWhenUsed/>
    <w:rsid w:val="006D221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D221C"/>
    <w:rPr>
      <w:rFonts w:ascii="Segoe UI" w:hAnsi="Segoe UI" w:cs="Segoe UI"/>
      <w:sz w:val="18"/>
      <w:szCs w:val="18"/>
    </w:rPr>
  </w:style>
  <w:style w:type="paragraph" w:styleId="FootnoteText">
    <w:name w:val="footnote text"/>
    <w:basedOn w:val="Normal"/>
    <w:link w:val="FootnoteTextChar"/>
    <w:uiPriority w:val="99"/>
    <w:rsid w:val="001E6C9E"/>
    <w:pPr>
      <w:spacing w:before="240"/>
    </w:pPr>
    <w:rPr>
      <w:rFonts w:eastAsiaTheme="minorHAnsi"/>
      <w:sz w:val="20"/>
      <w:szCs w:val="20"/>
    </w:rPr>
  </w:style>
  <w:style w:type="character" w:customStyle="1" w:styleId="FootnoteTextChar">
    <w:name w:val="Footnote Text Char"/>
    <w:basedOn w:val="DefaultParagraphFont"/>
    <w:link w:val="FootnoteText"/>
    <w:uiPriority w:val="99"/>
    <w:rsid w:val="001E6C9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314D6"/>
    <w:rPr>
      <w:vertAlign w:val="superscript"/>
    </w:rPr>
  </w:style>
  <w:style w:type="character" w:styleId="EndnoteReference">
    <w:name w:val="endnote reference"/>
    <w:basedOn w:val="DefaultParagraphFont"/>
    <w:uiPriority w:val="99"/>
    <w:semiHidden/>
    <w:unhideWhenUsed/>
    <w:rsid w:val="00AB5085"/>
    <w:rPr>
      <w:vertAlign w:val="superscript"/>
    </w:rPr>
  </w:style>
  <w:style w:type="paragraph" w:styleId="NormalWeb">
    <w:name w:val="Normal (Web)"/>
    <w:basedOn w:val="Normal"/>
    <w:uiPriority w:val="99"/>
    <w:unhideWhenUsed/>
    <w:rsid w:val="00C95E80"/>
    <w:pPr>
      <w:spacing w:before="100" w:beforeAutospacing="1" w:after="100" w:afterAutospacing="1"/>
    </w:pPr>
    <w:rPr>
      <w:rFonts w:eastAsiaTheme="minorHAnsi"/>
    </w:rPr>
  </w:style>
  <w:style w:type="paragraph" w:styleId="Footer">
    <w:name w:val="footer"/>
    <w:basedOn w:val="Normal"/>
    <w:link w:val="FooterChar"/>
    <w:uiPriority w:val="99"/>
    <w:unhideWhenUsed/>
    <w:rsid w:val="00C95E80"/>
    <w:pPr>
      <w:tabs>
        <w:tab w:val="center" w:pos="4680"/>
        <w:tab w:val="right" w:pos="9360"/>
      </w:tabs>
      <w:ind w:right="360"/>
      <w:jc w:val="right"/>
    </w:pPr>
    <w:rPr>
      <w:rFonts w:eastAsiaTheme="minorHAnsi"/>
      <w:sz w:val="22"/>
      <w:szCs w:val="22"/>
    </w:rPr>
  </w:style>
  <w:style w:type="character" w:customStyle="1" w:styleId="FooterChar">
    <w:name w:val="Footer Char"/>
    <w:basedOn w:val="DefaultParagraphFont"/>
    <w:link w:val="Footer"/>
    <w:uiPriority w:val="99"/>
    <w:rsid w:val="00C95E80"/>
    <w:rPr>
      <w:rFonts w:ascii="Times New Roman" w:hAnsi="Times New Roman" w:cs="Times New Roman"/>
    </w:rPr>
  </w:style>
  <w:style w:type="character" w:styleId="Hyperlink">
    <w:name w:val="Hyperlink"/>
    <w:basedOn w:val="DefaultParagraphFont"/>
    <w:uiPriority w:val="99"/>
    <w:unhideWhenUsed/>
    <w:rsid w:val="00C95E80"/>
    <w:rPr>
      <w:color w:val="0563C1" w:themeColor="hyperlink"/>
      <w:u w:val="single"/>
    </w:rPr>
  </w:style>
  <w:style w:type="character" w:customStyle="1" w:styleId="current-selection">
    <w:name w:val="current-selection"/>
    <w:basedOn w:val="DefaultParagraphFont"/>
    <w:rsid w:val="00C95E80"/>
  </w:style>
  <w:style w:type="character" w:customStyle="1" w:styleId="enhanced-reference">
    <w:name w:val="enhanced-reference"/>
    <w:basedOn w:val="DefaultParagraphFont"/>
    <w:rsid w:val="00C95E80"/>
  </w:style>
  <w:style w:type="character" w:customStyle="1" w:styleId="apple-converted-space">
    <w:name w:val="apple-converted-space"/>
    <w:basedOn w:val="DefaultParagraphFont"/>
    <w:rsid w:val="00B51233"/>
  </w:style>
  <w:style w:type="paragraph" w:customStyle="1" w:styleId="EndNoteBibliography">
    <w:name w:val="EndNote Bibliography"/>
    <w:basedOn w:val="Normal"/>
    <w:link w:val="EndNoteBibliographyChar"/>
    <w:rsid w:val="00B51233"/>
    <w:pPr>
      <w:kinsoku w:val="0"/>
      <w:overflowPunct w:val="0"/>
      <w:autoSpaceDE w:val="0"/>
      <w:autoSpaceDN w:val="0"/>
      <w:adjustRightInd w:val="0"/>
      <w:snapToGrid w:val="0"/>
      <w:ind w:left="360" w:hanging="360"/>
    </w:pPr>
    <w:rPr>
      <w:rFonts w:eastAsiaTheme="minorEastAsia"/>
      <w:noProof/>
      <w:lang w:eastAsia="ja-JP"/>
    </w:rPr>
  </w:style>
  <w:style w:type="character" w:customStyle="1" w:styleId="EndNoteBibliographyChar">
    <w:name w:val="EndNote Bibliography Char"/>
    <w:basedOn w:val="pChar"/>
    <w:link w:val="EndNoteBibliography"/>
    <w:rsid w:val="00B51233"/>
    <w:rPr>
      <w:rFonts w:ascii="Times New Roman" w:eastAsiaTheme="minorEastAsia" w:hAnsi="Times New Roman" w:cs="Times New Roman"/>
      <w:noProof/>
      <w:sz w:val="24"/>
      <w:szCs w:val="24"/>
      <w:lang w:eastAsia="ja-JP"/>
    </w:rPr>
  </w:style>
  <w:style w:type="paragraph" w:styleId="Revision">
    <w:name w:val="Revision"/>
    <w:hidden/>
    <w:uiPriority w:val="99"/>
    <w:semiHidden/>
    <w:rsid w:val="00031F2F"/>
    <w:pPr>
      <w:spacing w:after="0" w:line="240" w:lineRule="auto"/>
    </w:pPr>
    <w:rPr>
      <w:sz w:val="24"/>
      <w:szCs w:val="24"/>
    </w:rPr>
  </w:style>
  <w:style w:type="paragraph" w:styleId="Header">
    <w:name w:val="header"/>
    <w:basedOn w:val="Normal"/>
    <w:link w:val="HeaderChar"/>
    <w:uiPriority w:val="99"/>
    <w:unhideWhenUsed/>
    <w:rsid w:val="001729A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29A6"/>
    <w:rPr>
      <w:sz w:val="24"/>
      <w:szCs w:val="24"/>
    </w:rPr>
  </w:style>
  <w:style w:type="paragraph" w:styleId="ListParagraph">
    <w:name w:val="List Paragraph"/>
    <w:basedOn w:val="Normal"/>
    <w:uiPriority w:val="34"/>
    <w:qFormat/>
    <w:rsid w:val="006A327F"/>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55C68"/>
    <w:rPr>
      <w:color w:val="954F72" w:themeColor="followedHyperlink"/>
      <w:u w:val="single"/>
    </w:rPr>
  </w:style>
  <w:style w:type="paragraph" w:customStyle="1" w:styleId="Hypothesis">
    <w:name w:val="Hypothesis"/>
    <w:basedOn w:val="p"/>
    <w:qFormat/>
    <w:rsid w:val="00506B01"/>
    <w:pPr>
      <w:spacing w:before="120" w:beforeAutospacing="0" w:after="360" w:afterAutospacing="0"/>
      <w:ind w:left="720"/>
    </w:pPr>
    <w:rPr>
      <w:rFonts w:eastAsia="Times New Roman"/>
      <w:i/>
      <w:sz w:val="22"/>
      <w:szCs w:val="22"/>
    </w:rPr>
  </w:style>
  <w:style w:type="paragraph" w:customStyle="1" w:styleId="Heading2A">
    <w:name w:val="Heading 2A"/>
    <w:basedOn w:val="Heading2"/>
    <w:qFormat/>
    <w:rsid w:val="006756E9"/>
    <w:pPr>
      <w:spacing w:before="0"/>
    </w:pPr>
  </w:style>
  <w:style w:type="character" w:styleId="BookTitle">
    <w:name w:val="Book Title"/>
    <w:basedOn w:val="DefaultParagraphFont"/>
    <w:uiPriority w:val="33"/>
    <w:qFormat/>
    <w:rsid w:val="00AC3D68"/>
    <w:rPr>
      <w:b/>
      <w:bCs/>
      <w:smallCaps/>
      <w:spacing w:val="5"/>
    </w:rPr>
  </w:style>
  <w:style w:type="paragraph" w:styleId="Title">
    <w:name w:val="Title"/>
    <w:basedOn w:val="Normal"/>
    <w:next w:val="Normal"/>
    <w:link w:val="TitleChar"/>
    <w:uiPriority w:val="10"/>
    <w:qFormat/>
    <w:rsid w:val="00BE0D13"/>
    <w:pPr>
      <w:jc w:val="center"/>
    </w:pPr>
    <w:rPr>
      <w:b/>
      <w:sz w:val="22"/>
      <w:szCs w:val="22"/>
    </w:rPr>
  </w:style>
  <w:style w:type="character" w:customStyle="1" w:styleId="TitleChar">
    <w:name w:val="Title Char"/>
    <w:basedOn w:val="DefaultParagraphFont"/>
    <w:link w:val="Title"/>
    <w:uiPriority w:val="10"/>
    <w:rsid w:val="00BE0D13"/>
    <w:rPr>
      <w:rFonts w:ascii="Times New Roman" w:eastAsia="Times New Roman" w:hAnsi="Times New Roman" w:cs="Times New Roman"/>
      <w:b/>
    </w:rPr>
  </w:style>
  <w:style w:type="paragraph" w:customStyle="1" w:styleId="TableCaption">
    <w:name w:val="Table Caption"/>
    <w:basedOn w:val="BodyTextIndent"/>
    <w:qFormat/>
    <w:rsid w:val="002F4AD2"/>
    <w:pPr>
      <w:keepNext/>
      <w:keepLines/>
      <w:ind w:firstLine="0"/>
      <w:outlineLvl w:val="1"/>
    </w:pPr>
  </w:style>
  <w:style w:type="paragraph" w:styleId="HTMLPreformatted">
    <w:name w:val="HTML Preformatted"/>
    <w:basedOn w:val="Normal"/>
    <w:link w:val="HTMLPreformattedChar"/>
    <w:uiPriority w:val="99"/>
    <w:unhideWhenUsed/>
    <w:rsid w:val="00783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83BCB"/>
    <w:rPr>
      <w:rFonts w:ascii="Courier New" w:eastAsia="Times New Roman" w:hAnsi="Courier New" w:cs="Courier New"/>
      <w:sz w:val="20"/>
      <w:szCs w:val="20"/>
    </w:rPr>
  </w:style>
  <w:style w:type="character" w:customStyle="1" w:styleId="publicationtitle">
    <w:name w:val="publicationtitle"/>
    <w:basedOn w:val="DefaultParagraphFont"/>
    <w:rsid w:val="003C686A"/>
  </w:style>
  <w:style w:type="character" w:customStyle="1" w:styleId="journaltitle">
    <w:name w:val="journaltitle"/>
    <w:basedOn w:val="DefaultParagraphFont"/>
    <w:rsid w:val="003C686A"/>
  </w:style>
  <w:style w:type="paragraph" w:customStyle="1" w:styleId="ReferenceListEntry">
    <w:name w:val="Reference List Entry"/>
    <w:basedOn w:val="Normal"/>
    <w:qFormat/>
    <w:rsid w:val="00472D2A"/>
    <w:pPr>
      <w:spacing w:after="200" w:line="276" w:lineRule="auto"/>
    </w:pPr>
    <w:rPr>
      <w:rFonts w:eastAsiaTheme="minorEastAsia"/>
      <w:sz w:val="22"/>
      <w:szCs w:val="22"/>
    </w:rPr>
  </w:style>
  <w:style w:type="character" w:styleId="PlaceholderText">
    <w:name w:val="Placeholder Text"/>
    <w:basedOn w:val="DefaultParagraphFont"/>
    <w:uiPriority w:val="99"/>
    <w:semiHidden/>
    <w:rsid w:val="003E700E"/>
    <w:rPr>
      <w:color w:val="808080"/>
    </w:rPr>
  </w:style>
  <w:style w:type="character" w:styleId="Strong">
    <w:name w:val="Strong"/>
    <w:basedOn w:val="DefaultParagraphFont"/>
    <w:uiPriority w:val="22"/>
    <w:qFormat/>
    <w:rsid w:val="00D95F9F"/>
    <w:rPr>
      <w:b/>
      <w:bCs/>
    </w:rPr>
  </w:style>
  <w:style w:type="character" w:styleId="PageNumber">
    <w:name w:val="page number"/>
    <w:basedOn w:val="DefaultParagraphFont"/>
    <w:uiPriority w:val="99"/>
    <w:semiHidden/>
    <w:unhideWhenUsed/>
    <w:rsid w:val="00085268"/>
  </w:style>
  <w:style w:type="paragraph" w:customStyle="1" w:styleId="s3">
    <w:name w:val="s3"/>
    <w:basedOn w:val="Normal"/>
    <w:rsid w:val="00443EE4"/>
    <w:pPr>
      <w:spacing w:before="100" w:beforeAutospacing="1" w:after="100" w:afterAutospacing="1"/>
    </w:pPr>
  </w:style>
  <w:style w:type="character" w:customStyle="1" w:styleId="s4">
    <w:name w:val="s4"/>
    <w:basedOn w:val="DefaultParagraphFont"/>
    <w:rsid w:val="0044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3600">
      <w:bodyDiv w:val="1"/>
      <w:marLeft w:val="0"/>
      <w:marRight w:val="0"/>
      <w:marTop w:val="0"/>
      <w:marBottom w:val="0"/>
      <w:divBdr>
        <w:top w:val="none" w:sz="0" w:space="0" w:color="auto"/>
        <w:left w:val="none" w:sz="0" w:space="0" w:color="auto"/>
        <w:bottom w:val="none" w:sz="0" w:space="0" w:color="auto"/>
        <w:right w:val="none" w:sz="0" w:space="0" w:color="auto"/>
      </w:divBdr>
    </w:div>
    <w:div w:id="54552080">
      <w:bodyDiv w:val="1"/>
      <w:marLeft w:val="0"/>
      <w:marRight w:val="0"/>
      <w:marTop w:val="0"/>
      <w:marBottom w:val="0"/>
      <w:divBdr>
        <w:top w:val="none" w:sz="0" w:space="0" w:color="auto"/>
        <w:left w:val="none" w:sz="0" w:space="0" w:color="auto"/>
        <w:bottom w:val="none" w:sz="0" w:space="0" w:color="auto"/>
        <w:right w:val="none" w:sz="0" w:space="0" w:color="auto"/>
      </w:divBdr>
    </w:div>
    <w:div w:id="66850731">
      <w:bodyDiv w:val="1"/>
      <w:marLeft w:val="0"/>
      <w:marRight w:val="0"/>
      <w:marTop w:val="0"/>
      <w:marBottom w:val="0"/>
      <w:divBdr>
        <w:top w:val="none" w:sz="0" w:space="0" w:color="auto"/>
        <w:left w:val="none" w:sz="0" w:space="0" w:color="auto"/>
        <w:bottom w:val="none" w:sz="0" w:space="0" w:color="auto"/>
        <w:right w:val="none" w:sz="0" w:space="0" w:color="auto"/>
      </w:divBdr>
    </w:div>
    <w:div w:id="109208743">
      <w:bodyDiv w:val="1"/>
      <w:marLeft w:val="0"/>
      <w:marRight w:val="0"/>
      <w:marTop w:val="0"/>
      <w:marBottom w:val="0"/>
      <w:divBdr>
        <w:top w:val="none" w:sz="0" w:space="0" w:color="auto"/>
        <w:left w:val="none" w:sz="0" w:space="0" w:color="auto"/>
        <w:bottom w:val="none" w:sz="0" w:space="0" w:color="auto"/>
        <w:right w:val="none" w:sz="0" w:space="0" w:color="auto"/>
      </w:divBdr>
    </w:div>
    <w:div w:id="110049859">
      <w:bodyDiv w:val="1"/>
      <w:marLeft w:val="0"/>
      <w:marRight w:val="0"/>
      <w:marTop w:val="0"/>
      <w:marBottom w:val="0"/>
      <w:divBdr>
        <w:top w:val="none" w:sz="0" w:space="0" w:color="auto"/>
        <w:left w:val="none" w:sz="0" w:space="0" w:color="auto"/>
        <w:bottom w:val="none" w:sz="0" w:space="0" w:color="auto"/>
        <w:right w:val="none" w:sz="0" w:space="0" w:color="auto"/>
      </w:divBdr>
    </w:div>
    <w:div w:id="206915037">
      <w:bodyDiv w:val="1"/>
      <w:marLeft w:val="0"/>
      <w:marRight w:val="0"/>
      <w:marTop w:val="0"/>
      <w:marBottom w:val="0"/>
      <w:divBdr>
        <w:top w:val="none" w:sz="0" w:space="0" w:color="auto"/>
        <w:left w:val="none" w:sz="0" w:space="0" w:color="auto"/>
        <w:bottom w:val="none" w:sz="0" w:space="0" w:color="auto"/>
        <w:right w:val="none" w:sz="0" w:space="0" w:color="auto"/>
      </w:divBdr>
    </w:div>
    <w:div w:id="208693627">
      <w:bodyDiv w:val="1"/>
      <w:marLeft w:val="0"/>
      <w:marRight w:val="0"/>
      <w:marTop w:val="0"/>
      <w:marBottom w:val="0"/>
      <w:divBdr>
        <w:top w:val="none" w:sz="0" w:space="0" w:color="auto"/>
        <w:left w:val="none" w:sz="0" w:space="0" w:color="auto"/>
        <w:bottom w:val="none" w:sz="0" w:space="0" w:color="auto"/>
        <w:right w:val="none" w:sz="0" w:space="0" w:color="auto"/>
      </w:divBdr>
    </w:div>
    <w:div w:id="259679692">
      <w:bodyDiv w:val="1"/>
      <w:marLeft w:val="0"/>
      <w:marRight w:val="0"/>
      <w:marTop w:val="0"/>
      <w:marBottom w:val="0"/>
      <w:divBdr>
        <w:top w:val="none" w:sz="0" w:space="0" w:color="auto"/>
        <w:left w:val="none" w:sz="0" w:space="0" w:color="auto"/>
        <w:bottom w:val="none" w:sz="0" w:space="0" w:color="auto"/>
        <w:right w:val="none" w:sz="0" w:space="0" w:color="auto"/>
      </w:divBdr>
    </w:div>
    <w:div w:id="283389859">
      <w:bodyDiv w:val="1"/>
      <w:marLeft w:val="0"/>
      <w:marRight w:val="0"/>
      <w:marTop w:val="0"/>
      <w:marBottom w:val="0"/>
      <w:divBdr>
        <w:top w:val="none" w:sz="0" w:space="0" w:color="auto"/>
        <w:left w:val="none" w:sz="0" w:space="0" w:color="auto"/>
        <w:bottom w:val="none" w:sz="0" w:space="0" w:color="auto"/>
        <w:right w:val="none" w:sz="0" w:space="0" w:color="auto"/>
      </w:divBdr>
    </w:div>
    <w:div w:id="362829499">
      <w:bodyDiv w:val="1"/>
      <w:marLeft w:val="0"/>
      <w:marRight w:val="0"/>
      <w:marTop w:val="0"/>
      <w:marBottom w:val="0"/>
      <w:divBdr>
        <w:top w:val="none" w:sz="0" w:space="0" w:color="auto"/>
        <w:left w:val="none" w:sz="0" w:space="0" w:color="auto"/>
        <w:bottom w:val="none" w:sz="0" w:space="0" w:color="auto"/>
        <w:right w:val="none" w:sz="0" w:space="0" w:color="auto"/>
      </w:divBdr>
    </w:div>
    <w:div w:id="446433479">
      <w:bodyDiv w:val="1"/>
      <w:marLeft w:val="0"/>
      <w:marRight w:val="0"/>
      <w:marTop w:val="0"/>
      <w:marBottom w:val="0"/>
      <w:divBdr>
        <w:top w:val="none" w:sz="0" w:space="0" w:color="auto"/>
        <w:left w:val="none" w:sz="0" w:space="0" w:color="auto"/>
        <w:bottom w:val="none" w:sz="0" w:space="0" w:color="auto"/>
        <w:right w:val="none" w:sz="0" w:space="0" w:color="auto"/>
      </w:divBdr>
    </w:div>
    <w:div w:id="492110573">
      <w:bodyDiv w:val="1"/>
      <w:marLeft w:val="0"/>
      <w:marRight w:val="0"/>
      <w:marTop w:val="0"/>
      <w:marBottom w:val="0"/>
      <w:divBdr>
        <w:top w:val="none" w:sz="0" w:space="0" w:color="auto"/>
        <w:left w:val="none" w:sz="0" w:space="0" w:color="auto"/>
        <w:bottom w:val="none" w:sz="0" w:space="0" w:color="auto"/>
        <w:right w:val="none" w:sz="0" w:space="0" w:color="auto"/>
      </w:divBdr>
    </w:div>
    <w:div w:id="549000703">
      <w:bodyDiv w:val="1"/>
      <w:marLeft w:val="0"/>
      <w:marRight w:val="0"/>
      <w:marTop w:val="0"/>
      <w:marBottom w:val="0"/>
      <w:divBdr>
        <w:top w:val="none" w:sz="0" w:space="0" w:color="auto"/>
        <w:left w:val="none" w:sz="0" w:space="0" w:color="auto"/>
        <w:bottom w:val="none" w:sz="0" w:space="0" w:color="auto"/>
        <w:right w:val="none" w:sz="0" w:space="0" w:color="auto"/>
      </w:divBdr>
    </w:div>
    <w:div w:id="557204124">
      <w:bodyDiv w:val="1"/>
      <w:marLeft w:val="0"/>
      <w:marRight w:val="0"/>
      <w:marTop w:val="0"/>
      <w:marBottom w:val="0"/>
      <w:divBdr>
        <w:top w:val="none" w:sz="0" w:space="0" w:color="auto"/>
        <w:left w:val="none" w:sz="0" w:space="0" w:color="auto"/>
        <w:bottom w:val="none" w:sz="0" w:space="0" w:color="auto"/>
        <w:right w:val="none" w:sz="0" w:space="0" w:color="auto"/>
      </w:divBdr>
      <w:divsChild>
        <w:div w:id="133996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66240">
              <w:marLeft w:val="0"/>
              <w:marRight w:val="0"/>
              <w:marTop w:val="0"/>
              <w:marBottom w:val="0"/>
              <w:divBdr>
                <w:top w:val="none" w:sz="0" w:space="0" w:color="auto"/>
                <w:left w:val="none" w:sz="0" w:space="0" w:color="auto"/>
                <w:bottom w:val="none" w:sz="0" w:space="0" w:color="auto"/>
                <w:right w:val="none" w:sz="0" w:space="0" w:color="auto"/>
              </w:divBdr>
              <w:divsChild>
                <w:div w:id="18235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116870">
      <w:bodyDiv w:val="1"/>
      <w:marLeft w:val="0"/>
      <w:marRight w:val="0"/>
      <w:marTop w:val="0"/>
      <w:marBottom w:val="0"/>
      <w:divBdr>
        <w:top w:val="none" w:sz="0" w:space="0" w:color="auto"/>
        <w:left w:val="none" w:sz="0" w:space="0" w:color="auto"/>
        <w:bottom w:val="none" w:sz="0" w:space="0" w:color="auto"/>
        <w:right w:val="none" w:sz="0" w:space="0" w:color="auto"/>
      </w:divBdr>
    </w:div>
    <w:div w:id="611286435">
      <w:bodyDiv w:val="1"/>
      <w:marLeft w:val="0"/>
      <w:marRight w:val="0"/>
      <w:marTop w:val="0"/>
      <w:marBottom w:val="0"/>
      <w:divBdr>
        <w:top w:val="none" w:sz="0" w:space="0" w:color="auto"/>
        <w:left w:val="none" w:sz="0" w:space="0" w:color="auto"/>
        <w:bottom w:val="none" w:sz="0" w:space="0" w:color="auto"/>
        <w:right w:val="none" w:sz="0" w:space="0" w:color="auto"/>
      </w:divBdr>
    </w:div>
    <w:div w:id="691343164">
      <w:bodyDiv w:val="1"/>
      <w:marLeft w:val="0"/>
      <w:marRight w:val="0"/>
      <w:marTop w:val="0"/>
      <w:marBottom w:val="0"/>
      <w:divBdr>
        <w:top w:val="none" w:sz="0" w:space="0" w:color="auto"/>
        <w:left w:val="none" w:sz="0" w:space="0" w:color="auto"/>
        <w:bottom w:val="none" w:sz="0" w:space="0" w:color="auto"/>
        <w:right w:val="none" w:sz="0" w:space="0" w:color="auto"/>
      </w:divBdr>
    </w:div>
    <w:div w:id="780952190">
      <w:bodyDiv w:val="1"/>
      <w:marLeft w:val="0"/>
      <w:marRight w:val="0"/>
      <w:marTop w:val="0"/>
      <w:marBottom w:val="0"/>
      <w:divBdr>
        <w:top w:val="none" w:sz="0" w:space="0" w:color="auto"/>
        <w:left w:val="none" w:sz="0" w:space="0" w:color="auto"/>
        <w:bottom w:val="none" w:sz="0" w:space="0" w:color="auto"/>
        <w:right w:val="none" w:sz="0" w:space="0" w:color="auto"/>
      </w:divBdr>
      <w:divsChild>
        <w:div w:id="155565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933803">
              <w:marLeft w:val="0"/>
              <w:marRight w:val="0"/>
              <w:marTop w:val="0"/>
              <w:marBottom w:val="0"/>
              <w:divBdr>
                <w:top w:val="none" w:sz="0" w:space="0" w:color="auto"/>
                <w:left w:val="none" w:sz="0" w:space="0" w:color="auto"/>
                <w:bottom w:val="none" w:sz="0" w:space="0" w:color="auto"/>
                <w:right w:val="none" w:sz="0" w:space="0" w:color="auto"/>
              </w:divBdr>
              <w:divsChild>
                <w:div w:id="835076442">
                  <w:marLeft w:val="0"/>
                  <w:marRight w:val="0"/>
                  <w:marTop w:val="0"/>
                  <w:marBottom w:val="0"/>
                  <w:divBdr>
                    <w:top w:val="none" w:sz="0" w:space="0" w:color="auto"/>
                    <w:left w:val="none" w:sz="0" w:space="0" w:color="auto"/>
                    <w:bottom w:val="none" w:sz="0" w:space="0" w:color="auto"/>
                    <w:right w:val="none" w:sz="0" w:space="0" w:color="auto"/>
                  </w:divBdr>
                  <w:divsChild>
                    <w:div w:id="928734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763814">
                          <w:marLeft w:val="0"/>
                          <w:marRight w:val="0"/>
                          <w:marTop w:val="0"/>
                          <w:marBottom w:val="0"/>
                          <w:divBdr>
                            <w:top w:val="none" w:sz="0" w:space="0" w:color="auto"/>
                            <w:left w:val="none" w:sz="0" w:space="0" w:color="auto"/>
                            <w:bottom w:val="none" w:sz="0" w:space="0" w:color="auto"/>
                            <w:right w:val="none" w:sz="0" w:space="0" w:color="auto"/>
                          </w:divBdr>
                          <w:divsChild>
                            <w:div w:id="1856848220">
                              <w:marLeft w:val="0"/>
                              <w:marRight w:val="0"/>
                              <w:marTop w:val="0"/>
                              <w:marBottom w:val="0"/>
                              <w:divBdr>
                                <w:top w:val="none" w:sz="0" w:space="0" w:color="auto"/>
                                <w:left w:val="none" w:sz="0" w:space="0" w:color="auto"/>
                                <w:bottom w:val="none" w:sz="0" w:space="0" w:color="auto"/>
                                <w:right w:val="none" w:sz="0" w:space="0" w:color="auto"/>
                              </w:divBdr>
                              <w:divsChild>
                                <w:div w:id="1645768508">
                                  <w:marLeft w:val="0"/>
                                  <w:marRight w:val="0"/>
                                  <w:marTop w:val="0"/>
                                  <w:marBottom w:val="0"/>
                                  <w:divBdr>
                                    <w:top w:val="none" w:sz="0" w:space="0" w:color="auto"/>
                                    <w:left w:val="none" w:sz="0" w:space="0" w:color="auto"/>
                                    <w:bottom w:val="none" w:sz="0" w:space="0" w:color="auto"/>
                                    <w:right w:val="none" w:sz="0" w:space="0" w:color="auto"/>
                                  </w:divBdr>
                                  <w:divsChild>
                                    <w:div w:id="13518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705032">
      <w:bodyDiv w:val="1"/>
      <w:marLeft w:val="0"/>
      <w:marRight w:val="0"/>
      <w:marTop w:val="0"/>
      <w:marBottom w:val="0"/>
      <w:divBdr>
        <w:top w:val="none" w:sz="0" w:space="0" w:color="auto"/>
        <w:left w:val="none" w:sz="0" w:space="0" w:color="auto"/>
        <w:bottom w:val="none" w:sz="0" w:space="0" w:color="auto"/>
        <w:right w:val="none" w:sz="0" w:space="0" w:color="auto"/>
      </w:divBdr>
    </w:div>
    <w:div w:id="891698444">
      <w:bodyDiv w:val="1"/>
      <w:marLeft w:val="0"/>
      <w:marRight w:val="0"/>
      <w:marTop w:val="0"/>
      <w:marBottom w:val="0"/>
      <w:divBdr>
        <w:top w:val="none" w:sz="0" w:space="0" w:color="auto"/>
        <w:left w:val="none" w:sz="0" w:space="0" w:color="auto"/>
        <w:bottom w:val="none" w:sz="0" w:space="0" w:color="auto"/>
        <w:right w:val="none" w:sz="0" w:space="0" w:color="auto"/>
      </w:divBdr>
    </w:div>
    <w:div w:id="932859720">
      <w:bodyDiv w:val="1"/>
      <w:marLeft w:val="0"/>
      <w:marRight w:val="0"/>
      <w:marTop w:val="0"/>
      <w:marBottom w:val="0"/>
      <w:divBdr>
        <w:top w:val="none" w:sz="0" w:space="0" w:color="auto"/>
        <w:left w:val="none" w:sz="0" w:space="0" w:color="auto"/>
        <w:bottom w:val="none" w:sz="0" w:space="0" w:color="auto"/>
        <w:right w:val="none" w:sz="0" w:space="0" w:color="auto"/>
      </w:divBdr>
    </w:div>
    <w:div w:id="940912268">
      <w:bodyDiv w:val="1"/>
      <w:marLeft w:val="0"/>
      <w:marRight w:val="0"/>
      <w:marTop w:val="0"/>
      <w:marBottom w:val="0"/>
      <w:divBdr>
        <w:top w:val="none" w:sz="0" w:space="0" w:color="auto"/>
        <w:left w:val="none" w:sz="0" w:space="0" w:color="auto"/>
        <w:bottom w:val="none" w:sz="0" w:space="0" w:color="auto"/>
        <w:right w:val="none" w:sz="0" w:space="0" w:color="auto"/>
      </w:divBdr>
    </w:div>
    <w:div w:id="1001203293">
      <w:bodyDiv w:val="1"/>
      <w:marLeft w:val="0"/>
      <w:marRight w:val="0"/>
      <w:marTop w:val="0"/>
      <w:marBottom w:val="0"/>
      <w:divBdr>
        <w:top w:val="none" w:sz="0" w:space="0" w:color="auto"/>
        <w:left w:val="none" w:sz="0" w:space="0" w:color="auto"/>
        <w:bottom w:val="none" w:sz="0" w:space="0" w:color="auto"/>
        <w:right w:val="none" w:sz="0" w:space="0" w:color="auto"/>
      </w:divBdr>
    </w:div>
    <w:div w:id="1031102554">
      <w:bodyDiv w:val="1"/>
      <w:marLeft w:val="0"/>
      <w:marRight w:val="0"/>
      <w:marTop w:val="0"/>
      <w:marBottom w:val="0"/>
      <w:divBdr>
        <w:top w:val="none" w:sz="0" w:space="0" w:color="auto"/>
        <w:left w:val="none" w:sz="0" w:space="0" w:color="auto"/>
        <w:bottom w:val="none" w:sz="0" w:space="0" w:color="auto"/>
        <w:right w:val="none" w:sz="0" w:space="0" w:color="auto"/>
      </w:divBdr>
    </w:div>
    <w:div w:id="1043678765">
      <w:bodyDiv w:val="1"/>
      <w:marLeft w:val="0"/>
      <w:marRight w:val="0"/>
      <w:marTop w:val="0"/>
      <w:marBottom w:val="0"/>
      <w:divBdr>
        <w:top w:val="none" w:sz="0" w:space="0" w:color="auto"/>
        <w:left w:val="none" w:sz="0" w:space="0" w:color="auto"/>
        <w:bottom w:val="none" w:sz="0" w:space="0" w:color="auto"/>
        <w:right w:val="none" w:sz="0" w:space="0" w:color="auto"/>
      </w:divBdr>
    </w:div>
    <w:div w:id="1047685154">
      <w:bodyDiv w:val="1"/>
      <w:marLeft w:val="0"/>
      <w:marRight w:val="0"/>
      <w:marTop w:val="0"/>
      <w:marBottom w:val="0"/>
      <w:divBdr>
        <w:top w:val="none" w:sz="0" w:space="0" w:color="auto"/>
        <w:left w:val="none" w:sz="0" w:space="0" w:color="auto"/>
        <w:bottom w:val="none" w:sz="0" w:space="0" w:color="auto"/>
        <w:right w:val="none" w:sz="0" w:space="0" w:color="auto"/>
      </w:divBdr>
    </w:div>
    <w:div w:id="1088162114">
      <w:bodyDiv w:val="1"/>
      <w:marLeft w:val="0"/>
      <w:marRight w:val="0"/>
      <w:marTop w:val="0"/>
      <w:marBottom w:val="0"/>
      <w:divBdr>
        <w:top w:val="none" w:sz="0" w:space="0" w:color="auto"/>
        <w:left w:val="none" w:sz="0" w:space="0" w:color="auto"/>
        <w:bottom w:val="none" w:sz="0" w:space="0" w:color="auto"/>
        <w:right w:val="none" w:sz="0" w:space="0" w:color="auto"/>
      </w:divBdr>
    </w:div>
    <w:div w:id="1105879507">
      <w:bodyDiv w:val="1"/>
      <w:marLeft w:val="0"/>
      <w:marRight w:val="0"/>
      <w:marTop w:val="0"/>
      <w:marBottom w:val="0"/>
      <w:divBdr>
        <w:top w:val="none" w:sz="0" w:space="0" w:color="auto"/>
        <w:left w:val="none" w:sz="0" w:space="0" w:color="auto"/>
        <w:bottom w:val="none" w:sz="0" w:space="0" w:color="auto"/>
        <w:right w:val="none" w:sz="0" w:space="0" w:color="auto"/>
      </w:divBdr>
      <w:divsChild>
        <w:div w:id="100996845">
          <w:marLeft w:val="0"/>
          <w:marRight w:val="0"/>
          <w:marTop w:val="0"/>
          <w:marBottom w:val="0"/>
          <w:divBdr>
            <w:top w:val="none" w:sz="0" w:space="0" w:color="auto"/>
            <w:left w:val="none" w:sz="0" w:space="0" w:color="auto"/>
            <w:bottom w:val="none" w:sz="0" w:space="0" w:color="auto"/>
            <w:right w:val="none" w:sz="0" w:space="0" w:color="auto"/>
          </w:divBdr>
        </w:div>
        <w:div w:id="203058293">
          <w:marLeft w:val="0"/>
          <w:marRight w:val="0"/>
          <w:marTop w:val="0"/>
          <w:marBottom w:val="0"/>
          <w:divBdr>
            <w:top w:val="none" w:sz="0" w:space="0" w:color="auto"/>
            <w:left w:val="none" w:sz="0" w:space="0" w:color="auto"/>
            <w:bottom w:val="none" w:sz="0" w:space="0" w:color="auto"/>
            <w:right w:val="none" w:sz="0" w:space="0" w:color="auto"/>
          </w:divBdr>
        </w:div>
        <w:div w:id="242182775">
          <w:marLeft w:val="0"/>
          <w:marRight w:val="0"/>
          <w:marTop w:val="0"/>
          <w:marBottom w:val="0"/>
          <w:divBdr>
            <w:top w:val="none" w:sz="0" w:space="0" w:color="auto"/>
            <w:left w:val="none" w:sz="0" w:space="0" w:color="auto"/>
            <w:bottom w:val="none" w:sz="0" w:space="0" w:color="auto"/>
            <w:right w:val="none" w:sz="0" w:space="0" w:color="auto"/>
          </w:divBdr>
        </w:div>
        <w:div w:id="257061083">
          <w:marLeft w:val="0"/>
          <w:marRight w:val="0"/>
          <w:marTop w:val="0"/>
          <w:marBottom w:val="0"/>
          <w:divBdr>
            <w:top w:val="none" w:sz="0" w:space="0" w:color="auto"/>
            <w:left w:val="none" w:sz="0" w:space="0" w:color="auto"/>
            <w:bottom w:val="none" w:sz="0" w:space="0" w:color="auto"/>
            <w:right w:val="none" w:sz="0" w:space="0" w:color="auto"/>
          </w:divBdr>
        </w:div>
        <w:div w:id="364674470">
          <w:marLeft w:val="0"/>
          <w:marRight w:val="0"/>
          <w:marTop w:val="0"/>
          <w:marBottom w:val="0"/>
          <w:divBdr>
            <w:top w:val="none" w:sz="0" w:space="0" w:color="auto"/>
            <w:left w:val="none" w:sz="0" w:space="0" w:color="auto"/>
            <w:bottom w:val="none" w:sz="0" w:space="0" w:color="auto"/>
            <w:right w:val="none" w:sz="0" w:space="0" w:color="auto"/>
          </w:divBdr>
        </w:div>
        <w:div w:id="376010924">
          <w:marLeft w:val="0"/>
          <w:marRight w:val="0"/>
          <w:marTop w:val="0"/>
          <w:marBottom w:val="0"/>
          <w:divBdr>
            <w:top w:val="none" w:sz="0" w:space="0" w:color="auto"/>
            <w:left w:val="none" w:sz="0" w:space="0" w:color="auto"/>
            <w:bottom w:val="none" w:sz="0" w:space="0" w:color="auto"/>
            <w:right w:val="none" w:sz="0" w:space="0" w:color="auto"/>
          </w:divBdr>
        </w:div>
        <w:div w:id="475031366">
          <w:marLeft w:val="0"/>
          <w:marRight w:val="0"/>
          <w:marTop w:val="0"/>
          <w:marBottom w:val="0"/>
          <w:divBdr>
            <w:top w:val="none" w:sz="0" w:space="0" w:color="auto"/>
            <w:left w:val="none" w:sz="0" w:space="0" w:color="auto"/>
            <w:bottom w:val="none" w:sz="0" w:space="0" w:color="auto"/>
            <w:right w:val="none" w:sz="0" w:space="0" w:color="auto"/>
          </w:divBdr>
        </w:div>
        <w:div w:id="500001250">
          <w:marLeft w:val="0"/>
          <w:marRight w:val="0"/>
          <w:marTop w:val="0"/>
          <w:marBottom w:val="0"/>
          <w:divBdr>
            <w:top w:val="none" w:sz="0" w:space="0" w:color="auto"/>
            <w:left w:val="none" w:sz="0" w:space="0" w:color="auto"/>
            <w:bottom w:val="none" w:sz="0" w:space="0" w:color="auto"/>
            <w:right w:val="none" w:sz="0" w:space="0" w:color="auto"/>
          </w:divBdr>
        </w:div>
        <w:div w:id="586161153">
          <w:marLeft w:val="0"/>
          <w:marRight w:val="0"/>
          <w:marTop w:val="0"/>
          <w:marBottom w:val="0"/>
          <w:divBdr>
            <w:top w:val="none" w:sz="0" w:space="0" w:color="auto"/>
            <w:left w:val="none" w:sz="0" w:space="0" w:color="auto"/>
            <w:bottom w:val="none" w:sz="0" w:space="0" w:color="auto"/>
            <w:right w:val="none" w:sz="0" w:space="0" w:color="auto"/>
          </w:divBdr>
        </w:div>
        <w:div w:id="702949351">
          <w:marLeft w:val="0"/>
          <w:marRight w:val="0"/>
          <w:marTop w:val="0"/>
          <w:marBottom w:val="0"/>
          <w:divBdr>
            <w:top w:val="none" w:sz="0" w:space="0" w:color="auto"/>
            <w:left w:val="none" w:sz="0" w:space="0" w:color="auto"/>
            <w:bottom w:val="none" w:sz="0" w:space="0" w:color="auto"/>
            <w:right w:val="none" w:sz="0" w:space="0" w:color="auto"/>
          </w:divBdr>
        </w:div>
        <w:div w:id="753671390">
          <w:marLeft w:val="0"/>
          <w:marRight w:val="0"/>
          <w:marTop w:val="0"/>
          <w:marBottom w:val="0"/>
          <w:divBdr>
            <w:top w:val="none" w:sz="0" w:space="0" w:color="auto"/>
            <w:left w:val="none" w:sz="0" w:space="0" w:color="auto"/>
            <w:bottom w:val="none" w:sz="0" w:space="0" w:color="auto"/>
            <w:right w:val="none" w:sz="0" w:space="0" w:color="auto"/>
          </w:divBdr>
        </w:div>
        <w:div w:id="845218288">
          <w:marLeft w:val="0"/>
          <w:marRight w:val="0"/>
          <w:marTop w:val="0"/>
          <w:marBottom w:val="0"/>
          <w:divBdr>
            <w:top w:val="none" w:sz="0" w:space="0" w:color="auto"/>
            <w:left w:val="none" w:sz="0" w:space="0" w:color="auto"/>
            <w:bottom w:val="none" w:sz="0" w:space="0" w:color="auto"/>
            <w:right w:val="none" w:sz="0" w:space="0" w:color="auto"/>
          </w:divBdr>
        </w:div>
        <w:div w:id="848180761">
          <w:marLeft w:val="0"/>
          <w:marRight w:val="0"/>
          <w:marTop w:val="0"/>
          <w:marBottom w:val="0"/>
          <w:divBdr>
            <w:top w:val="none" w:sz="0" w:space="0" w:color="auto"/>
            <w:left w:val="none" w:sz="0" w:space="0" w:color="auto"/>
            <w:bottom w:val="none" w:sz="0" w:space="0" w:color="auto"/>
            <w:right w:val="none" w:sz="0" w:space="0" w:color="auto"/>
          </w:divBdr>
        </w:div>
        <w:div w:id="895968034">
          <w:marLeft w:val="0"/>
          <w:marRight w:val="0"/>
          <w:marTop w:val="0"/>
          <w:marBottom w:val="0"/>
          <w:divBdr>
            <w:top w:val="none" w:sz="0" w:space="0" w:color="auto"/>
            <w:left w:val="none" w:sz="0" w:space="0" w:color="auto"/>
            <w:bottom w:val="none" w:sz="0" w:space="0" w:color="auto"/>
            <w:right w:val="none" w:sz="0" w:space="0" w:color="auto"/>
          </w:divBdr>
        </w:div>
        <w:div w:id="927157276">
          <w:marLeft w:val="0"/>
          <w:marRight w:val="0"/>
          <w:marTop w:val="0"/>
          <w:marBottom w:val="0"/>
          <w:divBdr>
            <w:top w:val="none" w:sz="0" w:space="0" w:color="auto"/>
            <w:left w:val="none" w:sz="0" w:space="0" w:color="auto"/>
            <w:bottom w:val="none" w:sz="0" w:space="0" w:color="auto"/>
            <w:right w:val="none" w:sz="0" w:space="0" w:color="auto"/>
          </w:divBdr>
        </w:div>
        <w:div w:id="948438322">
          <w:marLeft w:val="0"/>
          <w:marRight w:val="0"/>
          <w:marTop w:val="0"/>
          <w:marBottom w:val="0"/>
          <w:divBdr>
            <w:top w:val="none" w:sz="0" w:space="0" w:color="auto"/>
            <w:left w:val="none" w:sz="0" w:space="0" w:color="auto"/>
            <w:bottom w:val="none" w:sz="0" w:space="0" w:color="auto"/>
            <w:right w:val="none" w:sz="0" w:space="0" w:color="auto"/>
          </w:divBdr>
        </w:div>
        <w:div w:id="1132550975">
          <w:marLeft w:val="0"/>
          <w:marRight w:val="0"/>
          <w:marTop w:val="0"/>
          <w:marBottom w:val="0"/>
          <w:divBdr>
            <w:top w:val="none" w:sz="0" w:space="0" w:color="auto"/>
            <w:left w:val="none" w:sz="0" w:space="0" w:color="auto"/>
            <w:bottom w:val="none" w:sz="0" w:space="0" w:color="auto"/>
            <w:right w:val="none" w:sz="0" w:space="0" w:color="auto"/>
          </w:divBdr>
        </w:div>
        <w:div w:id="1273517726">
          <w:marLeft w:val="0"/>
          <w:marRight w:val="0"/>
          <w:marTop w:val="0"/>
          <w:marBottom w:val="0"/>
          <w:divBdr>
            <w:top w:val="none" w:sz="0" w:space="0" w:color="auto"/>
            <w:left w:val="none" w:sz="0" w:space="0" w:color="auto"/>
            <w:bottom w:val="none" w:sz="0" w:space="0" w:color="auto"/>
            <w:right w:val="none" w:sz="0" w:space="0" w:color="auto"/>
          </w:divBdr>
        </w:div>
        <w:div w:id="1296376302">
          <w:marLeft w:val="0"/>
          <w:marRight w:val="0"/>
          <w:marTop w:val="0"/>
          <w:marBottom w:val="0"/>
          <w:divBdr>
            <w:top w:val="none" w:sz="0" w:space="0" w:color="auto"/>
            <w:left w:val="none" w:sz="0" w:space="0" w:color="auto"/>
            <w:bottom w:val="none" w:sz="0" w:space="0" w:color="auto"/>
            <w:right w:val="none" w:sz="0" w:space="0" w:color="auto"/>
          </w:divBdr>
        </w:div>
        <w:div w:id="1542593638">
          <w:marLeft w:val="0"/>
          <w:marRight w:val="0"/>
          <w:marTop w:val="0"/>
          <w:marBottom w:val="0"/>
          <w:divBdr>
            <w:top w:val="none" w:sz="0" w:space="0" w:color="auto"/>
            <w:left w:val="none" w:sz="0" w:space="0" w:color="auto"/>
            <w:bottom w:val="none" w:sz="0" w:space="0" w:color="auto"/>
            <w:right w:val="none" w:sz="0" w:space="0" w:color="auto"/>
          </w:divBdr>
        </w:div>
        <w:div w:id="1640109331">
          <w:marLeft w:val="0"/>
          <w:marRight w:val="0"/>
          <w:marTop w:val="0"/>
          <w:marBottom w:val="0"/>
          <w:divBdr>
            <w:top w:val="none" w:sz="0" w:space="0" w:color="auto"/>
            <w:left w:val="none" w:sz="0" w:space="0" w:color="auto"/>
            <w:bottom w:val="none" w:sz="0" w:space="0" w:color="auto"/>
            <w:right w:val="none" w:sz="0" w:space="0" w:color="auto"/>
          </w:divBdr>
        </w:div>
        <w:div w:id="1677734680">
          <w:marLeft w:val="0"/>
          <w:marRight w:val="0"/>
          <w:marTop w:val="0"/>
          <w:marBottom w:val="0"/>
          <w:divBdr>
            <w:top w:val="none" w:sz="0" w:space="0" w:color="auto"/>
            <w:left w:val="none" w:sz="0" w:space="0" w:color="auto"/>
            <w:bottom w:val="none" w:sz="0" w:space="0" w:color="auto"/>
            <w:right w:val="none" w:sz="0" w:space="0" w:color="auto"/>
          </w:divBdr>
        </w:div>
        <w:div w:id="1739554151">
          <w:marLeft w:val="0"/>
          <w:marRight w:val="0"/>
          <w:marTop w:val="0"/>
          <w:marBottom w:val="0"/>
          <w:divBdr>
            <w:top w:val="none" w:sz="0" w:space="0" w:color="auto"/>
            <w:left w:val="none" w:sz="0" w:space="0" w:color="auto"/>
            <w:bottom w:val="none" w:sz="0" w:space="0" w:color="auto"/>
            <w:right w:val="none" w:sz="0" w:space="0" w:color="auto"/>
          </w:divBdr>
        </w:div>
        <w:div w:id="1750496675">
          <w:marLeft w:val="0"/>
          <w:marRight w:val="0"/>
          <w:marTop w:val="0"/>
          <w:marBottom w:val="0"/>
          <w:divBdr>
            <w:top w:val="none" w:sz="0" w:space="0" w:color="auto"/>
            <w:left w:val="none" w:sz="0" w:space="0" w:color="auto"/>
            <w:bottom w:val="none" w:sz="0" w:space="0" w:color="auto"/>
            <w:right w:val="none" w:sz="0" w:space="0" w:color="auto"/>
          </w:divBdr>
        </w:div>
        <w:div w:id="1759475396">
          <w:marLeft w:val="0"/>
          <w:marRight w:val="0"/>
          <w:marTop w:val="0"/>
          <w:marBottom w:val="0"/>
          <w:divBdr>
            <w:top w:val="none" w:sz="0" w:space="0" w:color="auto"/>
            <w:left w:val="none" w:sz="0" w:space="0" w:color="auto"/>
            <w:bottom w:val="none" w:sz="0" w:space="0" w:color="auto"/>
            <w:right w:val="none" w:sz="0" w:space="0" w:color="auto"/>
          </w:divBdr>
        </w:div>
        <w:div w:id="1780107059">
          <w:marLeft w:val="0"/>
          <w:marRight w:val="0"/>
          <w:marTop w:val="0"/>
          <w:marBottom w:val="0"/>
          <w:divBdr>
            <w:top w:val="none" w:sz="0" w:space="0" w:color="auto"/>
            <w:left w:val="none" w:sz="0" w:space="0" w:color="auto"/>
            <w:bottom w:val="none" w:sz="0" w:space="0" w:color="auto"/>
            <w:right w:val="none" w:sz="0" w:space="0" w:color="auto"/>
          </w:divBdr>
        </w:div>
        <w:div w:id="1888451822">
          <w:marLeft w:val="0"/>
          <w:marRight w:val="0"/>
          <w:marTop w:val="0"/>
          <w:marBottom w:val="0"/>
          <w:divBdr>
            <w:top w:val="none" w:sz="0" w:space="0" w:color="auto"/>
            <w:left w:val="none" w:sz="0" w:space="0" w:color="auto"/>
            <w:bottom w:val="none" w:sz="0" w:space="0" w:color="auto"/>
            <w:right w:val="none" w:sz="0" w:space="0" w:color="auto"/>
          </w:divBdr>
        </w:div>
        <w:div w:id="1903710953">
          <w:marLeft w:val="0"/>
          <w:marRight w:val="0"/>
          <w:marTop w:val="0"/>
          <w:marBottom w:val="0"/>
          <w:divBdr>
            <w:top w:val="none" w:sz="0" w:space="0" w:color="auto"/>
            <w:left w:val="none" w:sz="0" w:space="0" w:color="auto"/>
            <w:bottom w:val="none" w:sz="0" w:space="0" w:color="auto"/>
            <w:right w:val="none" w:sz="0" w:space="0" w:color="auto"/>
          </w:divBdr>
        </w:div>
        <w:div w:id="1984581938">
          <w:marLeft w:val="0"/>
          <w:marRight w:val="0"/>
          <w:marTop w:val="0"/>
          <w:marBottom w:val="0"/>
          <w:divBdr>
            <w:top w:val="none" w:sz="0" w:space="0" w:color="auto"/>
            <w:left w:val="none" w:sz="0" w:space="0" w:color="auto"/>
            <w:bottom w:val="none" w:sz="0" w:space="0" w:color="auto"/>
            <w:right w:val="none" w:sz="0" w:space="0" w:color="auto"/>
          </w:divBdr>
        </w:div>
        <w:div w:id="2004047052">
          <w:marLeft w:val="0"/>
          <w:marRight w:val="0"/>
          <w:marTop w:val="0"/>
          <w:marBottom w:val="0"/>
          <w:divBdr>
            <w:top w:val="none" w:sz="0" w:space="0" w:color="auto"/>
            <w:left w:val="none" w:sz="0" w:space="0" w:color="auto"/>
            <w:bottom w:val="none" w:sz="0" w:space="0" w:color="auto"/>
            <w:right w:val="none" w:sz="0" w:space="0" w:color="auto"/>
          </w:divBdr>
        </w:div>
        <w:div w:id="2025472740">
          <w:marLeft w:val="0"/>
          <w:marRight w:val="0"/>
          <w:marTop w:val="0"/>
          <w:marBottom w:val="0"/>
          <w:divBdr>
            <w:top w:val="none" w:sz="0" w:space="0" w:color="auto"/>
            <w:left w:val="none" w:sz="0" w:space="0" w:color="auto"/>
            <w:bottom w:val="none" w:sz="0" w:space="0" w:color="auto"/>
            <w:right w:val="none" w:sz="0" w:space="0" w:color="auto"/>
          </w:divBdr>
        </w:div>
        <w:div w:id="2112436376">
          <w:marLeft w:val="0"/>
          <w:marRight w:val="0"/>
          <w:marTop w:val="0"/>
          <w:marBottom w:val="0"/>
          <w:divBdr>
            <w:top w:val="none" w:sz="0" w:space="0" w:color="auto"/>
            <w:left w:val="none" w:sz="0" w:space="0" w:color="auto"/>
            <w:bottom w:val="none" w:sz="0" w:space="0" w:color="auto"/>
            <w:right w:val="none" w:sz="0" w:space="0" w:color="auto"/>
          </w:divBdr>
        </w:div>
        <w:div w:id="2121142865">
          <w:marLeft w:val="0"/>
          <w:marRight w:val="0"/>
          <w:marTop w:val="0"/>
          <w:marBottom w:val="0"/>
          <w:divBdr>
            <w:top w:val="none" w:sz="0" w:space="0" w:color="auto"/>
            <w:left w:val="none" w:sz="0" w:space="0" w:color="auto"/>
            <w:bottom w:val="none" w:sz="0" w:space="0" w:color="auto"/>
            <w:right w:val="none" w:sz="0" w:space="0" w:color="auto"/>
          </w:divBdr>
        </w:div>
      </w:divsChild>
    </w:div>
    <w:div w:id="1116558480">
      <w:bodyDiv w:val="1"/>
      <w:marLeft w:val="0"/>
      <w:marRight w:val="0"/>
      <w:marTop w:val="0"/>
      <w:marBottom w:val="0"/>
      <w:divBdr>
        <w:top w:val="none" w:sz="0" w:space="0" w:color="auto"/>
        <w:left w:val="none" w:sz="0" w:space="0" w:color="auto"/>
        <w:bottom w:val="none" w:sz="0" w:space="0" w:color="auto"/>
        <w:right w:val="none" w:sz="0" w:space="0" w:color="auto"/>
      </w:divBdr>
    </w:div>
    <w:div w:id="1125735639">
      <w:bodyDiv w:val="1"/>
      <w:marLeft w:val="0"/>
      <w:marRight w:val="0"/>
      <w:marTop w:val="0"/>
      <w:marBottom w:val="0"/>
      <w:divBdr>
        <w:top w:val="none" w:sz="0" w:space="0" w:color="auto"/>
        <w:left w:val="none" w:sz="0" w:space="0" w:color="auto"/>
        <w:bottom w:val="none" w:sz="0" w:space="0" w:color="auto"/>
        <w:right w:val="none" w:sz="0" w:space="0" w:color="auto"/>
      </w:divBdr>
    </w:div>
    <w:div w:id="1181503482">
      <w:bodyDiv w:val="1"/>
      <w:marLeft w:val="0"/>
      <w:marRight w:val="0"/>
      <w:marTop w:val="0"/>
      <w:marBottom w:val="0"/>
      <w:divBdr>
        <w:top w:val="none" w:sz="0" w:space="0" w:color="auto"/>
        <w:left w:val="none" w:sz="0" w:space="0" w:color="auto"/>
        <w:bottom w:val="none" w:sz="0" w:space="0" w:color="auto"/>
        <w:right w:val="none" w:sz="0" w:space="0" w:color="auto"/>
      </w:divBdr>
    </w:div>
    <w:div w:id="1191259941">
      <w:bodyDiv w:val="1"/>
      <w:marLeft w:val="0"/>
      <w:marRight w:val="0"/>
      <w:marTop w:val="0"/>
      <w:marBottom w:val="0"/>
      <w:divBdr>
        <w:top w:val="none" w:sz="0" w:space="0" w:color="auto"/>
        <w:left w:val="none" w:sz="0" w:space="0" w:color="auto"/>
        <w:bottom w:val="none" w:sz="0" w:space="0" w:color="auto"/>
        <w:right w:val="none" w:sz="0" w:space="0" w:color="auto"/>
      </w:divBdr>
      <w:divsChild>
        <w:div w:id="101495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929229">
              <w:marLeft w:val="0"/>
              <w:marRight w:val="0"/>
              <w:marTop w:val="0"/>
              <w:marBottom w:val="0"/>
              <w:divBdr>
                <w:top w:val="none" w:sz="0" w:space="0" w:color="auto"/>
                <w:left w:val="none" w:sz="0" w:space="0" w:color="auto"/>
                <w:bottom w:val="none" w:sz="0" w:space="0" w:color="auto"/>
                <w:right w:val="none" w:sz="0" w:space="0" w:color="auto"/>
              </w:divBdr>
              <w:divsChild>
                <w:div w:id="2087652109">
                  <w:marLeft w:val="0"/>
                  <w:marRight w:val="0"/>
                  <w:marTop w:val="0"/>
                  <w:marBottom w:val="0"/>
                  <w:divBdr>
                    <w:top w:val="none" w:sz="0" w:space="0" w:color="auto"/>
                    <w:left w:val="none" w:sz="0" w:space="0" w:color="auto"/>
                    <w:bottom w:val="none" w:sz="0" w:space="0" w:color="auto"/>
                    <w:right w:val="none" w:sz="0" w:space="0" w:color="auto"/>
                  </w:divBdr>
                  <w:divsChild>
                    <w:div w:id="1941402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21028">
                          <w:marLeft w:val="0"/>
                          <w:marRight w:val="0"/>
                          <w:marTop w:val="0"/>
                          <w:marBottom w:val="0"/>
                          <w:divBdr>
                            <w:top w:val="none" w:sz="0" w:space="0" w:color="auto"/>
                            <w:left w:val="none" w:sz="0" w:space="0" w:color="auto"/>
                            <w:bottom w:val="none" w:sz="0" w:space="0" w:color="auto"/>
                            <w:right w:val="none" w:sz="0" w:space="0" w:color="auto"/>
                          </w:divBdr>
                          <w:divsChild>
                            <w:div w:id="1349214323">
                              <w:marLeft w:val="0"/>
                              <w:marRight w:val="0"/>
                              <w:marTop w:val="0"/>
                              <w:marBottom w:val="0"/>
                              <w:divBdr>
                                <w:top w:val="none" w:sz="0" w:space="0" w:color="auto"/>
                                <w:left w:val="none" w:sz="0" w:space="0" w:color="auto"/>
                                <w:bottom w:val="none" w:sz="0" w:space="0" w:color="auto"/>
                                <w:right w:val="none" w:sz="0" w:space="0" w:color="auto"/>
                              </w:divBdr>
                              <w:divsChild>
                                <w:div w:id="19911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100277">
      <w:bodyDiv w:val="1"/>
      <w:marLeft w:val="0"/>
      <w:marRight w:val="0"/>
      <w:marTop w:val="0"/>
      <w:marBottom w:val="0"/>
      <w:divBdr>
        <w:top w:val="none" w:sz="0" w:space="0" w:color="auto"/>
        <w:left w:val="none" w:sz="0" w:space="0" w:color="auto"/>
        <w:bottom w:val="none" w:sz="0" w:space="0" w:color="auto"/>
        <w:right w:val="none" w:sz="0" w:space="0" w:color="auto"/>
      </w:divBdr>
    </w:div>
    <w:div w:id="1256281410">
      <w:bodyDiv w:val="1"/>
      <w:marLeft w:val="0"/>
      <w:marRight w:val="0"/>
      <w:marTop w:val="0"/>
      <w:marBottom w:val="0"/>
      <w:divBdr>
        <w:top w:val="none" w:sz="0" w:space="0" w:color="auto"/>
        <w:left w:val="none" w:sz="0" w:space="0" w:color="auto"/>
        <w:bottom w:val="none" w:sz="0" w:space="0" w:color="auto"/>
        <w:right w:val="none" w:sz="0" w:space="0" w:color="auto"/>
      </w:divBdr>
    </w:div>
    <w:div w:id="1278676708">
      <w:bodyDiv w:val="1"/>
      <w:marLeft w:val="0"/>
      <w:marRight w:val="0"/>
      <w:marTop w:val="0"/>
      <w:marBottom w:val="0"/>
      <w:divBdr>
        <w:top w:val="none" w:sz="0" w:space="0" w:color="auto"/>
        <w:left w:val="none" w:sz="0" w:space="0" w:color="auto"/>
        <w:bottom w:val="none" w:sz="0" w:space="0" w:color="auto"/>
        <w:right w:val="none" w:sz="0" w:space="0" w:color="auto"/>
      </w:divBdr>
    </w:div>
    <w:div w:id="1290012527">
      <w:bodyDiv w:val="1"/>
      <w:marLeft w:val="0"/>
      <w:marRight w:val="0"/>
      <w:marTop w:val="0"/>
      <w:marBottom w:val="0"/>
      <w:divBdr>
        <w:top w:val="none" w:sz="0" w:space="0" w:color="auto"/>
        <w:left w:val="none" w:sz="0" w:space="0" w:color="auto"/>
        <w:bottom w:val="none" w:sz="0" w:space="0" w:color="auto"/>
        <w:right w:val="none" w:sz="0" w:space="0" w:color="auto"/>
      </w:divBdr>
    </w:div>
    <w:div w:id="1436973821">
      <w:bodyDiv w:val="1"/>
      <w:marLeft w:val="0"/>
      <w:marRight w:val="0"/>
      <w:marTop w:val="0"/>
      <w:marBottom w:val="0"/>
      <w:divBdr>
        <w:top w:val="none" w:sz="0" w:space="0" w:color="auto"/>
        <w:left w:val="none" w:sz="0" w:space="0" w:color="auto"/>
        <w:bottom w:val="none" w:sz="0" w:space="0" w:color="auto"/>
        <w:right w:val="none" w:sz="0" w:space="0" w:color="auto"/>
      </w:divBdr>
    </w:div>
    <w:div w:id="1546139539">
      <w:bodyDiv w:val="1"/>
      <w:marLeft w:val="0"/>
      <w:marRight w:val="0"/>
      <w:marTop w:val="0"/>
      <w:marBottom w:val="0"/>
      <w:divBdr>
        <w:top w:val="none" w:sz="0" w:space="0" w:color="auto"/>
        <w:left w:val="none" w:sz="0" w:space="0" w:color="auto"/>
        <w:bottom w:val="none" w:sz="0" w:space="0" w:color="auto"/>
        <w:right w:val="none" w:sz="0" w:space="0" w:color="auto"/>
      </w:divBdr>
    </w:div>
    <w:div w:id="1566986883">
      <w:bodyDiv w:val="1"/>
      <w:marLeft w:val="0"/>
      <w:marRight w:val="0"/>
      <w:marTop w:val="0"/>
      <w:marBottom w:val="0"/>
      <w:divBdr>
        <w:top w:val="none" w:sz="0" w:space="0" w:color="auto"/>
        <w:left w:val="none" w:sz="0" w:space="0" w:color="auto"/>
        <w:bottom w:val="none" w:sz="0" w:space="0" w:color="auto"/>
        <w:right w:val="none" w:sz="0" w:space="0" w:color="auto"/>
      </w:divBdr>
    </w:div>
    <w:div w:id="1608659216">
      <w:bodyDiv w:val="1"/>
      <w:marLeft w:val="0"/>
      <w:marRight w:val="0"/>
      <w:marTop w:val="0"/>
      <w:marBottom w:val="0"/>
      <w:divBdr>
        <w:top w:val="none" w:sz="0" w:space="0" w:color="auto"/>
        <w:left w:val="none" w:sz="0" w:space="0" w:color="auto"/>
        <w:bottom w:val="none" w:sz="0" w:space="0" w:color="auto"/>
        <w:right w:val="none" w:sz="0" w:space="0" w:color="auto"/>
      </w:divBdr>
    </w:div>
    <w:div w:id="1639457343">
      <w:bodyDiv w:val="1"/>
      <w:marLeft w:val="0"/>
      <w:marRight w:val="0"/>
      <w:marTop w:val="0"/>
      <w:marBottom w:val="0"/>
      <w:divBdr>
        <w:top w:val="none" w:sz="0" w:space="0" w:color="auto"/>
        <w:left w:val="none" w:sz="0" w:space="0" w:color="auto"/>
        <w:bottom w:val="none" w:sz="0" w:space="0" w:color="auto"/>
        <w:right w:val="none" w:sz="0" w:space="0" w:color="auto"/>
      </w:divBdr>
    </w:div>
    <w:div w:id="1649238997">
      <w:bodyDiv w:val="1"/>
      <w:marLeft w:val="0"/>
      <w:marRight w:val="0"/>
      <w:marTop w:val="0"/>
      <w:marBottom w:val="0"/>
      <w:divBdr>
        <w:top w:val="none" w:sz="0" w:space="0" w:color="auto"/>
        <w:left w:val="none" w:sz="0" w:space="0" w:color="auto"/>
        <w:bottom w:val="none" w:sz="0" w:space="0" w:color="auto"/>
        <w:right w:val="none" w:sz="0" w:space="0" w:color="auto"/>
      </w:divBdr>
    </w:div>
    <w:div w:id="1660226127">
      <w:bodyDiv w:val="1"/>
      <w:marLeft w:val="0"/>
      <w:marRight w:val="0"/>
      <w:marTop w:val="0"/>
      <w:marBottom w:val="0"/>
      <w:divBdr>
        <w:top w:val="none" w:sz="0" w:space="0" w:color="auto"/>
        <w:left w:val="none" w:sz="0" w:space="0" w:color="auto"/>
        <w:bottom w:val="none" w:sz="0" w:space="0" w:color="auto"/>
        <w:right w:val="none" w:sz="0" w:space="0" w:color="auto"/>
      </w:divBdr>
    </w:div>
    <w:div w:id="1735424866">
      <w:bodyDiv w:val="1"/>
      <w:marLeft w:val="0"/>
      <w:marRight w:val="0"/>
      <w:marTop w:val="0"/>
      <w:marBottom w:val="0"/>
      <w:divBdr>
        <w:top w:val="none" w:sz="0" w:space="0" w:color="auto"/>
        <w:left w:val="none" w:sz="0" w:space="0" w:color="auto"/>
        <w:bottom w:val="none" w:sz="0" w:space="0" w:color="auto"/>
        <w:right w:val="none" w:sz="0" w:space="0" w:color="auto"/>
      </w:divBdr>
    </w:div>
    <w:div w:id="1754086141">
      <w:bodyDiv w:val="1"/>
      <w:marLeft w:val="0"/>
      <w:marRight w:val="0"/>
      <w:marTop w:val="0"/>
      <w:marBottom w:val="0"/>
      <w:divBdr>
        <w:top w:val="none" w:sz="0" w:space="0" w:color="auto"/>
        <w:left w:val="none" w:sz="0" w:space="0" w:color="auto"/>
        <w:bottom w:val="none" w:sz="0" w:space="0" w:color="auto"/>
        <w:right w:val="none" w:sz="0" w:space="0" w:color="auto"/>
      </w:divBdr>
    </w:div>
    <w:div w:id="1754623343">
      <w:bodyDiv w:val="1"/>
      <w:marLeft w:val="0"/>
      <w:marRight w:val="0"/>
      <w:marTop w:val="0"/>
      <w:marBottom w:val="0"/>
      <w:divBdr>
        <w:top w:val="none" w:sz="0" w:space="0" w:color="auto"/>
        <w:left w:val="none" w:sz="0" w:space="0" w:color="auto"/>
        <w:bottom w:val="none" w:sz="0" w:space="0" w:color="auto"/>
        <w:right w:val="none" w:sz="0" w:space="0" w:color="auto"/>
      </w:divBdr>
    </w:div>
    <w:div w:id="1796483377">
      <w:bodyDiv w:val="1"/>
      <w:marLeft w:val="0"/>
      <w:marRight w:val="0"/>
      <w:marTop w:val="0"/>
      <w:marBottom w:val="0"/>
      <w:divBdr>
        <w:top w:val="none" w:sz="0" w:space="0" w:color="auto"/>
        <w:left w:val="none" w:sz="0" w:space="0" w:color="auto"/>
        <w:bottom w:val="none" w:sz="0" w:space="0" w:color="auto"/>
        <w:right w:val="none" w:sz="0" w:space="0" w:color="auto"/>
      </w:divBdr>
    </w:div>
    <w:div w:id="1884706779">
      <w:bodyDiv w:val="1"/>
      <w:marLeft w:val="0"/>
      <w:marRight w:val="0"/>
      <w:marTop w:val="0"/>
      <w:marBottom w:val="0"/>
      <w:divBdr>
        <w:top w:val="none" w:sz="0" w:space="0" w:color="auto"/>
        <w:left w:val="none" w:sz="0" w:space="0" w:color="auto"/>
        <w:bottom w:val="none" w:sz="0" w:space="0" w:color="auto"/>
        <w:right w:val="none" w:sz="0" w:space="0" w:color="auto"/>
      </w:divBdr>
    </w:div>
    <w:div w:id="1906790924">
      <w:bodyDiv w:val="1"/>
      <w:marLeft w:val="0"/>
      <w:marRight w:val="0"/>
      <w:marTop w:val="0"/>
      <w:marBottom w:val="0"/>
      <w:divBdr>
        <w:top w:val="none" w:sz="0" w:space="0" w:color="auto"/>
        <w:left w:val="none" w:sz="0" w:space="0" w:color="auto"/>
        <w:bottom w:val="none" w:sz="0" w:space="0" w:color="auto"/>
        <w:right w:val="none" w:sz="0" w:space="0" w:color="auto"/>
      </w:divBdr>
    </w:div>
    <w:div w:id="1908761667">
      <w:bodyDiv w:val="1"/>
      <w:marLeft w:val="0"/>
      <w:marRight w:val="0"/>
      <w:marTop w:val="0"/>
      <w:marBottom w:val="0"/>
      <w:divBdr>
        <w:top w:val="none" w:sz="0" w:space="0" w:color="auto"/>
        <w:left w:val="none" w:sz="0" w:space="0" w:color="auto"/>
        <w:bottom w:val="none" w:sz="0" w:space="0" w:color="auto"/>
        <w:right w:val="none" w:sz="0" w:space="0" w:color="auto"/>
      </w:divBdr>
    </w:div>
    <w:div w:id="1941257638">
      <w:bodyDiv w:val="1"/>
      <w:marLeft w:val="0"/>
      <w:marRight w:val="0"/>
      <w:marTop w:val="0"/>
      <w:marBottom w:val="0"/>
      <w:divBdr>
        <w:top w:val="none" w:sz="0" w:space="0" w:color="auto"/>
        <w:left w:val="none" w:sz="0" w:space="0" w:color="auto"/>
        <w:bottom w:val="none" w:sz="0" w:space="0" w:color="auto"/>
        <w:right w:val="none" w:sz="0" w:space="0" w:color="auto"/>
      </w:divBdr>
    </w:div>
    <w:div w:id="1943799166">
      <w:bodyDiv w:val="1"/>
      <w:marLeft w:val="0"/>
      <w:marRight w:val="0"/>
      <w:marTop w:val="0"/>
      <w:marBottom w:val="0"/>
      <w:divBdr>
        <w:top w:val="none" w:sz="0" w:space="0" w:color="auto"/>
        <w:left w:val="none" w:sz="0" w:space="0" w:color="auto"/>
        <w:bottom w:val="none" w:sz="0" w:space="0" w:color="auto"/>
        <w:right w:val="none" w:sz="0" w:space="0" w:color="auto"/>
      </w:divBdr>
      <w:divsChild>
        <w:div w:id="387459191">
          <w:marLeft w:val="0"/>
          <w:marRight w:val="0"/>
          <w:marTop w:val="0"/>
          <w:marBottom w:val="0"/>
          <w:divBdr>
            <w:top w:val="none" w:sz="0" w:space="0" w:color="auto"/>
            <w:left w:val="none" w:sz="0" w:space="0" w:color="auto"/>
            <w:bottom w:val="none" w:sz="0" w:space="0" w:color="auto"/>
            <w:right w:val="none" w:sz="0" w:space="0" w:color="auto"/>
          </w:divBdr>
          <w:divsChild>
            <w:div w:id="1747648893">
              <w:marLeft w:val="0"/>
              <w:marRight w:val="0"/>
              <w:marTop w:val="0"/>
              <w:marBottom w:val="0"/>
              <w:divBdr>
                <w:top w:val="none" w:sz="0" w:space="0" w:color="auto"/>
                <w:left w:val="none" w:sz="0" w:space="0" w:color="auto"/>
                <w:bottom w:val="none" w:sz="0" w:space="0" w:color="auto"/>
                <w:right w:val="none" w:sz="0" w:space="0" w:color="auto"/>
              </w:divBdr>
              <w:divsChild>
                <w:div w:id="14283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3396">
      <w:bodyDiv w:val="1"/>
      <w:marLeft w:val="0"/>
      <w:marRight w:val="0"/>
      <w:marTop w:val="0"/>
      <w:marBottom w:val="0"/>
      <w:divBdr>
        <w:top w:val="none" w:sz="0" w:space="0" w:color="auto"/>
        <w:left w:val="none" w:sz="0" w:space="0" w:color="auto"/>
        <w:bottom w:val="none" w:sz="0" w:space="0" w:color="auto"/>
        <w:right w:val="none" w:sz="0" w:space="0" w:color="auto"/>
      </w:divBdr>
    </w:div>
    <w:div w:id="2038504691">
      <w:bodyDiv w:val="1"/>
      <w:marLeft w:val="0"/>
      <w:marRight w:val="0"/>
      <w:marTop w:val="0"/>
      <w:marBottom w:val="0"/>
      <w:divBdr>
        <w:top w:val="none" w:sz="0" w:space="0" w:color="auto"/>
        <w:left w:val="none" w:sz="0" w:space="0" w:color="auto"/>
        <w:bottom w:val="none" w:sz="0" w:space="0" w:color="auto"/>
        <w:right w:val="none" w:sz="0" w:space="0" w:color="auto"/>
      </w:divBdr>
    </w:div>
    <w:div w:id="2071153075">
      <w:bodyDiv w:val="1"/>
      <w:marLeft w:val="0"/>
      <w:marRight w:val="0"/>
      <w:marTop w:val="0"/>
      <w:marBottom w:val="0"/>
      <w:divBdr>
        <w:top w:val="none" w:sz="0" w:space="0" w:color="auto"/>
        <w:left w:val="none" w:sz="0" w:space="0" w:color="auto"/>
        <w:bottom w:val="none" w:sz="0" w:space="0" w:color="auto"/>
        <w:right w:val="none" w:sz="0" w:space="0" w:color="auto"/>
      </w:divBdr>
    </w:div>
    <w:div w:id="2077244809">
      <w:bodyDiv w:val="1"/>
      <w:marLeft w:val="0"/>
      <w:marRight w:val="0"/>
      <w:marTop w:val="0"/>
      <w:marBottom w:val="0"/>
      <w:divBdr>
        <w:top w:val="none" w:sz="0" w:space="0" w:color="auto"/>
        <w:left w:val="none" w:sz="0" w:space="0" w:color="auto"/>
        <w:bottom w:val="none" w:sz="0" w:space="0" w:color="auto"/>
        <w:right w:val="none" w:sz="0" w:space="0" w:color="auto"/>
      </w:divBdr>
    </w:div>
    <w:div w:id="20976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image" Target="media/image5.png"/><Relationship Id="rId26" Type="http://schemas.openxmlformats.org/officeDocument/2006/relationships/hyperlink" Target="https://pt.wikipedia.org/wiki/Loul%C3%A9" TargetMode="External"/><Relationship Id="rId39" Type="http://schemas.openxmlformats.org/officeDocument/2006/relationships/hyperlink" Target="https://pt.wikipedia.org/wiki/%C3%8Dlhavo" TargetMode="External"/><Relationship Id="rId21" Type="http://schemas.openxmlformats.org/officeDocument/2006/relationships/footer" Target="footer1.xml"/><Relationship Id="rId34" Type="http://schemas.openxmlformats.org/officeDocument/2006/relationships/hyperlink" Target="https://pt.wikipedia.org/wiki/Montemor-o-Novo" TargetMode="External"/><Relationship Id="rId42" Type="http://schemas.openxmlformats.org/officeDocument/2006/relationships/hyperlink" Target="https://pt.wikipedia.org/wiki/S%C3%A3o_Jo%C3%A3o_da_Pesqueira" TargetMode="External"/><Relationship Id="rId47" Type="http://schemas.openxmlformats.org/officeDocument/2006/relationships/hyperlink" Target="https://pt.wikipedia.org/wiki/Mort%C3%A1gua" TargetMode="External"/><Relationship Id="rId50" Type="http://schemas.openxmlformats.org/officeDocument/2006/relationships/hyperlink" Target="https://pt.wikipedia.org/wiki/Pedr%C3%B3g%C3%A3o_Grande"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pt.wikipedia.org/wiki/Santar%C3%A9m_(Portugal)" TargetMode="External"/><Relationship Id="rId24" Type="http://schemas.openxmlformats.org/officeDocument/2006/relationships/footer" Target="footer3.xml"/><Relationship Id="rId32" Type="http://schemas.openxmlformats.org/officeDocument/2006/relationships/hyperlink" Target="https://pt.wikipedia.org/wiki/Caldas_da_Rainha" TargetMode="External"/><Relationship Id="rId37" Type="http://schemas.openxmlformats.org/officeDocument/2006/relationships/hyperlink" Target="https://pt.wikipedia.org/wiki/Alcoba%C3%A7a_(Portugal)" TargetMode="External"/><Relationship Id="rId40" Type="http://schemas.openxmlformats.org/officeDocument/2006/relationships/hyperlink" Target="https://pt.wikipedia.org/wiki/Macedo_de_Cavaleiros" TargetMode="External"/><Relationship Id="rId45" Type="http://schemas.openxmlformats.org/officeDocument/2006/relationships/hyperlink" Target="https://pt.wikipedia.org/wiki/Castanheira_de_Pera" TargetMode="External"/><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customXml" Target="ink/ink1.xml"/><Relationship Id="rId19" Type="http://schemas.openxmlformats.org/officeDocument/2006/relationships/header" Target="header1.xml"/><Relationship Id="rId31" Type="http://schemas.openxmlformats.org/officeDocument/2006/relationships/hyperlink" Target="https://pt.wikipedia.org/wiki/Alc%C3%A1cer_do_Sal" TargetMode="External"/><Relationship Id="rId44" Type="http://schemas.openxmlformats.org/officeDocument/2006/relationships/hyperlink" Target="https://pt.wikipedia.org/wiki/Campo_Maior_(Portugal)"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affaele.conti@clsbe.lisboa.ucp.pt" TargetMode="Externa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hyperlink" Target="https://pt.wikipedia.org/wiki/%C3%89vora" TargetMode="External"/><Relationship Id="rId30" Type="http://schemas.openxmlformats.org/officeDocument/2006/relationships/hyperlink" Target="https://pt.wikipedia.org/wiki/%C3%81gueda" TargetMode="External"/><Relationship Id="rId35" Type="http://schemas.openxmlformats.org/officeDocument/2006/relationships/hyperlink" Target="https://pt.wikipedia.org/wiki/Vila_Nova_de_Foz_C%C3%B4a" TargetMode="External"/><Relationship Id="rId43" Type="http://schemas.openxmlformats.org/officeDocument/2006/relationships/hyperlink" Target="https://pt.wikipedia.org/wiki/Valen%C3%A7a_(Portugal)" TargetMode="External"/><Relationship Id="rId48" Type="http://schemas.openxmlformats.org/officeDocument/2006/relationships/hyperlink" Target="https://pt.wikipedia.org/wiki/Mur%C3%A7a" TargetMode="External"/><Relationship Id="rId8" Type="http://schemas.openxmlformats.org/officeDocument/2006/relationships/hyperlink" Target="mailto:francesco.castellaneta@skema.edu" TargetMode="External"/><Relationship Id="rId51" Type="http://schemas.openxmlformats.org/officeDocument/2006/relationships/hyperlink" Target="https://pt.wikipedia.org/wiki/Valpa%C3%A7os"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pt.wikipedia.org/wiki/Bragan%C3%A7a_(Portugal)" TargetMode="External"/><Relationship Id="rId33" Type="http://schemas.openxmlformats.org/officeDocument/2006/relationships/hyperlink" Target="https://pt.wikipedia.org/wiki/Fornos_de_Algodres" TargetMode="External"/><Relationship Id="rId38" Type="http://schemas.openxmlformats.org/officeDocument/2006/relationships/hyperlink" Target="https://pt.wikipedia.org/wiki/Idanha-a-Nova" TargetMode="External"/><Relationship Id="rId46" Type="http://schemas.openxmlformats.org/officeDocument/2006/relationships/hyperlink" Target="https://pt.wikipedia.org/wiki/Lourinh%C3%A3" TargetMode="External"/><Relationship Id="rId20" Type="http://schemas.openxmlformats.org/officeDocument/2006/relationships/header" Target="header2.xml"/><Relationship Id="rId41" Type="http://schemas.openxmlformats.org/officeDocument/2006/relationships/hyperlink" Target="https://pt.wikipedia.org/wiki/%C3%93bidos_(Portuga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hyperlink" Target="https://pt.wikipedia.org/wiki/Portim%C3%A3o" TargetMode="External"/><Relationship Id="rId36" Type="http://schemas.openxmlformats.org/officeDocument/2006/relationships/hyperlink" Target="https://pt.wikipedia.org/wiki/Vila_Real_de_Santo_Ant%C3%B3nio" TargetMode="External"/><Relationship Id="rId49" Type="http://schemas.openxmlformats.org/officeDocument/2006/relationships/hyperlink" Target="https://pt.wikipedia.org/wiki/Nazar%C3%A9_(Portuga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14T11:06:07.224"/>
    </inkml:context>
    <inkml:brush xml:id="br0">
      <inkml:brushProperty name="width" value="0.05" units="cm"/>
      <inkml:brushProperty name="height" value="0.05" units="cm"/>
    </inkml:brush>
  </inkml:definitions>
  <inkml:trace contextRef="#ctx0" brushRef="#br0">421 517 9049,'0'0'0,"2"0"1833,-2 0-1833,0 5 760,3-1-488,-3 0-16,0 1 48,0-5-304,0 3 264,0 1-32,0 1-80,-2-3-112,2-2-40,-1 5-232,-3-2-560,-1-3-712,2 0-505,3 0 2009,-2 0-1776,-1-3-2977,3 3 4753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11-14T11:06:07.225"/>
    </inkml:context>
    <inkml:brush xml:id="br0">
      <inkml:brushProperty name="width" value="0.05" units="cm"/>
      <inkml:brushProperty name="height" value="0.05" units="cm"/>
    </inkml:brush>
  </inkml:definitions>
  <inkml:trace contextRef="#ctx0" brushRef="#br0">335 387 5281,'0'0'0,"-4"-6"472,-9-7 56,13 13-528,-6-1 720,-8-4 136,13 5 40,-1 12 105,2-12-1001,-4 4 984,-1 12-72,-7 0-48,7 1-32,-12 6-63,17-23-769,-15 24 680,-2 4-160,-3 5-144,-1 4-136,21-37-240,-25 43 184,2 5-32,-3 2 24,2 5-8,24-55-168,-25 62 208,4 1 80,4 6 48,17-69-336,-12 70 400,8 1 24,3 4 49,1-3 15,0-72-488,12 73 480,4-1-24,3-1-112,8 1-64,-27-72-280,30 74 232,2 2-40,8 3 16,3 0-32,-43-79-176,48 81 200,7 2-56,5 2-80,4-1 0,-64-84-64,67 86 40,2-2 24,5-3 32,1-1 8,-75-80-104,75 77 104,5-5 0,4-5-8,7-4 40,-91-63-136,96 54 144,4-10-8,1-10 0,-1-14-40,-100-20-96,98 4-32,-3-4-64,-5-16-72,-2-17-120,-88 33 288,89-43-312,0-16-8,-2-12 16,-3-10 72,-84 81 232,79-94-152,-9-7 32,-4-11-112,-9-7-112,-57 119 344,52-129-704,-11-6-152,-12 0 31,-10-1 9,-19 136 816,0-135-624,-3-2 16,-22 2 8,-9-1 72,34 136 528,-42-133-440,-12 2 64,-9 7 152,-8 8 176,71 116 48,-79-109 96,-7 6 136,-8 11 8,-4 6-64,98 86-176,-96-73 104,-2 10-72,-1 14-32,1 13 16,98 36-16,-102-21-56,-3 19-24,1 5 8,-3 31 0,107-34 72,-104 43-88,7 12 24,8 13-72,11 2-160,78-70 296,-74 77-465,4-2-319,7 0-280,6 0-400,57-75 1464,-52 79-1689,5-4 129,28-19 336,-19 18-2865,38-74 4089,0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CC2C-08A0-8C45-AF2E-86FEFA96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55461</Words>
  <Characters>316131</Characters>
  <Application>Microsoft Office Word</Application>
  <DocSecurity>0</DocSecurity>
  <Lines>2634</Lines>
  <Paragraphs>741</Paragraphs>
  <ScaleCrop>false</ScaleCrop>
  <HeadingPairs>
    <vt:vector size="2" baseType="variant">
      <vt:variant>
        <vt:lpstr>Title</vt:lpstr>
      </vt:variant>
      <vt:variant>
        <vt:i4>1</vt:i4>
      </vt:variant>
    </vt:vector>
  </HeadingPairs>
  <TitlesOfParts>
    <vt:vector size="1" baseType="lpstr">
      <vt:lpstr/>
    </vt:vector>
  </TitlesOfParts>
  <Company>Universidade Católica Portuguesa</Company>
  <LinksUpToDate>false</LinksUpToDate>
  <CharactersWithSpaces>370851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Olenka Kacperczyk</cp:lastModifiedBy>
  <cp:revision>2</cp:revision>
  <cp:lastPrinted>2019-11-18T14:31:00Z</cp:lastPrinted>
  <dcterms:created xsi:type="dcterms:W3CDTF">2020-01-22T18:32:00Z</dcterms:created>
  <dcterms:modified xsi:type="dcterms:W3CDTF">2020-01-22T18:32:00Z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f0b5c1e6-45da-39f2-8c1a-52859b2ba0ec</vt:lpwstr>
  </property>
  <property fmtid="{D5CDD505-2E9C-101B-9397-08002B2CF9AE}" pid="4" name="Mendeley Citation Style_1">
    <vt:lpwstr>http://www.zotero.org/styles/strategic-management-journal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http://www.zotero.org/styles/strategic-management-journal</vt:lpwstr>
  </property>
  <property fmtid="{D5CDD505-2E9C-101B-9397-08002B2CF9AE}" pid="24" name="Mendeley Recent Style Name 9_1">
    <vt:lpwstr>Strategic Management Journal</vt:lpwstr>
  </property>
</Properties>
</file>