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91CB2" w14:textId="727196F4" w:rsidR="009619C5" w:rsidRPr="009E091E" w:rsidRDefault="009619C5" w:rsidP="00791DAE">
      <w:pPr>
        <w:spacing w:line="360" w:lineRule="auto"/>
        <w:ind w:firstLine="432"/>
        <w:contextualSpacing/>
        <w:jc w:val="center"/>
        <w:rPr>
          <w:lang w:eastAsia="de-DE"/>
        </w:rPr>
      </w:pPr>
      <w:r w:rsidRPr="009619C5">
        <w:rPr>
          <w:lang w:eastAsia="de-DE"/>
        </w:rPr>
        <w:t>Vol</w:t>
      </w:r>
      <w:r>
        <w:rPr>
          <w:lang w:eastAsia="de-DE"/>
        </w:rPr>
        <w:t>.</w:t>
      </w:r>
      <w:r w:rsidRPr="009619C5">
        <w:rPr>
          <w:lang w:eastAsia="de-DE"/>
        </w:rPr>
        <w:t xml:space="preserve"> </w:t>
      </w:r>
      <w:r>
        <w:rPr>
          <w:lang w:eastAsia="de-DE"/>
        </w:rPr>
        <w:t>7,</w:t>
      </w:r>
      <w:r w:rsidRPr="009619C5">
        <w:rPr>
          <w:lang w:eastAsia="de-DE"/>
        </w:rPr>
        <w:t xml:space="preserve"> no</w:t>
      </w:r>
      <w:r>
        <w:rPr>
          <w:lang w:eastAsia="de-DE"/>
        </w:rPr>
        <w:t>.</w:t>
      </w:r>
      <w:r w:rsidRPr="009619C5">
        <w:rPr>
          <w:lang w:eastAsia="de-DE"/>
        </w:rPr>
        <w:t xml:space="preserve"> </w:t>
      </w:r>
      <w:r>
        <w:rPr>
          <w:lang w:eastAsia="de-DE"/>
        </w:rPr>
        <w:t>2</w:t>
      </w:r>
    </w:p>
    <w:p w14:paraId="104D4D0D" w14:textId="77777777" w:rsidR="009619C5" w:rsidRPr="009619C5" w:rsidRDefault="009619C5" w:rsidP="00791DAE">
      <w:pPr>
        <w:spacing w:line="360" w:lineRule="auto"/>
        <w:ind w:firstLine="432"/>
        <w:contextualSpacing/>
        <w:jc w:val="center"/>
        <w:rPr>
          <w:lang w:eastAsia="de-DE"/>
        </w:rPr>
      </w:pPr>
    </w:p>
    <w:p w14:paraId="256473C5" w14:textId="62501817" w:rsidR="007B7193" w:rsidRPr="00E42B26" w:rsidRDefault="007B7193" w:rsidP="00791DAE">
      <w:pPr>
        <w:spacing w:line="360" w:lineRule="auto"/>
        <w:ind w:firstLine="432"/>
        <w:contextualSpacing/>
        <w:jc w:val="center"/>
        <w:rPr>
          <w:b/>
          <w:bCs/>
          <w:sz w:val="28"/>
          <w:lang w:eastAsia="de-DE"/>
        </w:rPr>
      </w:pPr>
      <w:r w:rsidRPr="00E42B26">
        <w:rPr>
          <w:b/>
          <w:bCs/>
          <w:sz w:val="28"/>
          <w:lang w:eastAsia="de-DE"/>
        </w:rPr>
        <w:t xml:space="preserve">Advance </w:t>
      </w:r>
      <w:r w:rsidR="00830BD5" w:rsidRPr="00E42B26">
        <w:rPr>
          <w:b/>
          <w:bCs/>
          <w:sz w:val="28"/>
          <w:lang w:eastAsia="de-DE"/>
        </w:rPr>
        <w:t>Care</w:t>
      </w:r>
      <w:r w:rsidRPr="00E42B26">
        <w:rPr>
          <w:b/>
          <w:bCs/>
          <w:sz w:val="28"/>
          <w:lang w:eastAsia="de-DE"/>
        </w:rPr>
        <w:t xml:space="preserve"> Plan</w:t>
      </w:r>
      <w:r w:rsidR="00956180" w:rsidRPr="00E42B26">
        <w:rPr>
          <w:b/>
          <w:bCs/>
          <w:sz w:val="28"/>
          <w:lang w:eastAsia="de-DE"/>
        </w:rPr>
        <w:t>s</w:t>
      </w:r>
      <w:r w:rsidRPr="00E42B26">
        <w:rPr>
          <w:b/>
          <w:bCs/>
          <w:sz w:val="28"/>
          <w:lang w:eastAsia="de-DE"/>
        </w:rPr>
        <w:t xml:space="preserve">: </w:t>
      </w:r>
    </w:p>
    <w:p w14:paraId="09737947" w14:textId="65398F2B" w:rsidR="007B7193" w:rsidRPr="00E42B26" w:rsidRDefault="007B7193" w:rsidP="00791DAE">
      <w:pPr>
        <w:spacing w:line="360" w:lineRule="auto"/>
        <w:ind w:firstLine="432"/>
        <w:contextualSpacing/>
        <w:jc w:val="center"/>
        <w:rPr>
          <w:b/>
          <w:bCs/>
          <w:sz w:val="28"/>
          <w:lang w:eastAsia="de-DE"/>
        </w:rPr>
      </w:pPr>
      <w:r w:rsidRPr="00E42B26">
        <w:rPr>
          <w:b/>
          <w:bCs/>
          <w:sz w:val="28"/>
          <w:lang w:eastAsia="de-DE"/>
        </w:rPr>
        <w:t xml:space="preserve">Planning for </w:t>
      </w:r>
      <w:r w:rsidR="009F670A" w:rsidRPr="00E42B26">
        <w:rPr>
          <w:b/>
          <w:bCs/>
          <w:sz w:val="28"/>
          <w:lang w:eastAsia="de-DE"/>
        </w:rPr>
        <w:t>Critical</w:t>
      </w:r>
      <w:r w:rsidRPr="00E42B26">
        <w:rPr>
          <w:b/>
          <w:bCs/>
          <w:sz w:val="28"/>
          <w:lang w:eastAsia="de-DE"/>
        </w:rPr>
        <w:t xml:space="preserve"> Healthcare Decisions</w:t>
      </w:r>
    </w:p>
    <w:p w14:paraId="4420837E" w14:textId="77777777" w:rsidR="003453C4" w:rsidRDefault="003453C4" w:rsidP="003453C4">
      <w:pPr>
        <w:spacing w:line="480" w:lineRule="auto"/>
        <w:rPr>
          <w:b/>
          <w:bCs/>
          <w:sz w:val="28"/>
          <w:lang w:eastAsia="de-DE"/>
        </w:rPr>
      </w:pPr>
    </w:p>
    <w:p w14:paraId="77AB0938" w14:textId="545B0D77" w:rsidR="003453C4" w:rsidRDefault="003453C4" w:rsidP="003453C4">
      <w:pPr>
        <w:spacing w:line="480" w:lineRule="auto"/>
        <w:jc w:val="center"/>
        <w:rPr>
          <w:caps/>
          <w:lang w:val="de-CH" w:eastAsia="de-DE"/>
        </w:rPr>
      </w:pPr>
      <w:r>
        <w:rPr>
          <w:caps/>
          <w:lang w:val="de-CH" w:eastAsia="de-DE"/>
        </w:rPr>
        <w:t>NAZLI GURDAMAR-Okutur*</w:t>
      </w:r>
      <w:bookmarkStart w:id="0" w:name="_GoBack"/>
    </w:p>
    <w:p w14:paraId="778D97DC" w14:textId="77777777" w:rsidR="003453C4" w:rsidRPr="006F7E80" w:rsidRDefault="003453C4" w:rsidP="003453C4">
      <w:pPr>
        <w:spacing w:line="480" w:lineRule="auto"/>
        <w:jc w:val="center"/>
        <w:rPr>
          <w:caps/>
          <w:lang w:val="de-CH" w:eastAsia="de-DE"/>
        </w:rPr>
      </w:pPr>
      <w:r>
        <w:rPr>
          <w:caps/>
          <w:lang w:val="de-CH" w:eastAsia="de-DE"/>
        </w:rPr>
        <w:t>SIMONA BOTTI</w:t>
      </w:r>
    </w:p>
    <w:p w14:paraId="0E07D021" w14:textId="77777777" w:rsidR="003453C4" w:rsidRPr="006F7E80" w:rsidRDefault="003453C4" w:rsidP="003453C4">
      <w:pPr>
        <w:spacing w:line="480" w:lineRule="auto"/>
        <w:jc w:val="center"/>
        <w:rPr>
          <w:caps/>
          <w:lang w:val="de-CH" w:eastAsia="de-DE"/>
        </w:rPr>
      </w:pPr>
      <w:r w:rsidRPr="006F7E80">
        <w:rPr>
          <w:caps/>
          <w:lang w:val="de-CH" w:eastAsia="de-DE"/>
        </w:rPr>
        <w:t>Vicki G. Morwitz</w:t>
      </w:r>
    </w:p>
    <w:p w14:paraId="5CC8498B" w14:textId="77777777" w:rsidR="003453C4" w:rsidRPr="006F7E80" w:rsidRDefault="003453C4" w:rsidP="003453C4">
      <w:pPr>
        <w:spacing w:line="480" w:lineRule="auto"/>
        <w:jc w:val="center"/>
        <w:rPr>
          <w:lang w:val="en-US" w:eastAsia="de-DE"/>
        </w:rPr>
      </w:pPr>
    </w:p>
    <w:p w14:paraId="0ABA453F" w14:textId="77777777" w:rsidR="003453C4" w:rsidRPr="006F7E80" w:rsidRDefault="003453C4" w:rsidP="003453C4">
      <w:pPr>
        <w:spacing w:line="480" w:lineRule="auto"/>
        <w:jc w:val="center"/>
        <w:rPr>
          <w:lang w:val="en-US" w:eastAsia="de-DE"/>
        </w:rPr>
      </w:pPr>
    </w:p>
    <w:p w14:paraId="26FF3D02" w14:textId="77777777" w:rsidR="003453C4" w:rsidRPr="006F7E80" w:rsidRDefault="003453C4" w:rsidP="003453C4">
      <w:pPr>
        <w:spacing w:line="480" w:lineRule="auto"/>
        <w:jc w:val="center"/>
        <w:rPr>
          <w:lang w:val="en-US" w:eastAsia="de-DE"/>
        </w:rPr>
      </w:pPr>
    </w:p>
    <w:p w14:paraId="28D43544" w14:textId="77777777" w:rsidR="003453C4" w:rsidRPr="006F7E80" w:rsidRDefault="003453C4" w:rsidP="003453C4">
      <w:pPr>
        <w:spacing w:line="480" w:lineRule="auto"/>
        <w:jc w:val="center"/>
        <w:rPr>
          <w:b/>
          <w:lang w:val="en-US" w:eastAsia="de-DE"/>
        </w:rPr>
      </w:pPr>
      <w:r w:rsidRPr="006F7E80">
        <w:rPr>
          <w:b/>
          <w:lang w:val="en-US" w:eastAsia="de-DE"/>
        </w:rPr>
        <w:t>Author Note</w:t>
      </w:r>
    </w:p>
    <w:bookmarkEnd w:id="0"/>
    <w:p w14:paraId="700C4CBD" w14:textId="77777777" w:rsidR="003453C4" w:rsidRPr="00395419" w:rsidRDefault="003453C4" w:rsidP="003453C4">
      <w:r w:rsidRPr="00AC43FA">
        <w:rPr>
          <w:kern w:val="28"/>
          <w:lang w:val="en-US" w:eastAsia="de-DE"/>
        </w:rPr>
        <w:t>Nazli Gurdamar</w:t>
      </w:r>
      <w:r>
        <w:rPr>
          <w:kern w:val="28"/>
          <w:lang w:val="en-US" w:eastAsia="de-DE"/>
        </w:rPr>
        <w:t>-</w:t>
      </w:r>
      <w:r w:rsidRPr="00AC43FA">
        <w:rPr>
          <w:kern w:val="28"/>
          <w:lang w:val="en-US" w:eastAsia="de-DE"/>
        </w:rPr>
        <w:t xml:space="preserve">Okutur is </w:t>
      </w:r>
      <w:r>
        <w:rPr>
          <w:kern w:val="28"/>
          <w:lang w:val="en-US" w:eastAsia="de-DE"/>
        </w:rPr>
        <w:t>Assistant Professor of Marketing at Ko</w:t>
      </w:r>
      <w:r>
        <w:rPr>
          <w:kern w:val="28"/>
          <w:lang w:val="tr-TR" w:eastAsia="de-DE"/>
        </w:rPr>
        <w:t>ç</w:t>
      </w:r>
      <w:r>
        <w:rPr>
          <w:kern w:val="28"/>
          <w:lang w:val="en-US" w:eastAsia="de-DE"/>
        </w:rPr>
        <w:t xml:space="preserve"> University, 34450 Sariyer, Istanbul, Turkey</w:t>
      </w:r>
      <w:r w:rsidRPr="00AC43FA">
        <w:rPr>
          <w:kern w:val="28"/>
          <w:lang w:val="en-US" w:eastAsia="de-DE"/>
        </w:rPr>
        <w:t>,</w:t>
      </w:r>
      <w:r w:rsidRPr="00AC43FA">
        <w:t xml:space="preserve"> Email: </w:t>
      </w:r>
      <w:hyperlink r:id="rId8" w:history="1">
        <w:r>
          <w:rPr>
            <w:rStyle w:val="Hyperlink"/>
            <w:kern w:val="28"/>
            <w:lang w:val="en-US" w:eastAsia="de-DE"/>
          </w:rPr>
          <w:t>nokutur@ku.edu.tr</w:t>
        </w:r>
      </w:hyperlink>
      <w:r w:rsidRPr="00AC43FA">
        <w:rPr>
          <w:kern w:val="28"/>
          <w:lang w:val="en-US" w:eastAsia="de-DE"/>
        </w:rPr>
        <w:t xml:space="preserve">. Simona Botti is Professor of Marketing at London Business School, Regent’s Park, London NW1 4SA, UK, Email: </w:t>
      </w:r>
      <w:hyperlink r:id="rId9" w:history="1">
        <w:r w:rsidRPr="00AC43FA">
          <w:rPr>
            <w:rStyle w:val="Hyperlink"/>
            <w:kern w:val="28"/>
            <w:lang w:val="en-US" w:eastAsia="de-DE"/>
          </w:rPr>
          <w:t>sbotti@london.edu</w:t>
        </w:r>
      </w:hyperlink>
      <w:r w:rsidRPr="00AC43FA">
        <w:rPr>
          <w:kern w:val="28"/>
          <w:lang w:val="en-US" w:eastAsia="de-DE"/>
        </w:rPr>
        <w:t xml:space="preserve">. Vicki G. Morwitz is Bruce Greenwald Professor of Business and Professor of Marketing at the Columbia Business School, Columbia University, 514 Uris Hall, New York City, NY 10027, Email: </w:t>
      </w:r>
      <w:hyperlink r:id="rId10" w:history="1">
        <w:r w:rsidRPr="00AC43FA">
          <w:rPr>
            <w:rStyle w:val="Hyperlink"/>
            <w:kern w:val="28"/>
            <w:lang w:val="en-US" w:eastAsia="de-DE"/>
          </w:rPr>
          <w:t>vicki.morwitz@columbia.edu</w:t>
        </w:r>
      </w:hyperlink>
      <w:r w:rsidRPr="00AC43FA">
        <w:rPr>
          <w:kern w:val="28"/>
          <w:lang w:val="en-US" w:eastAsia="de-DE"/>
        </w:rPr>
        <w:t xml:space="preserve">. This work was supported by </w:t>
      </w:r>
      <w:r>
        <w:rPr>
          <w:kern w:val="28"/>
          <w:lang w:val="en-US" w:eastAsia="de-DE"/>
        </w:rPr>
        <w:t xml:space="preserve">the Research and Materials Development fund from London Business School awarded to the second author and </w:t>
      </w:r>
      <w:r w:rsidRPr="00AC43FA">
        <w:rPr>
          <w:kern w:val="28"/>
          <w:lang w:val="en-US" w:eastAsia="de-DE"/>
        </w:rPr>
        <w:t xml:space="preserve">a grant from the NYU Stern Center for Global Economy and Business awarded to the third </w:t>
      </w:r>
      <w:r w:rsidRPr="00590AEC">
        <w:rPr>
          <w:kern w:val="28"/>
          <w:lang w:val="en-US" w:eastAsia="de-DE"/>
        </w:rPr>
        <w:t xml:space="preserve">author. </w:t>
      </w:r>
      <w:r w:rsidRPr="00590AEC">
        <w:rPr>
          <w:shd w:val="clear" w:color="auto" w:fill="FFFFFF"/>
        </w:rPr>
        <w:t>The second and third authors contributed equally.</w:t>
      </w:r>
      <w:r w:rsidRPr="00590AEC">
        <w:t xml:space="preserve"> The authors would like to thank Jeff </w:t>
      </w:r>
      <w:r w:rsidRPr="00AC43FA">
        <w:t>Zucker, a digital advance care planning industry pioneer, for his feedback and advice</w:t>
      </w:r>
      <w:r>
        <w:t>,</w:t>
      </w:r>
      <w:r w:rsidRPr="00AC43FA">
        <w:t xml:space="preserve"> the attendees at a presentation of this research at Columbia University for their helpful comments</w:t>
      </w:r>
      <w:r>
        <w:t xml:space="preserve">, and the London Business School Research Lab for </w:t>
      </w:r>
      <w:r w:rsidRPr="00395419">
        <w:t>assistance in data</w:t>
      </w:r>
      <w:r>
        <w:t xml:space="preserve"> </w:t>
      </w:r>
      <w:r w:rsidRPr="00395419">
        <w:t>collection.</w:t>
      </w:r>
    </w:p>
    <w:p w14:paraId="22E8E31A" w14:textId="77777777" w:rsidR="003453C4" w:rsidRPr="00AC43FA" w:rsidRDefault="003453C4" w:rsidP="003453C4">
      <w:pPr>
        <w:pStyle w:val="CommentText"/>
        <w:rPr>
          <w:sz w:val="24"/>
          <w:szCs w:val="24"/>
        </w:rPr>
      </w:pPr>
    </w:p>
    <w:p w14:paraId="5B5D1A69" w14:textId="77777777" w:rsidR="003453C4" w:rsidRDefault="003453C4" w:rsidP="003453C4">
      <w:pPr>
        <w:rPr>
          <w:kern w:val="28"/>
          <w:lang w:val="en-US" w:eastAsia="de-DE"/>
        </w:rPr>
      </w:pPr>
    </w:p>
    <w:p w14:paraId="1DCB104E" w14:textId="77777777" w:rsidR="003453C4" w:rsidRDefault="003453C4" w:rsidP="003453C4">
      <w:pPr>
        <w:rPr>
          <w:kern w:val="28"/>
          <w:lang w:val="en-US" w:eastAsia="de-DE"/>
        </w:rPr>
      </w:pPr>
    </w:p>
    <w:p w14:paraId="123D31DE" w14:textId="77777777" w:rsidR="003453C4" w:rsidRDefault="003453C4" w:rsidP="003453C4">
      <w:pPr>
        <w:rPr>
          <w:kern w:val="28"/>
          <w:lang w:val="en-US" w:eastAsia="de-DE"/>
        </w:rPr>
      </w:pPr>
    </w:p>
    <w:p w14:paraId="50AEC799" w14:textId="77777777" w:rsidR="003453C4" w:rsidRDefault="003453C4" w:rsidP="003453C4">
      <w:pPr>
        <w:rPr>
          <w:kern w:val="28"/>
          <w:lang w:val="en-US" w:eastAsia="de-DE"/>
        </w:rPr>
      </w:pPr>
    </w:p>
    <w:p w14:paraId="5C2C0A07" w14:textId="77777777" w:rsidR="003453C4" w:rsidRPr="006F7E80" w:rsidRDefault="003453C4" w:rsidP="003453C4">
      <w:pPr>
        <w:rPr>
          <w:kern w:val="28"/>
          <w:lang w:val="en-US" w:eastAsia="de-DE"/>
        </w:rPr>
      </w:pPr>
      <w:r>
        <w:rPr>
          <w:kern w:val="28"/>
          <w:lang w:val="en-US" w:eastAsia="de-DE"/>
        </w:rPr>
        <w:t>*Corresponding author</w:t>
      </w:r>
    </w:p>
    <w:p w14:paraId="690B0A69" w14:textId="20899965" w:rsidR="007B7193" w:rsidRPr="00E42B26" w:rsidRDefault="007B7193" w:rsidP="00791DAE">
      <w:pPr>
        <w:spacing w:line="360" w:lineRule="auto"/>
        <w:rPr>
          <w:b/>
          <w:bCs/>
          <w:sz w:val="28"/>
          <w:lang w:eastAsia="de-DE"/>
        </w:rPr>
      </w:pPr>
    </w:p>
    <w:p w14:paraId="6834F0FD" w14:textId="77777777" w:rsidR="003453C4" w:rsidRDefault="003453C4">
      <w:pPr>
        <w:spacing w:after="160" w:line="259" w:lineRule="auto"/>
        <w:rPr>
          <w:rFonts w:eastAsiaTheme="majorEastAsia" w:cstheme="majorBidi"/>
          <w:b/>
          <w:szCs w:val="32"/>
        </w:rPr>
      </w:pPr>
      <w:r>
        <w:br w:type="page"/>
      </w:r>
    </w:p>
    <w:p w14:paraId="31600534" w14:textId="2E615CE1" w:rsidR="00A220D5" w:rsidRPr="00E42B26" w:rsidRDefault="00A220D5" w:rsidP="001B4F08">
      <w:pPr>
        <w:pStyle w:val="Heading1"/>
      </w:pPr>
      <w:r w:rsidRPr="00E42B26">
        <w:lastRenderedPageBreak/>
        <w:t>Abstract</w:t>
      </w:r>
    </w:p>
    <w:p w14:paraId="4BB47C2C" w14:textId="044BE219" w:rsidR="00A220D5" w:rsidRDefault="00555875" w:rsidP="00097273">
      <w:pPr>
        <w:spacing w:line="360" w:lineRule="auto"/>
        <w:ind w:firstLine="709"/>
      </w:pPr>
      <w:r>
        <w:t>A</w:t>
      </w:r>
      <w:r w:rsidR="00A220D5" w:rsidRPr="00E42B26">
        <w:t xml:space="preserve">dvance </w:t>
      </w:r>
      <w:r w:rsidR="002772CE" w:rsidRPr="00E42B26">
        <w:t>c</w:t>
      </w:r>
      <w:r w:rsidR="00A220D5" w:rsidRPr="00E42B26">
        <w:t xml:space="preserve">are </w:t>
      </w:r>
      <w:r w:rsidR="002772CE" w:rsidRPr="00E42B26">
        <w:t>p</w:t>
      </w:r>
      <w:r w:rsidR="00A220D5" w:rsidRPr="00E42B26">
        <w:t>lan</w:t>
      </w:r>
      <w:r w:rsidR="00952234" w:rsidRPr="00E42B26">
        <w:t>s</w:t>
      </w:r>
      <w:r w:rsidR="00A220D5" w:rsidRPr="00E42B26">
        <w:t xml:space="preserve"> (ACP</w:t>
      </w:r>
      <w:r w:rsidR="00952234" w:rsidRPr="00E42B26">
        <w:t>s</w:t>
      </w:r>
      <w:r w:rsidR="00A220D5" w:rsidRPr="00E42B26">
        <w:t>)</w:t>
      </w:r>
      <w:r>
        <w:t xml:space="preserve"> </w:t>
      </w:r>
      <w:r w:rsidR="00A220D5" w:rsidRPr="00E42B26">
        <w:t>document</w:t>
      </w:r>
      <w:r w:rsidR="00D27BEC" w:rsidRPr="00E42B26">
        <w:t xml:space="preserve"> </w:t>
      </w:r>
      <w:r w:rsidR="00F8323A">
        <w:t xml:space="preserve">personal </w:t>
      </w:r>
      <w:r w:rsidR="00F57C44" w:rsidRPr="00E42B26">
        <w:t xml:space="preserve">values and </w:t>
      </w:r>
      <w:r w:rsidR="00F8323A" w:rsidRPr="00E42B26">
        <w:t xml:space="preserve">healthcare </w:t>
      </w:r>
      <w:r w:rsidR="00A220D5" w:rsidRPr="00E42B26">
        <w:t xml:space="preserve">preferences for </w:t>
      </w:r>
      <w:r w:rsidR="005859C1" w:rsidRPr="00E42B26">
        <w:t xml:space="preserve">critical </w:t>
      </w:r>
      <w:r w:rsidR="00A220D5" w:rsidRPr="00E42B26">
        <w:t xml:space="preserve">situations where </w:t>
      </w:r>
      <w:r w:rsidR="001D171B">
        <w:t xml:space="preserve">individuals </w:t>
      </w:r>
      <w:r w:rsidR="00AC5302">
        <w:t>cannot</w:t>
      </w:r>
      <w:r w:rsidR="00A220D5" w:rsidRPr="00E42B26">
        <w:t xml:space="preserve"> speak for themselves. </w:t>
      </w:r>
      <w:r w:rsidR="00D27BEC" w:rsidRPr="00E42B26">
        <w:t xml:space="preserve">Although </w:t>
      </w:r>
      <w:r w:rsidR="00F368A4" w:rsidRPr="00E42B26">
        <w:t>ACPs</w:t>
      </w:r>
      <w:r w:rsidR="00D27BEC" w:rsidRPr="00E42B26">
        <w:t xml:space="preserve"> </w:t>
      </w:r>
      <w:r w:rsidR="001914EB" w:rsidRPr="00E42B26">
        <w:t xml:space="preserve">can </w:t>
      </w:r>
      <w:r w:rsidR="00D27BEC" w:rsidRPr="00E42B26">
        <w:t xml:space="preserve">prevent receiving costly </w:t>
      </w:r>
      <w:r w:rsidR="00A220D5" w:rsidRPr="00E42B26">
        <w:t>unwanted treatments</w:t>
      </w:r>
      <w:r w:rsidR="001914EB" w:rsidRPr="00E42B26">
        <w:t xml:space="preserve"> </w:t>
      </w:r>
      <w:r w:rsidR="008D4170" w:rsidRPr="00E42B26">
        <w:t xml:space="preserve">and </w:t>
      </w:r>
      <w:r w:rsidR="001914EB" w:rsidRPr="00E42B26">
        <w:t>ensure</w:t>
      </w:r>
      <w:r w:rsidR="008D4170" w:rsidRPr="00E42B26">
        <w:t xml:space="preserve"> </w:t>
      </w:r>
      <w:r w:rsidR="007C1371" w:rsidRPr="00E42B26">
        <w:t>receiv</w:t>
      </w:r>
      <w:r w:rsidR="0069777A">
        <w:t xml:space="preserve">ing preferred </w:t>
      </w:r>
      <w:r w:rsidR="001914EB" w:rsidRPr="00E42B26">
        <w:t>treatments</w:t>
      </w:r>
      <w:r w:rsidR="0069777A">
        <w:t xml:space="preserve">, </w:t>
      </w:r>
      <w:r w:rsidR="00A220D5" w:rsidRPr="00E42B26">
        <w:t xml:space="preserve">few people have </w:t>
      </w:r>
      <w:r>
        <w:t>o</w:t>
      </w:r>
      <w:r w:rsidR="007C1371" w:rsidRPr="00E42B26">
        <w:t xml:space="preserve">ne. </w:t>
      </w:r>
      <w:r>
        <w:t xml:space="preserve">We examine </w:t>
      </w:r>
      <w:r w:rsidRPr="00E42B26">
        <w:t xml:space="preserve">factors associated with </w:t>
      </w:r>
      <w:r w:rsidR="00712153">
        <w:t xml:space="preserve">ACP </w:t>
      </w:r>
      <w:r w:rsidRPr="00E42B26">
        <w:t xml:space="preserve">engagement and design interventions </w:t>
      </w:r>
      <w:r w:rsidR="00B81C4E">
        <w:t>to</w:t>
      </w:r>
      <w:r w:rsidR="00B81C4E" w:rsidRPr="00E42B26">
        <w:t xml:space="preserve"> </w:t>
      </w:r>
      <w:r w:rsidRPr="00E42B26">
        <w:t xml:space="preserve">increase </w:t>
      </w:r>
      <w:r w:rsidRPr="00B16C18">
        <w:t xml:space="preserve">engagement. </w:t>
      </w:r>
      <w:r w:rsidR="00712153">
        <w:t xml:space="preserve">We find that </w:t>
      </w:r>
      <w:r w:rsidR="00505895" w:rsidRPr="009C10A9">
        <w:t>ACP holders and non</w:t>
      </w:r>
      <w:r w:rsidR="00A71BDF" w:rsidRPr="009C10A9">
        <w:t>-</w:t>
      </w:r>
      <w:r w:rsidR="00505895" w:rsidRPr="009C10A9">
        <w:t>holders</w:t>
      </w:r>
      <w:r w:rsidR="00097273">
        <w:t xml:space="preserve"> largely have common values and preferences</w:t>
      </w:r>
      <w:r w:rsidR="0051051C" w:rsidRPr="009C10A9">
        <w:t>,</w:t>
      </w:r>
      <w:r w:rsidR="007846FB" w:rsidRPr="009C10A9">
        <w:t xml:space="preserve"> </w:t>
      </w:r>
      <w:r w:rsidR="00097273">
        <w:t xml:space="preserve">which </w:t>
      </w:r>
      <w:r w:rsidR="00AC5302">
        <w:t xml:space="preserve">similarly </w:t>
      </w:r>
      <w:r w:rsidR="00097273">
        <w:t xml:space="preserve">vary with </w:t>
      </w:r>
      <w:r w:rsidR="00BB14C9">
        <w:t>demographics.</w:t>
      </w:r>
      <w:r w:rsidR="00097273">
        <w:t xml:space="preserve"> F</w:t>
      </w:r>
      <w:r w:rsidR="006F074B" w:rsidRPr="00B16C18">
        <w:t>or example</w:t>
      </w:r>
      <w:r w:rsidR="00097273">
        <w:t>,</w:t>
      </w:r>
      <w:r w:rsidR="006F074B" w:rsidRPr="00B16C18">
        <w:t xml:space="preserve"> older (vs. younger) individuals</w:t>
      </w:r>
      <w:r w:rsidR="000764FE">
        <w:t xml:space="preserve">, </w:t>
      </w:r>
      <w:r w:rsidR="000764FE" w:rsidRPr="00B16C18">
        <w:t xml:space="preserve">regardless of ACP </w:t>
      </w:r>
      <w:r w:rsidR="000764FE">
        <w:t>ownership</w:t>
      </w:r>
      <w:r w:rsidR="000764FE" w:rsidRPr="00B16C18">
        <w:t>,</w:t>
      </w:r>
      <w:r w:rsidR="002B6BA3">
        <w:t xml:space="preserve"> </w:t>
      </w:r>
      <w:r w:rsidR="006F074B" w:rsidRPr="00B16C18">
        <w:t xml:space="preserve">prefer to be able to care for themselves and to avoid prolonged </w:t>
      </w:r>
      <w:r w:rsidR="00BB14C9">
        <w:t>end</w:t>
      </w:r>
      <w:r w:rsidR="002B6BA3">
        <w:t>-</w:t>
      </w:r>
      <w:r w:rsidR="00BB14C9">
        <w:t>of</w:t>
      </w:r>
      <w:r w:rsidR="002B6BA3">
        <w:t>-</w:t>
      </w:r>
      <w:r w:rsidR="00BB14C9">
        <w:t xml:space="preserve">life </w:t>
      </w:r>
      <w:r w:rsidR="006F074B" w:rsidRPr="00B16C18">
        <w:t>medical interventions.</w:t>
      </w:r>
      <w:r w:rsidRPr="00B16C18">
        <w:t xml:space="preserve"> </w:t>
      </w:r>
      <w:r w:rsidR="00097273">
        <w:t xml:space="preserve">These two groups also differ in important ways: </w:t>
      </w:r>
      <w:r w:rsidR="00097273" w:rsidRPr="002436E9">
        <w:t>those who have or intend to create ACPs (versus not) prefer avoiding invasive life-sustaining treatments and having a peaceful end of life. </w:t>
      </w:r>
      <w:r w:rsidR="00097273">
        <w:t xml:space="preserve">However, </w:t>
      </w:r>
      <w:r w:rsidR="00232CB5">
        <w:t xml:space="preserve">interventions that use these similarities and differences to increase ACP engagement are </w:t>
      </w:r>
      <w:r w:rsidR="00AB6A98">
        <w:t>un</w:t>
      </w:r>
      <w:r w:rsidR="00232CB5">
        <w:t xml:space="preserve">successful. </w:t>
      </w:r>
      <w:r w:rsidR="00E47E73">
        <w:t>We propose</w:t>
      </w:r>
      <w:r w:rsidR="00A220D5" w:rsidRPr="00B16C18">
        <w:t xml:space="preserve"> that </w:t>
      </w:r>
      <w:r w:rsidR="00F57C44" w:rsidRPr="00B16C18">
        <w:t xml:space="preserve">structural approaches may be more </w:t>
      </w:r>
      <w:r w:rsidR="00232CB5">
        <w:t xml:space="preserve">effective </w:t>
      </w:r>
      <w:r w:rsidR="00F57C44" w:rsidRPr="00B16C18">
        <w:t xml:space="preserve">in </w:t>
      </w:r>
      <w:r w:rsidR="00A220D5" w:rsidRPr="00B16C18">
        <w:t>increas</w:t>
      </w:r>
      <w:r w:rsidR="00F57C44" w:rsidRPr="00B16C18">
        <w:t xml:space="preserve">ing </w:t>
      </w:r>
      <w:r w:rsidR="00E6519E" w:rsidRPr="00B16C18">
        <w:t xml:space="preserve">ACP </w:t>
      </w:r>
      <w:r w:rsidR="00A327A4" w:rsidRPr="00B16C18">
        <w:t>uptake</w:t>
      </w:r>
      <w:r w:rsidR="00DB6E32" w:rsidRPr="00B16C18">
        <w:t>.</w:t>
      </w:r>
      <w:r w:rsidR="00DB6E32" w:rsidRPr="00E42B26">
        <w:t xml:space="preserve"> </w:t>
      </w:r>
    </w:p>
    <w:p w14:paraId="3A289CC0" w14:textId="4312563B" w:rsidR="00097273" w:rsidRDefault="00097273" w:rsidP="00337DED">
      <w:pPr>
        <w:spacing w:line="360" w:lineRule="auto"/>
        <w:ind w:firstLine="709"/>
      </w:pPr>
    </w:p>
    <w:p w14:paraId="3182DF2A" w14:textId="77777777" w:rsidR="00097273" w:rsidRDefault="00097273" w:rsidP="00337DED">
      <w:pPr>
        <w:spacing w:line="360" w:lineRule="auto"/>
        <w:ind w:firstLine="709"/>
      </w:pPr>
    </w:p>
    <w:p w14:paraId="79AD7DD7" w14:textId="60E21F41" w:rsidR="0051051C" w:rsidRPr="00E42B26" w:rsidRDefault="0051051C" w:rsidP="00337DED">
      <w:pPr>
        <w:spacing w:line="360" w:lineRule="auto"/>
        <w:ind w:firstLine="709"/>
      </w:pPr>
    </w:p>
    <w:p w14:paraId="7AD5FA5E" w14:textId="45275876" w:rsidR="007B7193" w:rsidRPr="00E42B26" w:rsidRDefault="007B7193" w:rsidP="00791DAE">
      <w:pPr>
        <w:spacing w:line="360" w:lineRule="auto"/>
        <w:rPr>
          <w:b/>
          <w:bCs/>
          <w:sz w:val="28"/>
          <w:lang w:eastAsia="de-DE"/>
        </w:rPr>
      </w:pPr>
    </w:p>
    <w:p w14:paraId="4C6E65CD" w14:textId="77777777" w:rsidR="007B7193" w:rsidRPr="00E42B26" w:rsidRDefault="007B7193" w:rsidP="00791DAE">
      <w:pPr>
        <w:spacing w:line="360" w:lineRule="auto"/>
        <w:ind w:firstLine="432"/>
        <w:contextualSpacing/>
        <w:jc w:val="center"/>
        <w:rPr>
          <w:b/>
          <w:bCs/>
          <w:sz w:val="28"/>
          <w:lang w:eastAsia="de-DE"/>
        </w:rPr>
      </w:pPr>
    </w:p>
    <w:p w14:paraId="35BB05C9" w14:textId="77777777" w:rsidR="007B7193" w:rsidRPr="00E42B26" w:rsidRDefault="007B7193" w:rsidP="00791DAE">
      <w:pPr>
        <w:spacing w:line="360" w:lineRule="auto"/>
        <w:rPr>
          <w:b/>
          <w:bCs/>
          <w:sz w:val="28"/>
          <w:lang w:eastAsia="de-DE"/>
        </w:rPr>
      </w:pPr>
      <w:r w:rsidRPr="00E42B26">
        <w:rPr>
          <w:b/>
          <w:bCs/>
          <w:sz w:val="28"/>
          <w:lang w:eastAsia="de-DE"/>
        </w:rPr>
        <w:br w:type="page"/>
      </w:r>
    </w:p>
    <w:p w14:paraId="56776E92" w14:textId="0F51DBF9" w:rsidR="00821EA9" w:rsidRPr="00E42B26" w:rsidRDefault="00821EA9" w:rsidP="001B4F08">
      <w:pPr>
        <w:pStyle w:val="Heading1"/>
        <w:rPr>
          <w:lang w:eastAsia="de-DE"/>
        </w:rPr>
      </w:pPr>
      <w:r w:rsidRPr="00E42B26">
        <w:rPr>
          <w:lang w:eastAsia="de-DE"/>
        </w:rPr>
        <w:lastRenderedPageBreak/>
        <w:t>Introduction</w:t>
      </w:r>
    </w:p>
    <w:p w14:paraId="668E6F6E" w14:textId="27222C42" w:rsidR="004D512B" w:rsidRPr="00E42B26" w:rsidRDefault="004211DC" w:rsidP="00830BD5">
      <w:pPr>
        <w:spacing w:line="360" w:lineRule="auto"/>
        <w:ind w:firstLine="720"/>
      </w:pPr>
      <w:r w:rsidRPr="00E42B26">
        <w:t xml:space="preserve">The most difficult choices people might ever be asked to make </w:t>
      </w:r>
      <w:r w:rsidR="001325EC" w:rsidRPr="00E42B26">
        <w:t>i</w:t>
      </w:r>
      <w:r w:rsidRPr="00E42B26">
        <w:t>nvolv</w:t>
      </w:r>
      <w:r w:rsidR="001325EC" w:rsidRPr="00E42B26">
        <w:t xml:space="preserve">e </w:t>
      </w:r>
      <w:r w:rsidRPr="00E42B26">
        <w:t xml:space="preserve">critical health decisions for themselves, their loved ones, or </w:t>
      </w:r>
      <w:r w:rsidR="001325EC" w:rsidRPr="00E42B26">
        <w:t xml:space="preserve">others </w:t>
      </w:r>
      <w:r w:rsidR="00DB6DE3" w:rsidRPr="00E42B26">
        <w:t>in their care</w:t>
      </w:r>
      <w:r w:rsidRPr="00E42B26">
        <w:t xml:space="preserve">. </w:t>
      </w:r>
      <w:r w:rsidR="008D4170" w:rsidRPr="00E42B26">
        <w:t>C</w:t>
      </w:r>
      <w:r w:rsidR="00901D0F" w:rsidRPr="00E42B26">
        <w:t xml:space="preserve">onsider </w:t>
      </w:r>
      <w:r w:rsidR="00EE35A1" w:rsidRPr="00E42B26">
        <w:t xml:space="preserve">the following hypothetical scenarios. </w:t>
      </w:r>
      <w:r w:rsidR="004110DF" w:rsidRPr="00E42B26">
        <w:t>Ann</w:t>
      </w:r>
      <w:r w:rsidR="000714BE" w:rsidRPr="00E42B26">
        <w:t>abelle</w:t>
      </w:r>
      <w:r w:rsidR="00901D0F" w:rsidRPr="00E42B26">
        <w:t xml:space="preserve"> has </w:t>
      </w:r>
      <w:r w:rsidR="00F368A4" w:rsidRPr="00E42B26">
        <w:t xml:space="preserve">lived </w:t>
      </w:r>
      <w:r w:rsidR="00901D0F" w:rsidRPr="00E42B26">
        <w:t>a good long life</w:t>
      </w:r>
      <w:r w:rsidR="004110DF" w:rsidRPr="00E42B26">
        <w:t xml:space="preserve"> and</w:t>
      </w:r>
      <w:r w:rsidR="00901D0F" w:rsidRPr="00E42B26">
        <w:t xml:space="preserve"> </w:t>
      </w:r>
      <w:r w:rsidR="00716FDE" w:rsidRPr="00E42B26">
        <w:t xml:space="preserve">is now </w:t>
      </w:r>
      <w:r w:rsidR="00901D0F" w:rsidRPr="00E42B26">
        <w:t>in a nursing home</w:t>
      </w:r>
      <w:r w:rsidR="004110DF" w:rsidRPr="00E42B26">
        <w:t>. Unfortunately</w:t>
      </w:r>
      <w:r w:rsidR="004D512B" w:rsidRPr="00E42B26">
        <w:t>,</w:t>
      </w:r>
      <w:r w:rsidR="004110DF" w:rsidRPr="00E42B26">
        <w:t xml:space="preserve"> </w:t>
      </w:r>
      <w:r w:rsidR="000714BE" w:rsidRPr="00E42B26">
        <w:t>she</w:t>
      </w:r>
      <w:r w:rsidR="00901D0F" w:rsidRPr="00E42B26">
        <w:t xml:space="preserve"> </w:t>
      </w:r>
      <w:r w:rsidR="00952234" w:rsidRPr="00E42B26">
        <w:t>fell</w:t>
      </w:r>
      <w:r w:rsidR="00901D0F" w:rsidRPr="00E42B26">
        <w:t xml:space="preserve"> and is unconscious</w:t>
      </w:r>
      <w:r w:rsidR="004110DF" w:rsidRPr="00E42B26">
        <w:t>.</w:t>
      </w:r>
      <w:r w:rsidR="00901D0F" w:rsidRPr="00E42B26">
        <w:t xml:space="preserve"> </w:t>
      </w:r>
      <w:r w:rsidR="00952234" w:rsidRPr="00E42B26">
        <w:t>Her family must q</w:t>
      </w:r>
      <w:r w:rsidR="004110DF" w:rsidRPr="00E42B26">
        <w:t>uickly</w:t>
      </w:r>
      <w:r w:rsidR="00952234" w:rsidRPr="00E42B26">
        <w:t xml:space="preserve"> decide </w:t>
      </w:r>
      <w:r w:rsidR="00901D0F" w:rsidRPr="00E42B26">
        <w:t xml:space="preserve">whether to send her to the hospital or </w:t>
      </w:r>
      <w:r w:rsidR="00952234" w:rsidRPr="00E42B26">
        <w:t xml:space="preserve">have her </w:t>
      </w:r>
      <w:r w:rsidR="00901D0F" w:rsidRPr="00E42B26">
        <w:t>care</w:t>
      </w:r>
      <w:r w:rsidR="00952234" w:rsidRPr="00E42B26">
        <w:t>d</w:t>
      </w:r>
      <w:r w:rsidR="00901D0F" w:rsidRPr="00E42B26">
        <w:t xml:space="preserve"> for at the </w:t>
      </w:r>
      <w:r w:rsidR="004D512B" w:rsidRPr="00E42B26">
        <w:t xml:space="preserve">nursing </w:t>
      </w:r>
      <w:r w:rsidR="00901D0F" w:rsidRPr="00E42B26">
        <w:t>home.</w:t>
      </w:r>
    </w:p>
    <w:p w14:paraId="702135A5" w14:textId="65089475" w:rsidR="00901D0F" w:rsidRPr="00E42B26" w:rsidRDefault="000714BE" w:rsidP="00830BD5">
      <w:pPr>
        <w:spacing w:line="360" w:lineRule="auto"/>
        <w:ind w:firstLine="720"/>
      </w:pPr>
      <w:r w:rsidRPr="00E42B26">
        <w:t>Leandro</w:t>
      </w:r>
      <w:r w:rsidR="00EE35A1" w:rsidRPr="00E42B26">
        <w:t xml:space="preserve"> </w:t>
      </w:r>
      <w:r w:rsidR="004110DF" w:rsidRPr="00E42B26">
        <w:t>is in the hospital being treated for</w:t>
      </w:r>
      <w:r w:rsidR="00901D0F" w:rsidRPr="00E42B26">
        <w:t xml:space="preserve"> Covid</w:t>
      </w:r>
      <w:r w:rsidR="008C58E1" w:rsidRPr="00E42B26">
        <w:t>-19</w:t>
      </w:r>
      <w:r w:rsidR="00EE35A1" w:rsidRPr="00E42B26">
        <w:t>.</w:t>
      </w:r>
      <w:r w:rsidR="00524916" w:rsidRPr="00E42B26">
        <w:t xml:space="preserve"> </w:t>
      </w:r>
      <w:r w:rsidR="00EE35A1" w:rsidRPr="00E42B26">
        <w:t>His</w:t>
      </w:r>
      <w:r w:rsidR="00524916" w:rsidRPr="00E42B26">
        <w:t xml:space="preserve"> </w:t>
      </w:r>
      <w:r w:rsidR="004D512B" w:rsidRPr="00E42B26">
        <w:t xml:space="preserve">health </w:t>
      </w:r>
      <w:r w:rsidR="00901D0F" w:rsidRPr="00E42B26">
        <w:t>has deteriorated rapidly</w:t>
      </w:r>
      <w:r w:rsidR="004E185C" w:rsidRPr="00E42B26">
        <w:t>,</w:t>
      </w:r>
      <w:r w:rsidR="00B43B6E" w:rsidRPr="00E42B26">
        <w:t xml:space="preserve"> and h</w:t>
      </w:r>
      <w:r w:rsidR="00901D0F" w:rsidRPr="00E42B26">
        <w:t xml:space="preserve">e is </w:t>
      </w:r>
      <w:r w:rsidR="004110DF" w:rsidRPr="00E42B26">
        <w:t>unable to communicate</w:t>
      </w:r>
      <w:r w:rsidR="00952234" w:rsidRPr="00E42B26">
        <w:t>.</w:t>
      </w:r>
      <w:r w:rsidR="004110DF" w:rsidRPr="00E42B26">
        <w:t xml:space="preserve"> </w:t>
      </w:r>
      <w:r w:rsidR="00952234" w:rsidRPr="00E42B26">
        <w:t>H</w:t>
      </w:r>
      <w:r w:rsidR="004110DF" w:rsidRPr="00E42B26">
        <w:t xml:space="preserve">is family can only </w:t>
      </w:r>
      <w:r w:rsidR="00524916" w:rsidRPr="00E42B26">
        <w:t xml:space="preserve">interact </w:t>
      </w:r>
      <w:r w:rsidR="004110DF" w:rsidRPr="00E42B26">
        <w:t xml:space="preserve">with </w:t>
      </w:r>
      <w:r w:rsidR="00EE35A1" w:rsidRPr="00E42B26">
        <w:t xml:space="preserve">his </w:t>
      </w:r>
      <w:r w:rsidR="004110DF" w:rsidRPr="00E42B26">
        <w:t xml:space="preserve">medical team by phone. A decision must be made about whether to intubate </w:t>
      </w:r>
      <w:r w:rsidR="00EE35A1" w:rsidRPr="00E42B26">
        <w:t>him</w:t>
      </w:r>
      <w:r w:rsidR="004110DF" w:rsidRPr="00E42B26">
        <w:t xml:space="preserve">, though </w:t>
      </w:r>
      <w:r w:rsidR="00524916" w:rsidRPr="00E42B26">
        <w:t>the</w:t>
      </w:r>
      <w:r w:rsidR="004110DF" w:rsidRPr="00E42B26">
        <w:t xml:space="preserve"> medical team is not confident that he will survive even with this procedure.</w:t>
      </w:r>
    </w:p>
    <w:p w14:paraId="37BFEA8A" w14:textId="48E8B7DB" w:rsidR="00901D0F" w:rsidRPr="00E42B26" w:rsidRDefault="000714BE" w:rsidP="00830BD5">
      <w:pPr>
        <w:spacing w:line="360" w:lineRule="auto"/>
        <w:ind w:firstLine="709"/>
      </w:pPr>
      <w:r w:rsidRPr="00E42B26">
        <w:t>Keisha</w:t>
      </w:r>
      <w:r w:rsidR="00EE35A1" w:rsidRPr="00E42B26">
        <w:t xml:space="preserve"> has</w:t>
      </w:r>
      <w:r w:rsidR="00591C5B" w:rsidRPr="00E42B26">
        <w:t xml:space="preserve"> </w:t>
      </w:r>
      <w:r w:rsidR="009A0F03" w:rsidRPr="00E42B26">
        <w:t xml:space="preserve">terminal </w:t>
      </w:r>
      <w:r w:rsidR="00591C5B" w:rsidRPr="00E42B26">
        <w:t xml:space="preserve">cancer and likely </w:t>
      </w:r>
      <w:r w:rsidRPr="00E42B26">
        <w:t>less than a year</w:t>
      </w:r>
      <w:r w:rsidR="00591C5B" w:rsidRPr="00E42B26">
        <w:t xml:space="preserve"> to live. </w:t>
      </w:r>
      <w:r w:rsidRPr="00E42B26">
        <w:t xml:space="preserve">While in the hospital her heart stops, an immediate decision </w:t>
      </w:r>
      <w:r w:rsidR="008D4170" w:rsidRPr="00E42B26">
        <w:t>must</w:t>
      </w:r>
      <w:r w:rsidRPr="00E42B26">
        <w:t xml:space="preserve"> be made whether to attempt resuscitat</w:t>
      </w:r>
      <w:r w:rsidR="00BA06EF" w:rsidRPr="00E42B26">
        <w:t>ion</w:t>
      </w:r>
      <w:r w:rsidRPr="00E42B26">
        <w:t xml:space="preserve">, and </w:t>
      </w:r>
      <w:r w:rsidR="005859C1" w:rsidRPr="00E42B26">
        <w:t xml:space="preserve">the </w:t>
      </w:r>
      <w:r w:rsidRPr="00E42B26">
        <w:t>doctors cannot reach her family.</w:t>
      </w:r>
      <w:r w:rsidR="005859C1" w:rsidRPr="00E42B26">
        <w:t xml:space="preserve"> They</w:t>
      </w:r>
      <w:r w:rsidR="00591C5B" w:rsidRPr="00E42B26">
        <w:t xml:space="preserve"> do not know that </w:t>
      </w:r>
      <w:r w:rsidR="005859C1" w:rsidRPr="00E42B26">
        <w:t xml:space="preserve">the </w:t>
      </w:r>
      <w:r w:rsidR="00591C5B" w:rsidRPr="00E42B26">
        <w:t xml:space="preserve">wedding </w:t>
      </w:r>
      <w:r w:rsidR="005859C1" w:rsidRPr="00E42B26">
        <w:t xml:space="preserve">of Keisha’s daughter </w:t>
      </w:r>
      <w:r w:rsidR="00591C5B" w:rsidRPr="00E42B26">
        <w:t>is a few months away</w:t>
      </w:r>
      <w:r w:rsidR="004D512B" w:rsidRPr="00E42B26">
        <w:t xml:space="preserve"> and that all </w:t>
      </w:r>
      <w:r w:rsidR="005859C1" w:rsidRPr="00E42B26">
        <w:t>she</w:t>
      </w:r>
      <w:r w:rsidR="00830BD5" w:rsidRPr="00E42B26">
        <w:t xml:space="preserve"> </w:t>
      </w:r>
      <w:r w:rsidR="004D512B" w:rsidRPr="00E42B26">
        <w:t xml:space="preserve">wants is to live to see </w:t>
      </w:r>
      <w:r w:rsidR="00524916" w:rsidRPr="00E42B26">
        <w:t xml:space="preserve">this </w:t>
      </w:r>
      <w:r w:rsidR="004D512B" w:rsidRPr="00E42B26">
        <w:t>wedding.</w:t>
      </w:r>
    </w:p>
    <w:p w14:paraId="189D2163" w14:textId="1442E25E" w:rsidR="0025406B" w:rsidRPr="00E42B26" w:rsidRDefault="00EE35A1" w:rsidP="00830BD5">
      <w:pPr>
        <w:spacing w:line="360" w:lineRule="auto"/>
        <w:ind w:firstLine="709"/>
      </w:pPr>
      <w:r w:rsidRPr="00E42B26">
        <w:t xml:space="preserve">In these scenarios, </w:t>
      </w:r>
      <w:r w:rsidR="00524916" w:rsidRPr="00E42B26">
        <w:t xml:space="preserve">patients </w:t>
      </w:r>
      <w:r w:rsidR="00657F1F" w:rsidRPr="00E42B26">
        <w:t>are</w:t>
      </w:r>
      <w:r w:rsidR="004D512B" w:rsidRPr="00E42B26">
        <w:t xml:space="preserve"> unable to </w:t>
      </w:r>
      <w:r w:rsidR="009A0F03" w:rsidRPr="00E42B26">
        <w:t xml:space="preserve">communicate </w:t>
      </w:r>
      <w:r w:rsidR="004D512B" w:rsidRPr="00E42B26">
        <w:t xml:space="preserve">their </w:t>
      </w:r>
      <w:r w:rsidR="00657F1F" w:rsidRPr="00E42B26">
        <w:t xml:space="preserve">will. </w:t>
      </w:r>
      <w:r w:rsidR="00F07609" w:rsidRPr="00E42B26">
        <w:t>If</w:t>
      </w:r>
      <w:r w:rsidR="004D512B" w:rsidRPr="00E42B26">
        <w:t xml:space="preserve"> the</w:t>
      </w:r>
      <w:r w:rsidR="00952234" w:rsidRPr="00E42B26">
        <w:t>y</w:t>
      </w:r>
      <w:r w:rsidR="004D512B" w:rsidRPr="00E42B26">
        <w:t xml:space="preserve"> ha</w:t>
      </w:r>
      <w:r w:rsidR="00DD08D5" w:rsidRPr="00E42B26">
        <w:t>d created</w:t>
      </w:r>
      <w:r w:rsidR="00F07609" w:rsidRPr="00E42B26">
        <w:t xml:space="preserve"> </w:t>
      </w:r>
      <w:r w:rsidR="00015AF2" w:rsidRPr="00E42B26">
        <w:t>an</w:t>
      </w:r>
      <w:r w:rsidR="00DC6773" w:rsidRPr="00E42B26">
        <w:t xml:space="preserve"> </w:t>
      </w:r>
      <w:r w:rsidR="00851840" w:rsidRPr="00E42B26">
        <w:t xml:space="preserve">easily accessible </w:t>
      </w:r>
      <w:r w:rsidR="0025219D" w:rsidRPr="00E42B26">
        <w:t>a</w:t>
      </w:r>
      <w:r w:rsidR="00DD08D5" w:rsidRPr="00E42B26">
        <w:t xml:space="preserve">dvance </w:t>
      </w:r>
      <w:r w:rsidR="0025219D" w:rsidRPr="00E42B26">
        <w:t>c</w:t>
      </w:r>
      <w:r w:rsidR="00DD08D5" w:rsidRPr="00E42B26">
        <w:t xml:space="preserve">are </w:t>
      </w:r>
      <w:r w:rsidR="0025219D" w:rsidRPr="00E42B26">
        <w:t>p</w:t>
      </w:r>
      <w:r w:rsidR="00DD08D5" w:rsidRPr="00E42B26">
        <w:t xml:space="preserve">lan (ACP) </w:t>
      </w:r>
      <w:r w:rsidR="004D512B" w:rsidRPr="00E42B26">
        <w:t>indicat</w:t>
      </w:r>
      <w:r w:rsidR="00B43B6E" w:rsidRPr="00E42B26">
        <w:t xml:space="preserve">ing </w:t>
      </w:r>
      <w:r w:rsidR="004D512B" w:rsidRPr="00E42B26">
        <w:t>their preferences</w:t>
      </w:r>
      <w:r w:rsidR="00F07609" w:rsidRPr="00E42B26">
        <w:t xml:space="preserve">, these </w:t>
      </w:r>
      <w:r w:rsidR="001914EB" w:rsidRPr="00E42B26">
        <w:t xml:space="preserve">critical treatment </w:t>
      </w:r>
      <w:r w:rsidR="004D512B" w:rsidRPr="00E42B26">
        <w:t xml:space="preserve">decisions </w:t>
      </w:r>
      <w:r w:rsidR="00F07609" w:rsidRPr="00E42B26">
        <w:t xml:space="preserve">would be made by </w:t>
      </w:r>
      <w:r w:rsidR="00657F1F" w:rsidRPr="00E42B26">
        <w:t xml:space="preserve">informed medical teams or </w:t>
      </w:r>
      <w:r w:rsidR="00F07609" w:rsidRPr="00E42B26">
        <w:t xml:space="preserve">appointed </w:t>
      </w:r>
      <w:r w:rsidR="00657F1F" w:rsidRPr="00E42B26">
        <w:t xml:space="preserve">proxies. </w:t>
      </w:r>
      <w:r w:rsidR="00FF23CD" w:rsidRPr="00E42B26">
        <w:t>Since</w:t>
      </w:r>
      <w:r w:rsidR="005859C1" w:rsidRPr="00E42B26">
        <w:t xml:space="preserve"> </w:t>
      </w:r>
      <w:r w:rsidR="000700DB">
        <w:t xml:space="preserve">healthcare </w:t>
      </w:r>
      <w:r w:rsidR="00FF23CD" w:rsidRPr="00E42B26">
        <w:t>preferences are hard to predict</w:t>
      </w:r>
      <w:r w:rsidR="0084630C" w:rsidRPr="00E42B26">
        <w:t xml:space="preserve"> (</w:t>
      </w:r>
      <w:proofErr w:type="spellStart"/>
      <w:r w:rsidR="00DB04C8" w:rsidRPr="00E42B26">
        <w:t>Shalowitz</w:t>
      </w:r>
      <w:proofErr w:type="spellEnd"/>
      <w:r w:rsidR="00DB04C8" w:rsidRPr="00E42B26">
        <w:t>, Garrett-Mayer, and Wendler 2006</w:t>
      </w:r>
      <w:r w:rsidR="0084630C" w:rsidRPr="00E42B26">
        <w:t>)</w:t>
      </w:r>
      <w:r w:rsidR="00FF23CD" w:rsidRPr="00E42B26">
        <w:t xml:space="preserve">, </w:t>
      </w:r>
      <w:r w:rsidR="00524916" w:rsidRPr="00E42B26">
        <w:t xml:space="preserve">the </w:t>
      </w:r>
      <w:r w:rsidR="00FF23CD" w:rsidRPr="00E42B26">
        <w:t>lack of an A</w:t>
      </w:r>
      <w:r w:rsidR="00DD08D5" w:rsidRPr="00E42B26">
        <w:t xml:space="preserve">CP </w:t>
      </w:r>
      <w:r w:rsidR="00FF23CD" w:rsidRPr="00E42B26">
        <w:t xml:space="preserve">can result in unwanted treatments that are potentially </w:t>
      </w:r>
      <w:r w:rsidR="00A46FCD" w:rsidRPr="00E42B26">
        <w:t xml:space="preserve">harmful </w:t>
      </w:r>
      <w:r w:rsidR="00FF23CD" w:rsidRPr="00E42B26">
        <w:t>for patients</w:t>
      </w:r>
      <w:r w:rsidR="00DB04C8" w:rsidRPr="00E42B26">
        <w:t xml:space="preserve"> (</w:t>
      </w:r>
      <w:r w:rsidR="00A46FCD" w:rsidRPr="00E42B26">
        <w:t>Earle et al. 2008</w:t>
      </w:r>
      <w:r w:rsidR="00DB04C8" w:rsidRPr="00E42B26">
        <w:t>)</w:t>
      </w:r>
      <w:r w:rsidR="00FF23CD" w:rsidRPr="00E42B26">
        <w:t>, stressful for families</w:t>
      </w:r>
      <w:r w:rsidR="00DB04C8" w:rsidRPr="00E42B26">
        <w:t xml:space="preserve"> </w:t>
      </w:r>
      <w:r w:rsidR="00837C05" w:rsidRPr="00E42B26">
        <w:t>and</w:t>
      </w:r>
      <w:r w:rsidR="00FF23CD" w:rsidRPr="00E42B26">
        <w:t xml:space="preserve"> </w:t>
      </w:r>
      <w:r w:rsidR="00837C05" w:rsidRPr="00E42B26">
        <w:t>medical professionals (</w:t>
      </w:r>
      <w:r w:rsidR="00417DB6">
        <w:t>Detering et al. 2010</w:t>
      </w:r>
      <w:r w:rsidR="001C7B54" w:rsidRPr="00E42B26">
        <w:t xml:space="preserve">; </w:t>
      </w:r>
      <w:r w:rsidR="00837C05" w:rsidRPr="00E42B26">
        <w:t xml:space="preserve">Peterson et al. 2010), </w:t>
      </w:r>
      <w:r w:rsidR="00FF23CD" w:rsidRPr="00E42B26">
        <w:t xml:space="preserve">and costly for </w:t>
      </w:r>
      <w:r w:rsidR="00C2510B" w:rsidRPr="00E42B26">
        <w:t>individuals</w:t>
      </w:r>
      <w:r w:rsidRPr="00E42B26">
        <w:t xml:space="preserve"> and </w:t>
      </w:r>
      <w:r w:rsidR="00FF23CD" w:rsidRPr="00E42B26">
        <w:t xml:space="preserve">society </w:t>
      </w:r>
      <w:r w:rsidR="0084630C" w:rsidRPr="00E42B26">
        <w:t>(</w:t>
      </w:r>
      <w:r w:rsidR="00DB04C8" w:rsidRPr="00E42B26">
        <w:t>Zhang et al. 2009</w:t>
      </w:r>
      <w:r w:rsidR="0095346D">
        <w:t>;</w:t>
      </w:r>
      <w:r w:rsidR="00DB04C8" w:rsidRPr="00E42B26">
        <w:t xml:space="preserve"> Colaberdino</w:t>
      </w:r>
      <w:r w:rsidR="00F50A04" w:rsidRPr="00E42B26">
        <w:t xml:space="preserve"> et al.</w:t>
      </w:r>
      <w:r w:rsidR="00DB04C8" w:rsidRPr="00E42B26">
        <w:t xml:space="preserve"> 2016</w:t>
      </w:r>
      <w:r w:rsidR="0084630C" w:rsidRPr="00E42B26">
        <w:t>)</w:t>
      </w:r>
      <w:r w:rsidR="00FF23CD" w:rsidRPr="00E42B26">
        <w:t xml:space="preserve">. </w:t>
      </w:r>
      <w:r w:rsidR="00015AF2" w:rsidRPr="00E42B26">
        <w:t>Despite this</w:t>
      </w:r>
      <w:r w:rsidR="00DD08D5" w:rsidRPr="00E42B26">
        <w:t xml:space="preserve">, </w:t>
      </w:r>
      <w:r w:rsidR="0025406B" w:rsidRPr="00E42B26">
        <w:t xml:space="preserve">very few people worldwide have </w:t>
      </w:r>
      <w:r w:rsidR="001C7B54" w:rsidRPr="00E42B26">
        <w:t>ACP</w:t>
      </w:r>
      <w:r w:rsidR="009314C8">
        <w:t>s</w:t>
      </w:r>
      <w:r w:rsidR="001C7B54" w:rsidRPr="00E42B26">
        <w:t xml:space="preserve"> </w:t>
      </w:r>
      <w:r w:rsidR="0084630C" w:rsidRPr="00E42B26">
        <w:t>(</w:t>
      </w:r>
      <w:r w:rsidR="007B0CC9" w:rsidRPr="00E42B26">
        <w:t>Carr and Luth 2017</w:t>
      </w:r>
      <w:r w:rsidR="001E67F6" w:rsidRPr="00E42B26">
        <w:t>)</w:t>
      </w:r>
      <w:r w:rsidR="00135F83" w:rsidRPr="00E42B26">
        <w:t>.</w:t>
      </w:r>
      <w:r w:rsidR="00997097" w:rsidRPr="00E42B26">
        <w:t xml:space="preserve"> </w:t>
      </w:r>
      <w:r w:rsidR="00135F83" w:rsidRPr="00E42B26">
        <w:t>O</w:t>
      </w:r>
      <w:r w:rsidR="0025406B" w:rsidRPr="00E42B26">
        <w:t xml:space="preserve">ur goal is to </w:t>
      </w:r>
      <w:r w:rsidR="001C7B54" w:rsidRPr="00E42B26">
        <w:t xml:space="preserve">understand what factors are associated with individuals’ engagement in advance care planning and whether these factors can be used to design interventions that increase this engagement. </w:t>
      </w:r>
    </w:p>
    <w:p w14:paraId="3722D481" w14:textId="76FBE00B" w:rsidR="005F2241" w:rsidRDefault="0025406B" w:rsidP="001B4F08">
      <w:pPr>
        <w:spacing w:line="360" w:lineRule="auto"/>
        <w:ind w:firstLine="709"/>
      </w:pPr>
      <w:r w:rsidRPr="00E42B26">
        <w:t xml:space="preserve">We </w:t>
      </w:r>
      <w:r w:rsidR="001E67F6" w:rsidRPr="00E42B26">
        <w:t>first</w:t>
      </w:r>
      <w:r w:rsidRPr="00E42B26">
        <w:t xml:space="preserve"> review the literature on ACP</w:t>
      </w:r>
      <w:r w:rsidR="00D664B7" w:rsidRPr="00E42B26">
        <w:t>s</w:t>
      </w:r>
      <w:r w:rsidR="004D536E" w:rsidRPr="00E42B26">
        <w:t xml:space="preserve"> and </w:t>
      </w:r>
      <w:r w:rsidR="00BA06EF" w:rsidRPr="00E42B26">
        <w:t>their</w:t>
      </w:r>
      <w:r w:rsidR="004D536E" w:rsidRPr="00E42B26">
        <w:t xml:space="preserve"> uptake</w:t>
      </w:r>
      <w:r w:rsidRPr="00E42B26">
        <w:t xml:space="preserve">. </w:t>
      </w:r>
      <w:r w:rsidR="00326853" w:rsidRPr="00E42B26">
        <w:t xml:space="preserve">We then </w:t>
      </w:r>
      <w:proofErr w:type="spellStart"/>
      <w:r w:rsidR="00952234" w:rsidRPr="00E42B26">
        <w:t>analy</w:t>
      </w:r>
      <w:r w:rsidR="008D1202" w:rsidRPr="00E42B26">
        <w:t>z</w:t>
      </w:r>
      <w:r w:rsidR="00952234" w:rsidRPr="00E42B26">
        <w:t>e</w:t>
      </w:r>
      <w:proofErr w:type="spellEnd"/>
      <w:r w:rsidR="00E5429F" w:rsidRPr="00E42B26">
        <w:t xml:space="preserve"> data from a digital advance care planning platform</w:t>
      </w:r>
      <w:r w:rsidR="00BA117C" w:rsidRPr="002010F9">
        <w:t xml:space="preserve">, </w:t>
      </w:r>
      <w:r w:rsidR="0046748A" w:rsidRPr="002010F9">
        <w:t>find</w:t>
      </w:r>
      <w:r w:rsidR="00570A10" w:rsidRPr="002010F9">
        <w:t xml:space="preserve"> </w:t>
      </w:r>
      <w:r w:rsidR="009E4D3E" w:rsidRPr="002010F9">
        <w:t xml:space="preserve">commonalities and differences </w:t>
      </w:r>
      <w:r w:rsidR="00570A10" w:rsidRPr="002010F9">
        <w:t xml:space="preserve">in values and preferences </w:t>
      </w:r>
      <w:r w:rsidR="00851840" w:rsidRPr="002010F9">
        <w:t xml:space="preserve">across </w:t>
      </w:r>
      <w:r w:rsidR="009E7928" w:rsidRPr="002010F9">
        <w:t>ACP</w:t>
      </w:r>
      <w:r w:rsidR="003A71DC" w:rsidRPr="002010F9">
        <w:t xml:space="preserve"> holders</w:t>
      </w:r>
      <w:r w:rsidR="00570A10" w:rsidRPr="002010F9">
        <w:t xml:space="preserve">, </w:t>
      </w:r>
      <w:r w:rsidR="001D2FBD" w:rsidRPr="002010F9">
        <w:t xml:space="preserve">and </w:t>
      </w:r>
      <w:r w:rsidR="00DE562E" w:rsidRPr="002010F9">
        <w:t>show</w:t>
      </w:r>
      <w:r w:rsidR="00DE562E">
        <w:t xml:space="preserve"> </w:t>
      </w:r>
      <w:r w:rsidR="001D2FBD">
        <w:t>th</w:t>
      </w:r>
      <w:r w:rsidR="0069777A">
        <w:t>at the</w:t>
      </w:r>
      <w:r w:rsidR="002B6BA3">
        <w:t xml:space="preserve">y </w:t>
      </w:r>
      <w:r w:rsidR="001D2FBD">
        <w:t>v</w:t>
      </w:r>
      <w:r w:rsidR="009E4D3E">
        <w:t>ary with demographic</w:t>
      </w:r>
      <w:r w:rsidR="001779F1">
        <w:t>s</w:t>
      </w:r>
      <w:r w:rsidR="00251B63">
        <w:t>.</w:t>
      </w:r>
      <w:r w:rsidR="00A71BDF">
        <w:t xml:space="preserve"> </w:t>
      </w:r>
      <w:r w:rsidR="00251B63">
        <w:t>F</w:t>
      </w:r>
      <w:r w:rsidR="00A71BDF">
        <w:t xml:space="preserve">or example, </w:t>
      </w:r>
      <w:r w:rsidR="007846FB" w:rsidRPr="007846FB">
        <w:t xml:space="preserve">older </w:t>
      </w:r>
      <w:r w:rsidR="007846FB">
        <w:t>(</w:t>
      </w:r>
      <w:r w:rsidR="007846FB" w:rsidRPr="007846FB">
        <w:t>vs. younger) individuals prefer be</w:t>
      </w:r>
      <w:r w:rsidR="00A71BDF">
        <w:t>ing</w:t>
      </w:r>
      <w:r w:rsidR="007846FB" w:rsidRPr="007846FB">
        <w:t xml:space="preserve"> able to care for themselves and avoid</w:t>
      </w:r>
      <w:r w:rsidR="00A71BDF">
        <w:t>ing</w:t>
      </w:r>
      <w:r w:rsidR="007846FB" w:rsidRPr="007846FB">
        <w:t xml:space="preserve"> </w:t>
      </w:r>
      <w:r w:rsidR="00A71BDF">
        <w:t xml:space="preserve">invasive life-sustaining treatments. </w:t>
      </w:r>
      <w:r w:rsidR="00DE562E">
        <w:t>We</w:t>
      </w:r>
      <w:r w:rsidR="00DE562E" w:rsidRPr="00E42B26">
        <w:t xml:space="preserve"> </w:t>
      </w:r>
      <w:r w:rsidR="009E4D3E">
        <w:t xml:space="preserve">replicate these </w:t>
      </w:r>
      <w:r w:rsidR="00FD0979">
        <w:t>patterns</w:t>
      </w:r>
      <w:r w:rsidR="009E4D3E">
        <w:t xml:space="preserve"> in survey data among </w:t>
      </w:r>
      <w:r w:rsidR="00570A10">
        <w:t>non</w:t>
      </w:r>
      <w:r w:rsidR="005E2420">
        <w:t>-</w:t>
      </w:r>
      <w:r w:rsidR="00570A10">
        <w:t>holders</w:t>
      </w:r>
      <w:r w:rsidR="005E2420">
        <w:t xml:space="preserve"> of ACPs</w:t>
      </w:r>
      <w:r w:rsidR="002010F9">
        <w:t xml:space="preserve">. We also </w:t>
      </w:r>
      <w:r w:rsidR="00804BBD">
        <w:t xml:space="preserve">observe </w:t>
      </w:r>
      <w:r w:rsidR="002010F9">
        <w:t>mostly c</w:t>
      </w:r>
      <w:r w:rsidR="00A71BDF">
        <w:t>ommon</w:t>
      </w:r>
      <w:r w:rsidR="007846FB">
        <w:t xml:space="preserve"> </w:t>
      </w:r>
      <w:r w:rsidR="007846FB" w:rsidRPr="007846FB">
        <w:t xml:space="preserve">preferences </w:t>
      </w:r>
      <w:r w:rsidR="007846FB">
        <w:t>for</w:t>
      </w:r>
      <w:r w:rsidR="007846FB" w:rsidRPr="007846FB">
        <w:t xml:space="preserve"> ACP holders and non</w:t>
      </w:r>
      <w:r w:rsidR="00A71BDF">
        <w:t>-</w:t>
      </w:r>
      <w:r w:rsidR="007846FB" w:rsidRPr="00464333">
        <w:t>holders</w:t>
      </w:r>
      <w:r w:rsidR="00464333">
        <w:t xml:space="preserve">, but </w:t>
      </w:r>
      <w:r w:rsidR="0007513E">
        <w:t xml:space="preserve">find </w:t>
      </w:r>
      <w:r w:rsidR="00A71BDF" w:rsidRPr="00464333">
        <w:t>some</w:t>
      </w:r>
      <w:r w:rsidR="00A71BDF" w:rsidRPr="002010F9">
        <w:t xml:space="preserve"> importa</w:t>
      </w:r>
      <w:r w:rsidR="002010F9">
        <w:t>nt</w:t>
      </w:r>
      <w:r w:rsidR="00A71BDF" w:rsidRPr="002010F9">
        <w:t xml:space="preserve"> differences</w:t>
      </w:r>
      <w:r w:rsidR="002010F9">
        <w:t xml:space="preserve"> </w:t>
      </w:r>
      <w:r w:rsidR="00464333">
        <w:t xml:space="preserve">that are </w:t>
      </w:r>
      <w:r w:rsidR="002010F9">
        <w:t>consistent across studies</w:t>
      </w:r>
      <w:r w:rsidR="00A71BDF" w:rsidRPr="002010F9">
        <w:t xml:space="preserve">: </w:t>
      </w:r>
      <w:r w:rsidR="007846FB" w:rsidRPr="002010F9">
        <w:t xml:space="preserve">those who have or intend to create ACPs </w:t>
      </w:r>
      <w:r w:rsidR="007846FB" w:rsidRPr="002010F9">
        <w:lastRenderedPageBreak/>
        <w:t>have a greater</w:t>
      </w:r>
      <w:r w:rsidR="007846FB" w:rsidRPr="007846FB">
        <w:t xml:space="preserve"> </w:t>
      </w:r>
      <w:r w:rsidR="007846FB">
        <w:t xml:space="preserve">preference </w:t>
      </w:r>
      <w:r w:rsidR="00464333">
        <w:t>for</w:t>
      </w:r>
      <w:r w:rsidR="007846FB" w:rsidRPr="007846FB">
        <w:t xml:space="preserve"> </w:t>
      </w:r>
      <w:r w:rsidR="007846FB">
        <w:t>avoid</w:t>
      </w:r>
      <w:r w:rsidR="00464333">
        <w:t>ing</w:t>
      </w:r>
      <w:r w:rsidR="007846FB">
        <w:t xml:space="preserve"> </w:t>
      </w:r>
      <w:r w:rsidR="007846FB" w:rsidRPr="007846FB">
        <w:t xml:space="preserve">invasive life-sustaining treatments </w:t>
      </w:r>
      <w:r w:rsidR="007846FB">
        <w:t>and for</w:t>
      </w:r>
      <w:r w:rsidR="00464333">
        <w:t xml:space="preserve"> having</w:t>
      </w:r>
      <w:r w:rsidR="007846FB" w:rsidRPr="007846FB">
        <w:t xml:space="preserve"> a more peaceful end of life</w:t>
      </w:r>
      <w:r w:rsidR="000A5F99">
        <w:t xml:space="preserve"> than those who do not have </w:t>
      </w:r>
      <w:r w:rsidR="002010F9">
        <w:t xml:space="preserve">or do not intend to create </w:t>
      </w:r>
      <w:r w:rsidR="00464333">
        <w:t>ACPs</w:t>
      </w:r>
      <w:r w:rsidR="007846FB" w:rsidRPr="007846FB">
        <w:t>.</w:t>
      </w:r>
      <w:r w:rsidR="007846FB">
        <w:t xml:space="preserve"> </w:t>
      </w:r>
      <w:r w:rsidR="00570A10">
        <w:t>W</w:t>
      </w:r>
      <w:r w:rsidR="00340A7B" w:rsidRPr="00E42B26">
        <w:t xml:space="preserve">e </w:t>
      </w:r>
      <w:r w:rsidR="00A71BDF">
        <w:t xml:space="preserve">then leverage </w:t>
      </w:r>
      <w:r w:rsidR="00A71BDF" w:rsidRPr="002010F9">
        <w:t>these similarities and differences</w:t>
      </w:r>
      <w:r w:rsidR="00A71BDF">
        <w:t xml:space="preserve"> to </w:t>
      </w:r>
      <w:r w:rsidR="00340A7B" w:rsidRPr="00E42B26">
        <w:t>examine</w:t>
      </w:r>
      <w:r w:rsidR="009E7928" w:rsidRPr="00E42B26">
        <w:t xml:space="preserve"> whether </w:t>
      </w:r>
      <w:r w:rsidR="00A71BDF">
        <w:t xml:space="preserve">manipulating </w:t>
      </w:r>
      <w:r w:rsidR="000A5F99">
        <w:t xml:space="preserve">individual </w:t>
      </w:r>
      <w:r w:rsidR="00C44DA0" w:rsidRPr="00E42B26">
        <w:t xml:space="preserve">values and </w:t>
      </w:r>
      <w:r w:rsidR="000A5F99">
        <w:t xml:space="preserve">healthcare </w:t>
      </w:r>
      <w:r w:rsidR="009E7928" w:rsidRPr="00E42B26">
        <w:t xml:space="preserve">preferences could </w:t>
      </w:r>
      <w:r w:rsidR="00BA117C">
        <w:t>enhance</w:t>
      </w:r>
      <w:r w:rsidR="009E7928" w:rsidRPr="00E42B26">
        <w:t xml:space="preserve"> engagement in advance care planning</w:t>
      </w:r>
      <w:r w:rsidR="001C07E6" w:rsidRPr="00E42B26">
        <w:t xml:space="preserve">; </w:t>
      </w:r>
      <w:r w:rsidR="00372712" w:rsidRPr="00E42B26">
        <w:t xml:space="preserve">however, </w:t>
      </w:r>
      <w:r w:rsidR="009E7928" w:rsidRPr="00E42B26">
        <w:t xml:space="preserve">these manipulations do not increase, and sometimes even decrease, </w:t>
      </w:r>
      <w:r w:rsidR="00C44DA0" w:rsidRPr="00E42B26">
        <w:t>engagement</w:t>
      </w:r>
      <w:r w:rsidR="000700DB">
        <w:t xml:space="preserve">. </w:t>
      </w:r>
      <w:r w:rsidR="005B626C" w:rsidRPr="00E42B26">
        <w:t xml:space="preserve">We </w:t>
      </w:r>
      <w:r w:rsidR="00C92575" w:rsidRPr="00E42B26">
        <w:t xml:space="preserve">therefore suggest that </w:t>
      </w:r>
      <w:r w:rsidR="005F416B" w:rsidRPr="00E42B26">
        <w:t xml:space="preserve">interventions </w:t>
      </w:r>
      <w:r w:rsidR="00396DEC">
        <w:t xml:space="preserve">focused on </w:t>
      </w:r>
      <w:r w:rsidR="005B626C" w:rsidRPr="00E42B26">
        <w:t>structural</w:t>
      </w:r>
      <w:r w:rsidR="007E1352" w:rsidRPr="00E42B26">
        <w:t xml:space="preserve"> </w:t>
      </w:r>
      <w:r w:rsidR="00C92575" w:rsidRPr="00E42B26">
        <w:t xml:space="preserve">approaches </w:t>
      </w:r>
      <w:r w:rsidR="007E441C">
        <w:t>i</w:t>
      </w:r>
      <w:r w:rsidR="00F57C44" w:rsidRPr="00E42B26">
        <w:t>nvolv</w:t>
      </w:r>
      <w:r w:rsidR="00DE562E">
        <w:t>ing</w:t>
      </w:r>
      <w:r w:rsidR="00F57C44" w:rsidRPr="00E42B26">
        <w:t xml:space="preserve"> </w:t>
      </w:r>
      <w:r w:rsidR="00DE562E">
        <w:t>relevant</w:t>
      </w:r>
      <w:r w:rsidR="00DE562E" w:rsidRPr="00E42B26">
        <w:t xml:space="preserve"> </w:t>
      </w:r>
      <w:r w:rsidR="00387480" w:rsidRPr="00E42B26">
        <w:t>stakeholders</w:t>
      </w:r>
      <w:r w:rsidR="007E441C">
        <w:t xml:space="preserve"> </w:t>
      </w:r>
      <w:r w:rsidR="00F5186E" w:rsidRPr="00E42B26">
        <w:t>m</w:t>
      </w:r>
      <w:r w:rsidR="007E1352" w:rsidRPr="00E42B26">
        <w:t xml:space="preserve">ay be more </w:t>
      </w:r>
      <w:r w:rsidR="000700DB">
        <w:t>effective</w:t>
      </w:r>
      <w:r w:rsidR="007E441C">
        <w:t>, and test one such intervention entailing the normalization of the ACP creation process</w:t>
      </w:r>
      <w:r w:rsidR="001E07E6" w:rsidRPr="00E42B26">
        <w:t xml:space="preserve">. Finally, we </w:t>
      </w:r>
      <w:r w:rsidR="00C92575" w:rsidRPr="00E42B26">
        <w:t>highlight opportunities for continuing research on this important topic.</w:t>
      </w:r>
      <w:r w:rsidR="007E1352" w:rsidRPr="00E42B26">
        <w:t xml:space="preserve"> </w:t>
      </w:r>
    </w:p>
    <w:p w14:paraId="53298984" w14:textId="43BAB5F2" w:rsidR="006B52F2" w:rsidRPr="00E42B26" w:rsidRDefault="005F2241" w:rsidP="001B4F08">
      <w:pPr>
        <w:pStyle w:val="Heading1"/>
        <w:rPr>
          <w:lang w:eastAsia="de-DE"/>
        </w:rPr>
      </w:pPr>
      <w:r w:rsidRPr="00E42B26">
        <w:rPr>
          <w:lang w:eastAsia="de-DE"/>
        </w:rPr>
        <w:t xml:space="preserve">Advance </w:t>
      </w:r>
      <w:r w:rsidR="00FB2008" w:rsidRPr="00E42B26">
        <w:rPr>
          <w:lang w:eastAsia="de-DE"/>
        </w:rPr>
        <w:t>C</w:t>
      </w:r>
      <w:r w:rsidRPr="00E42B26">
        <w:rPr>
          <w:lang w:eastAsia="de-DE"/>
        </w:rPr>
        <w:t xml:space="preserve">are </w:t>
      </w:r>
      <w:r w:rsidR="004F1E45" w:rsidRPr="00E42B26">
        <w:rPr>
          <w:lang w:eastAsia="de-DE"/>
        </w:rPr>
        <w:t>Planning</w:t>
      </w:r>
    </w:p>
    <w:p w14:paraId="5EBE0351" w14:textId="62589DC2" w:rsidR="0061026B" w:rsidRPr="00334EEC" w:rsidRDefault="0060452D" w:rsidP="0061026B">
      <w:pPr>
        <w:spacing w:line="360" w:lineRule="auto"/>
        <w:ind w:firstLine="709"/>
      </w:pPr>
      <w:r w:rsidRPr="00E42B26">
        <w:t>Advance care planning refers to the</w:t>
      </w:r>
      <w:r w:rsidR="001E07E6" w:rsidRPr="00E42B26">
        <w:t xml:space="preserve"> </w:t>
      </w:r>
      <w:r w:rsidRPr="00E42B26">
        <w:t xml:space="preserve">process of </w:t>
      </w:r>
      <w:r w:rsidR="00D43317" w:rsidRPr="00E42B26">
        <w:t xml:space="preserve">learning about different types of healthcare treatment </w:t>
      </w:r>
      <w:r w:rsidR="001E07E6" w:rsidRPr="00E42B26">
        <w:t>options</w:t>
      </w:r>
      <w:r w:rsidR="00D43317" w:rsidRPr="00E42B26">
        <w:t xml:space="preserve">, considering them ahead of time, </w:t>
      </w:r>
      <w:r w:rsidR="001E07E6" w:rsidRPr="00E42B26">
        <w:t xml:space="preserve">not only </w:t>
      </w:r>
      <w:r w:rsidR="000026B6" w:rsidRPr="00E42B26">
        <w:t xml:space="preserve">during </w:t>
      </w:r>
      <w:r w:rsidR="001E07E6" w:rsidRPr="00E42B26">
        <w:t xml:space="preserve">a health crisis, and </w:t>
      </w:r>
      <w:r w:rsidR="00D43317" w:rsidRPr="00E42B26">
        <w:t xml:space="preserve">letting family and healthcare providers know </w:t>
      </w:r>
      <w:r w:rsidR="007E441C">
        <w:t xml:space="preserve">values and </w:t>
      </w:r>
      <w:r w:rsidR="00D42CB7" w:rsidRPr="00E42B26">
        <w:t xml:space="preserve">preferences </w:t>
      </w:r>
      <w:r w:rsidR="00D43317" w:rsidRPr="00E42B26">
        <w:t xml:space="preserve">in case </w:t>
      </w:r>
      <w:r w:rsidR="00444E68">
        <w:t xml:space="preserve">one is </w:t>
      </w:r>
      <w:r w:rsidRPr="00E42B26">
        <w:t xml:space="preserve">unable to </w:t>
      </w:r>
      <w:r w:rsidR="000A5F99">
        <w:t xml:space="preserve">speak or </w:t>
      </w:r>
      <w:r w:rsidRPr="00E42B26">
        <w:t xml:space="preserve">decide </w:t>
      </w:r>
      <w:r w:rsidR="00444E68">
        <w:t xml:space="preserve">autonomously </w:t>
      </w:r>
      <w:r w:rsidRPr="00E42B26">
        <w:t>(</w:t>
      </w:r>
      <w:r w:rsidR="00D43317" w:rsidRPr="00E42B26">
        <w:t>NIH 2020</w:t>
      </w:r>
      <w:r w:rsidRPr="00E42B26">
        <w:t xml:space="preserve">). </w:t>
      </w:r>
      <w:r w:rsidR="00976FDD" w:rsidRPr="00E42B26">
        <w:t xml:space="preserve">An </w:t>
      </w:r>
      <w:r w:rsidR="0025219D" w:rsidRPr="00E42B26">
        <w:t>a</w:t>
      </w:r>
      <w:r w:rsidR="00976FDD" w:rsidRPr="00E42B26">
        <w:t xml:space="preserve">dvance </w:t>
      </w:r>
      <w:r w:rsidR="0025219D" w:rsidRPr="00E42B26">
        <w:t>c</w:t>
      </w:r>
      <w:r w:rsidR="00976FDD" w:rsidRPr="00E42B26">
        <w:t xml:space="preserve">are </w:t>
      </w:r>
      <w:r w:rsidR="0025219D" w:rsidRPr="00E42B26">
        <w:t>p</w:t>
      </w:r>
      <w:r w:rsidR="00976FDD" w:rsidRPr="00E42B26">
        <w:t>lan (A</w:t>
      </w:r>
      <w:r w:rsidRPr="00E42B26">
        <w:t>CP</w:t>
      </w:r>
      <w:r w:rsidR="00976FDD" w:rsidRPr="00E42B26">
        <w:t>)</w:t>
      </w:r>
      <w:r w:rsidRPr="00E42B26">
        <w:t xml:space="preserve"> </w:t>
      </w:r>
      <w:r w:rsidR="00A54ECB" w:rsidRPr="00E42B26">
        <w:t>is the outcome of the planning process</w:t>
      </w:r>
      <w:r w:rsidR="001E07E6" w:rsidRPr="00E42B26">
        <w:t xml:space="preserve">. In most countries, </w:t>
      </w:r>
      <w:r w:rsidR="0061026B" w:rsidRPr="00E42B26">
        <w:t>ACP</w:t>
      </w:r>
      <w:r w:rsidR="00755DAE">
        <w:t>s</w:t>
      </w:r>
      <w:r w:rsidR="0061026B" w:rsidRPr="00E42B26">
        <w:t xml:space="preserve"> </w:t>
      </w:r>
      <w:r w:rsidR="001E07E6" w:rsidRPr="00E42B26">
        <w:t>replace two paper-based documents—Living Will</w:t>
      </w:r>
      <w:r w:rsidR="00755DAE">
        <w:t>s</w:t>
      </w:r>
      <w:r w:rsidR="001E07E6" w:rsidRPr="00E42B26">
        <w:t xml:space="preserve"> and Medical Power</w:t>
      </w:r>
      <w:r w:rsidR="00755DAE">
        <w:t>s</w:t>
      </w:r>
      <w:r w:rsidR="001E07E6" w:rsidRPr="00E42B26">
        <w:t xml:space="preserve"> of Attorney—that, when combined, are </w:t>
      </w:r>
      <w:r w:rsidR="00F230D7" w:rsidRPr="00E42B26">
        <w:t>commonly</w:t>
      </w:r>
      <w:r w:rsidR="001E07E6" w:rsidRPr="00E42B26">
        <w:t xml:space="preserve"> referred to as Advance Health Directive</w:t>
      </w:r>
      <w:r w:rsidR="00755DAE">
        <w:t>s</w:t>
      </w:r>
      <w:r w:rsidR="001E07E6" w:rsidRPr="00E42B26">
        <w:t xml:space="preserve"> (AHD)</w:t>
      </w:r>
      <w:r w:rsidR="005132DE" w:rsidRPr="00E42B26">
        <w:t xml:space="preserve">. </w:t>
      </w:r>
      <w:r w:rsidR="00731D20" w:rsidRPr="00E42B26">
        <w:t>Living Will</w:t>
      </w:r>
      <w:r w:rsidR="00755DAE">
        <w:t>s</w:t>
      </w:r>
      <w:r w:rsidR="00731D20" w:rsidRPr="00E42B26">
        <w:t xml:space="preserve"> outline the types of medical care to be executed or avoided (e.g., cardiopulmonary resuscitation</w:t>
      </w:r>
      <w:r w:rsidR="00444E68">
        <w:t xml:space="preserve">, or </w:t>
      </w:r>
      <w:r w:rsidR="002418AE">
        <w:t>CPR</w:t>
      </w:r>
      <w:r w:rsidR="00444E68">
        <w:t xml:space="preserve">, </w:t>
      </w:r>
      <w:r w:rsidR="00731D20" w:rsidRPr="00E42B26">
        <w:t>artificial nutrition and hydration, mechanical ventilation, and palliative care)</w:t>
      </w:r>
      <w:r w:rsidR="00260350" w:rsidRPr="00E42B26">
        <w:t>,</w:t>
      </w:r>
      <w:r w:rsidR="00731D20" w:rsidRPr="00E42B26">
        <w:t xml:space="preserve"> whereas Medical Power</w:t>
      </w:r>
      <w:r w:rsidR="00B161C5">
        <w:t>s</w:t>
      </w:r>
      <w:r w:rsidR="00731D20" w:rsidRPr="00E42B26">
        <w:t xml:space="preserve"> of Attorney identif</w:t>
      </w:r>
      <w:r w:rsidR="00B161C5">
        <w:t>y</w:t>
      </w:r>
      <w:r w:rsidR="00731D20" w:rsidRPr="00E42B26">
        <w:t xml:space="preserve"> persons having the authority to make treatment decisions if </w:t>
      </w:r>
      <w:r w:rsidR="005F364F">
        <w:t xml:space="preserve">there is no </w:t>
      </w:r>
      <w:r w:rsidR="00731D20" w:rsidRPr="00E42B26">
        <w:t xml:space="preserve">living will or for circumstances not covered by </w:t>
      </w:r>
      <w:r w:rsidR="007E441C">
        <w:t xml:space="preserve">it. </w:t>
      </w:r>
      <w:r w:rsidR="001E07E6" w:rsidRPr="00E42B26">
        <w:t>ACP</w:t>
      </w:r>
      <w:r w:rsidR="00755DAE">
        <w:t>s</w:t>
      </w:r>
      <w:r w:rsidR="001E07E6" w:rsidRPr="00E42B26">
        <w:t xml:space="preserve"> </w:t>
      </w:r>
      <w:r w:rsidR="00A54ECB" w:rsidRPr="00E42B26">
        <w:t xml:space="preserve">can be written or </w:t>
      </w:r>
      <w:r w:rsidR="00731D20" w:rsidRPr="00E42B26">
        <w:t>digital document</w:t>
      </w:r>
      <w:r w:rsidR="00755DAE">
        <w:t>s</w:t>
      </w:r>
      <w:r w:rsidR="00731D20" w:rsidRPr="00E42B26">
        <w:t xml:space="preserve">, </w:t>
      </w:r>
      <w:r w:rsidR="00A54ECB" w:rsidRPr="00E42B26">
        <w:t>recorded</w:t>
      </w:r>
      <w:r w:rsidR="00731D20" w:rsidRPr="00E42B26">
        <w:t xml:space="preserve"> statement</w:t>
      </w:r>
      <w:r w:rsidR="00755DAE">
        <w:t>s</w:t>
      </w:r>
      <w:r w:rsidR="00731D20" w:rsidRPr="00E42B26">
        <w:t>, or a combination of the</w:t>
      </w:r>
      <w:r w:rsidR="00755DAE">
        <w:t>se</w:t>
      </w:r>
      <w:r w:rsidR="00731D20" w:rsidRPr="00E42B26">
        <w:t xml:space="preserve">. Regardless of format, </w:t>
      </w:r>
      <w:r w:rsidR="00755DAE">
        <w:t>they</w:t>
      </w:r>
      <w:r w:rsidR="00755DAE" w:rsidRPr="00E42B26">
        <w:t xml:space="preserve"> </w:t>
      </w:r>
      <w:r w:rsidR="00731D20" w:rsidRPr="00E42B26">
        <w:t xml:space="preserve">should </w:t>
      </w:r>
      <w:r w:rsidR="00A54ECB" w:rsidRPr="00E42B26">
        <w:t xml:space="preserve">include </w:t>
      </w:r>
      <w:r w:rsidR="00837C05" w:rsidRPr="00E42B26">
        <w:t>individuals’</w:t>
      </w:r>
      <w:r w:rsidR="008D1202" w:rsidRPr="00E42B26">
        <w:t xml:space="preserve"> </w:t>
      </w:r>
      <w:r w:rsidRPr="00E42B26">
        <w:t>values</w:t>
      </w:r>
      <w:r w:rsidR="0061026B" w:rsidRPr="00E42B26">
        <w:t xml:space="preserve">, priorities </w:t>
      </w:r>
      <w:r w:rsidRPr="00E42B26">
        <w:t xml:space="preserve">and goals of care, preferences </w:t>
      </w:r>
      <w:r w:rsidR="004D4DB4" w:rsidRPr="00E42B26">
        <w:t xml:space="preserve">regarding </w:t>
      </w:r>
      <w:r w:rsidRPr="00E42B26">
        <w:t>end-of-life treatments</w:t>
      </w:r>
      <w:r w:rsidR="008A3653" w:rsidRPr="00E42B26">
        <w:t xml:space="preserve"> and practical arrangements</w:t>
      </w:r>
      <w:r w:rsidR="00D21118" w:rsidRPr="00E42B26">
        <w:t xml:space="preserve">, </w:t>
      </w:r>
      <w:r w:rsidR="0061026B" w:rsidRPr="00E42B26">
        <w:t>healthcare proxy</w:t>
      </w:r>
      <w:r w:rsidR="00114ACD">
        <w:t xml:space="preserve"> names</w:t>
      </w:r>
      <w:r w:rsidR="0061026B" w:rsidRPr="00E42B26">
        <w:t xml:space="preserve">, </w:t>
      </w:r>
      <w:r w:rsidR="00D21118" w:rsidRPr="00E42B26">
        <w:t xml:space="preserve">as well as </w:t>
      </w:r>
      <w:r w:rsidR="00206D77" w:rsidRPr="00E42B26">
        <w:rPr>
          <w:color w:val="121212"/>
          <w:shd w:val="clear" w:color="auto" w:fill="FFFFFF"/>
        </w:rPr>
        <w:t xml:space="preserve">any </w:t>
      </w:r>
      <w:r w:rsidR="00DA76B6" w:rsidRPr="00E42B26">
        <w:rPr>
          <w:color w:val="121212"/>
          <w:shd w:val="clear" w:color="auto" w:fill="FFFFFF"/>
        </w:rPr>
        <w:t xml:space="preserve">additional </w:t>
      </w:r>
      <w:r w:rsidR="00206D77" w:rsidRPr="00E42B26">
        <w:rPr>
          <w:color w:val="121212"/>
          <w:shd w:val="clear" w:color="auto" w:fill="FFFFFF"/>
        </w:rPr>
        <w:t xml:space="preserve">information </w:t>
      </w:r>
      <w:r w:rsidR="00114ACD">
        <w:rPr>
          <w:color w:val="121212"/>
          <w:shd w:val="clear" w:color="auto" w:fill="FFFFFF"/>
        </w:rPr>
        <w:t>deemed</w:t>
      </w:r>
      <w:r w:rsidR="00206D77" w:rsidRPr="00E42B26">
        <w:rPr>
          <w:color w:val="121212"/>
          <w:shd w:val="clear" w:color="auto" w:fill="FFFFFF"/>
        </w:rPr>
        <w:t xml:space="preserve"> important</w:t>
      </w:r>
      <w:r w:rsidR="0061026B" w:rsidRPr="00E42B26">
        <w:rPr>
          <w:color w:val="121212"/>
          <w:shd w:val="clear" w:color="auto" w:fill="FFFFFF"/>
        </w:rPr>
        <w:t xml:space="preserve"> in the event </w:t>
      </w:r>
      <w:r w:rsidR="00B161C5">
        <w:rPr>
          <w:color w:val="121212"/>
          <w:shd w:val="clear" w:color="auto" w:fill="FFFFFF"/>
        </w:rPr>
        <w:t>individuals</w:t>
      </w:r>
      <w:r w:rsidR="00B161C5" w:rsidRPr="00E42B26">
        <w:rPr>
          <w:color w:val="121212"/>
          <w:shd w:val="clear" w:color="auto" w:fill="FFFFFF"/>
        </w:rPr>
        <w:t xml:space="preserve"> </w:t>
      </w:r>
      <w:r w:rsidR="0061026B" w:rsidRPr="00E42B26">
        <w:rPr>
          <w:color w:val="121212"/>
          <w:shd w:val="clear" w:color="auto" w:fill="FFFFFF"/>
        </w:rPr>
        <w:t xml:space="preserve">cannot communicate during </w:t>
      </w:r>
      <w:r w:rsidR="00114ACD">
        <w:rPr>
          <w:color w:val="121212"/>
          <w:shd w:val="clear" w:color="auto" w:fill="FFFFFF"/>
        </w:rPr>
        <w:t>a</w:t>
      </w:r>
      <w:r w:rsidR="00114ACD" w:rsidRPr="00E42B26">
        <w:rPr>
          <w:color w:val="121212"/>
          <w:shd w:val="clear" w:color="auto" w:fill="FFFFFF"/>
        </w:rPr>
        <w:t xml:space="preserve"> </w:t>
      </w:r>
      <w:r w:rsidR="0061026B" w:rsidRPr="00E42B26">
        <w:rPr>
          <w:color w:val="121212"/>
          <w:shd w:val="clear" w:color="auto" w:fill="FFFFFF"/>
        </w:rPr>
        <w:t>health crisis</w:t>
      </w:r>
      <w:r w:rsidR="0061026B" w:rsidRPr="00E42B26">
        <w:rPr>
          <w:rFonts w:ascii="Times" w:hAnsi="Times" w:cs="Times"/>
          <w:color w:val="121212"/>
          <w:sz w:val="23"/>
          <w:szCs w:val="23"/>
          <w:shd w:val="clear" w:color="auto" w:fill="FFFFFF"/>
        </w:rPr>
        <w:t xml:space="preserve"> </w:t>
      </w:r>
      <w:r w:rsidR="0061026B" w:rsidRPr="00E42B26">
        <w:t>(</w:t>
      </w:r>
      <w:proofErr w:type="spellStart"/>
      <w:r w:rsidR="0061026B" w:rsidRPr="00E42B26">
        <w:t>Puchalski</w:t>
      </w:r>
      <w:proofErr w:type="spellEnd"/>
      <w:r w:rsidR="0061026B" w:rsidRPr="00E42B26">
        <w:t xml:space="preserve"> et al. 2000; The Aspen Institute Health Strategy Group 2016</w:t>
      </w:r>
      <w:r w:rsidR="0095346D">
        <w:t xml:space="preserve">; </w:t>
      </w:r>
      <w:r w:rsidR="0095346D" w:rsidRPr="00E42B26">
        <w:t>NIH 2020</w:t>
      </w:r>
      <w:r w:rsidR="0061026B" w:rsidRPr="00E42B26">
        <w:t>).</w:t>
      </w:r>
      <w:r w:rsidR="00A5671E" w:rsidRPr="00E42B26">
        <w:t xml:space="preserve"> </w:t>
      </w:r>
    </w:p>
    <w:p w14:paraId="68678930" w14:textId="67EA67E4" w:rsidR="001E603D" w:rsidRPr="00E42B26" w:rsidRDefault="00996562" w:rsidP="00E30FF8">
      <w:pPr>
        <w:spacing w:line="360" w:lineRule="auto"/>
        <w:ind w:firstLine="709"/>
      </w:pPr>
      <w:r w:rsidRPr="00E42B26">
        <w:t>A</w:t>
      </w:r>
      <w:r w:rsidR="00E72C9C" w:rsidRPr="00E42B26">
        <w:t>dvance care planning</w:t>
      </w:r>
      <w:r w:rsidR="009C7903" w:rsidRPr="00E42B26">
        <w:t xml:space="preserve"> is </w:t>
      </w:r>
      <w:r w:rsidRPr="00E42B26">
        <w:t>b</w:t>
      </w:r>
      <w:r w:rsidR="007514A4" w:rsidRPr="00E42B26">
        <w:t>eneficial b</w:t>
      </w:r>
      <w:r w:rsidRPr="00E42B26">
        <w:t xml:space="preserve">oth </w:t>
      </w:r>
      <w:r w:rsidR="007514A4" w:rsidRPr="00E42B26">
        <w:t xml:space="preserve">from a societal and </w:t>
      </w:r>
      <w:r w:rsidR="00AB5043" w:rsidRPr="00E42B26">
        <w:t>an individual perspective</w:t>
      </w:r>
      <w:r w:rsidR="00F5186E" w:rsidRPr="00E42B26">
        <w:t>,</w:t>
      </w:r>
      <w:r w:rsidR="00E5397D" w:rsidRPr="00E42B26">
        <w:t xml:space="preserve"> especially if the documents are </w:t>
      </w:r>
      <w:r w:rsidR="00804795" w:rsidRPr="00E42B26">
        <w:t xml:space="preserve">authenticated, </w:t>
      </w:r>
      <w:r w:rsidR="00E5397D" w:rsidRPr="00E42B26">
        <w:t>frequently updated</w:t>
      </w:r>
      <w:r w:rsidR="00804795" w:rsidRPr="00E42B26">
        <w:t>,</w:t>
      </w:r>
      <w:r w:rsidR="00E5397D" w:rsidRPr="00E42B26">
        <w:t xml:space="preserve"> and </w:t>
      </w:r>
      <w:r w:rsidR="008338D3">
        <w:t xml:space="preserve">readily </w:t>
      </w:r>
      <w:r w:rsidR="00E5397D" w:rsidRPr="00E42B26">
        <w:t>accessible in electronic medical record</w:t>
      </w:r>
      <w:r w:rsidR="00B17904" w:rsidRPr="00E42B26">
        <w:t>s</w:t>
      </w:r>
      <w:r w:rsidR="00AB5043" w:rsidRPr="00E42B26">
        <w:t>. From a soci</w:t>
      </w:r>
      <w:r w:rsidR="007514A4" w:rsidRPr="00E42B26">
        <w:t>etal perspective, ACP</w:t>
      </w:r>
      <w:r w:rsidR="00E72C9C" w:rsidRPr="00E42B26">
        <w:t>s</w:t>
      </w:r>
      <w:r w:rsidR="007514A4" w:rsidRPr="00E42B26">
        <w:t xml:space="preserve"> can significantly lower </w:t>
      </w:r>
      <w:r w:rsidR="00755DAE">
        <w:t>public healthcare</w:t>
      </w:r>
      <w:r w:rsidR="00755DAE" w:rsidRPr="00E42B26">
        <w:t xml:space="preserve"> </w:t>
      </w:r>
      <w:r w:rsidR="007514A4" w:rsidRPr="00E42B26">
        <w:t xml:space="preserve">costs </w:t>
      </w:r>
      <w:r w:rsidR="00394A4D" w:rsidRPr="00E42B26">
        <w:t xml:space="preserve">by reducing </w:t>
      </w:r>
      <w:r w:rsidR="00DA76B6" w:rsidRPr="00E42B26">
        <w:t xml:space="preserve">clinician’s </w:t>
      </w:r>
      <w:r w:rsidR="00110B60" w:rsidRPr="00E42B26">
        <w:t>d</w:t>
      </w:r>
      <w:r w:rsidR="00E5397D" w:rsidRPr="00E42B26">
        <w:t xml:space="preserve">elays </w:t>
      </w:r>
      <w:r w:rsidR="00DA76B6" w:rsidRPr="00E42B26">
        <w:t xml:space="preserve">in </w:t>
      </w:r>
      <w:r w:rsidR="00E5397D" w:rsidRPr="00E42B26">
        <w:t>decid</w:t>
      </w:r>
      <w:r w:rsidR="00DA76B6" w:rsidRPr="00E42B26">
        <w:t>ing</w:t>
      </w:r>
      <w:r w:rsidR="00E5397D" w:rsidRPr="00E42B26">
        <w:t xml:space="preserve"> what </w:t>
      </w:r>
      <w:r w:rsidR="00394A4D" w:rsidRPr="00E42B26">
        <w:t xml:space="preserve">treatments </w:t>
      </w:r>
      <w:r w:rsidR="00110B60" w:rsidRPr="00E42B26">
        <w:t xml:space="preserve">to administer and </w:t>
      </w:r>
      <w:r w:rsidR="00E5397D" w:rsidRPr="00E42B26">
        <w:t>the</w:t>
      </w:r>
      <w:r w:rsidR="00EC0F4A">
        <w:t>ir</w:t>
      </w:r>
      <w:r w:rsidR="00E5397D" w:rsidRPr="00E42B26">
        <w:t xml:space="preserve"> costs</w:t>
      </w:r>
      <w:r w:rsidR="00EC0F4A">
        <w:t xml:space="preserve">. </w:t>
      </w:r>
      <w:r w:rsidR="00712DB8" w:rsidRPr="00E42B26">
        <w:t xml:space="preserve">Medicare’s spending </w:t>
      </w:r>
      <w:r w:rsidR="00E5397D" w:rsidRPr="00E42B26">
        <w:t xml:space="preserve">in the last six months of life </w:t>
      </w:r>
      <w:r w:rsidR="00E72C9C" w:rsidRPr="00E42B26">
        <w:t xml:space="preserve">comprises </w:t>
      </w:r>
      <w:r w:rsidR="007514A4" w:rsidRPr="00E42B26">
        <w:t>from</w:t>
      </w:r>
      <w:r w:rsidR="00E72C9C" w:rsidRPr="00E42B26">
        <w:t xml:space="preserve"> </w:t>
      </w:r>
      <w:r w:rsidR="00712DB8" w:rsidRPr="00E42B26">
        <w:t>13</w:t>
      </w:r>
      <w:r w:rsidR="00394A4D" w:rsidRPr="00E42B26">
        <w:t>%</w:t>
      </w:r>
      <w:r w:rsidR="007514A4" w:rsidRPr="00E42B26">
        <w:t xml:space="preserve"> to </w:t>
      </w:r>
      <w:r w:rsidR="00712DB8" w:rsidRPr="00E42B26">
        <w:t>25</w:t>
      </w:r>
      <w:r w:rsidR="007514A4" w:rsidRPr="00E42B26">
        <w:t xml:space="preserve">% </w:t>
      </w:r>
      <w:r w:rsidR="00712DB8" w:rsidRPr="00E42B26">
        <w:t xml:space="preserve">of all </w:t>
      </w:r>
      <w:r w:rsidR="00712DB8" w:rsidRPr="00E42B26">
        <w:lastRenderedPageBreak/>
        <w:t>benefit costs</w:t>
      </w:r>
      <w:r w:rsidR="00201B44" w:rsidRPr="00E42B26">
        <w:t xml:space="preserve"> (</w:t>
      </w:r>
      <w:r w:rsidR="007514A4" w:rsidRPr="00E42B26">
        <w:t>between $96 and $185 billion in 2018</w:t>
      </w:r>
      <w:r w:rsidR="00201B44" w:rsidRPr="00E42B26">
        <w:t xml:space="preserve">; </w:t>
      </w:r>
      <w:r w:rsidR="00712DB8" w:rsidRPr="00E42B26">
        <w:t>Duncan</w:t>
      </w:r>
      <w:r w:rsidR="0053759E" w:rsidRPr="00E42B26">
        <w:t xml:space="preserve"> et al.</w:t>
      </w:r>
      <w:r w:rsidR="00712DB8" w:rsidRPr="00E42B26">
        <w:t xml:space="preserve"> 2019)</w:t>
      </w:r>
      <w:r w:rsidR="00E5397D" w:rsidRPr="00E42B26">
        <w:t xml:space="preserve">. Various studies </w:t>
      </w:r>
      <w:r w:rsidR="00804795" w:rsidRPr="00E42B26">
        <w:t xml:space="preserve">report different estimates of the savings from ACPs including </w:t>
      </w:r>
      <w:r w:rsidR="00B17904" w:rsidRPr="00E42B26">
        <w:t xml:space="preserve">13.55 fewer </w:t>
      </w:r>
      <w:r w:rsidR="00985476">
        <w:t xml:space="preserve">per-patient </w:t>
      </w:r>
      <w:r w:rsidR="00B17904" w:rsidRPr="00E42B26">
        <w:t xml:space="preserve">hospital days </w:t>
      </w:r>
      <w:r w:rsidR="00BB562F" w:rsidRPr="00E42B26">
        <w:t>(</w:t>
      </w:r>
      <w:r w:rsidR="00B17904" w:rsidRPr="00E42B26">
        <w:t>Third Way 2015</w:t>
      </w:r>
      <w:r w:rsidR="00BB562F" w:rsidRPr="00E42B26">
        <w:t>)</w:t>
      </w:r>
      <w:r w:rsidR="00804795" w:rsidRPr="00E42B26">
        <w:t>,</w:t>
      </w:r>
      <w:r w:rsidR="00110B60" w:rsidRPr="00E42B26">
        <w:t xml:space="preserve"> </w:t>
      </w:r>
      <w:r w:rsidR="00D928DF" w:rsidRPr="00E42B26">
        <w:t xml:space="preserve">a </w:t>
      </w:r>
      <w:r w:rsidR="00784BA7" w:rsidRPr="00E42B26">
        <w:t xml:space="preserve">decrease of </w:t>
      </w:r>
      <w:r w:rsidR="00D928DF" w:rsidRPr="00E42B26">
        <w:t xml:space="preserve">35% in unnecessary or unwanted care (Colaberdino et al. 2016), </w:t>
      </w:r>
      <w:r w:rsidR="00804795" w:rsidRPr="00E42B26">
        <w:t xml:space="preserve">and </w:t>
      </w:r>
      <w:r w:rsidR="00784BA7" w:rsidRPr="00E42B26">
        <w:t xml:space="preserve">a cost reduction of </w:t>
      </w:r>
      <w:r w:rsidR="00B4125F" w:rsidRPr="00E42B26">
        <w:t xml:space="preserve">$9,500 </w:t>
      </w:r>
      <w:r w:rsidR="00D928DF" w:rsidRPr="00E42B26">
        <w:t xml:space="preserve">per person </w:t>
      </w:r>
      <w:r w:rsidR="00C31369" w:rsidRPr="00E42B26">
        <w:t>(</w:t>
      </w:r>
      <w:r w:rsidR="007750DA" w:rsidRPr="00E42B26">
        <w:t>Bond et al. 2018)</w:t>
      </w:r>
      <w:r w:rsidR="00B4125F" w:rsidRPr="00E42B26">
        <w:t xml:space="preserve">. </w:t>
      </w:r>
      <w:r w:rsidR="009A40E9" w:rsidRPr="00E42B26">
        <w:t xml:space="preserve">Other estimates include a </w:t>
      </w:r>
      <w:r w:rsidR="0004325F" w:rsidRPr="00E42B26">
        <w:t>net annual savings of $8.3 billion for Medicare</w:t>
      </w:r>
      <w:r w:rsidR="009A40E9" w:rsidRPr="00E42B26">
        <w:t xml:space="preserve"> by </w:t>
      </w:r>
      <w:r w:rsidR="00EC0F4A">
        <w:t xml:space="preserve">ensuring </w:t>
      </w:r>
      <w:r w:rsidR="009A40E9" w:rsidRPr="00E42B26">
        <w:t>end-of-life care</w:t>
      </w:r>
      <w:r w:rsidR="00784BA7" w:rsidRPr="00E42B26">
        <w:t xml:space="preserve"> that is consistent with patients’ wishes</w:t>
      </w:r>
      <w:r w:rsidR="009A40E9" w:rsidRPr="00E42B26">
        <w:t xml:space="preserve"> </w:t>
      </w:r>
      <w:r w:rsidR="0004325F" w:rsidRPr="00E42B26">
        <w:t>(</w:t>
      </w:r>
      <w:r w:rsidR="009C49FC" w:rsidRPr="00E42B26">
        <w:t>Rinaldo, Altman, and Cannon 2020)</w:t>
      </w:r>
      <w:hyperlink w:history="1"/>
      <w:r w:rsidR="0004325F" w:rsidRPr="00E42B26">
        <w:t xml:space="preserve">. </w:t>
      </w:r>
      <w:r w:rsidR="00A2310A" w:rsidRPr="00E42B26">
        <w:t xml:space="preserve">Critically, this cost reduction </w:t>
      </w:r>
      <w:r w:rsidR="00A83576" w:rsidRPr="00E42B26">
        <w:t>does not imply reduc</w:t>
      </w:r>
      <w:r w:rsidR="00411B95" w:rsidRPr="00E42B26">
        <w:t xml:space="preserve">ed </w:t>
      </w:r>
      <w:r w:rsidR="00DF21A2" w:rsidRPr="00E42B26">
        <w:t>quality of</w:t>
      </w:r>
      <w:r w:rsidR="00212322" w:rsidRPr="00E42B26">
        <w:t xml:space="preserve"> </w:t>
      </w:r>
      <w:r w:rsidR="00A83576" w:rsidRPr="00E42B26">
        <w:t>care</w:t>
      </w:r>
      <w:r w:rsidR="00A06DEE" w:rsidRPr="00E42B26">
        <w:t xml:space="preserve"> or increase</w:t>
      </w:r>
      <w:r w:rsidR="00411B95" w:rsidRPr="00E42B26">
        <w:t>d</w:t>
      </w:r>
      <w:r w:rsidR="00A06DEE" w:rsidRPr="00E42B26">
        <w:t xml:space="preserve"> mortality rates (</w:t>
      </w:r>
      <w:r w:rsidR="00132114" w:rsidRPr="00E42B26">
        <w:t>Zhang et al. 2009</w:t>
      </w:r>
      <w:r w:rsidR="00DA2D6D">
        <w:t xml:space="preserve">; </w:t>
      </w:r>
      <w:r w:rsidR="00DA2D6D" w:rsidRPr="00E42B26">
        <w:t>Detering et al. 2010</w:t>
      </w:r>
      <w:r w:rsidR="00212322" w:rsidRPr="00E42B26">
        <w:t>).</w:t>
      </w:r>
    </w:p>
    <w:p w14:paraId="6A9B2946" w14:textId="0070B3AC" w:rsidR="007B0CC9" w:rsidRPr="00E42B26" w:rsidRDefault="00B0330E" w:rsidP="00195EA5">
      <w:pPr>
        <w:spacing w:line="360" w:lineRule="auto"/>
        <w:ind w:firstLine="709"/>
        <w:rPr>
          <w:b/>
          <w:bCs/>
          <w:lang w:eastAsia="de-DE"/>
        </w:rPr>
      </w:pPr>
      <w:r w:rsidRPr="00E42B26">
        <w:t>From an individual perspective,</w:t>
      </w:r>
      <w:r w:rsidR="00C641AD">
        <w:t xml:space="preserve"> a</w:t>
      </w:r>
      <w:r w:rsidR="00C641AD" w:rsidRPr="00E42B26">
        <w:t xml:space="preserve">dvance care planning is consistent with the bioethical principle of autonomy and individual choice, which defends </w:t>
      </w:r>
      <w:r w:rsidR="00C641AD">
        <w:t>individuals’</w:t>
      </w:r>
      <w:r w:rsidR="00C641AD" w:rsidRPr="00E42B26">
        <w:t xml:space="preserve"> right to direct their medical treatment (Snyder 2012). This principle guides healthcare decision-making processes in the Western world and </w:t>
      </w:r>
      <w:r w:rsidR="00C641AD">
        <w:t xml:space="preserve">helps </w:t>
      </w:r>
      <w:r w:rsidR="00C641AD" w:rsidRPr="00E42B26">
        <w:t>individuals</w:t>
      </w:r>
      <w:r w:rsidR="00C641AD">
        <w:t xml:space="preserve"> receive </w:t>
      </w:r>
      <w:r w:rsidR="00C641AD" w:rsidRPr="00E42B26">
        <w:t>treatments that are consistent with their values and preferences</w:t>
      </w:r>
      <w:r w:rsidR="00C641AD">
        <w:t xml:space="preserve"> </w:t>
      </w:r>
      <w:r w:rsidR="00C641AD" w:rsidRPr="00E42B26">
        <w:t>(Scheunemann et al. 2015</w:t>
      </w:r>
      <w:r w:rsidR="00DA2D6D">
        <w:t xml:space="preserve">; </w:t>
      </w:r>
      <w:r w:rsidR="00DA2D6D" w:rsidRPr="00E42B26">
        <w:t>Carr and Luth 2017</w:t>
      </w:r>
      <w:r w:rsidR="00DA2D6D">
        <w:t xml:space="preserve">; </w:t>
      </w:r>
      <w:r w:rsidR="00DA2D6D" w:rsidRPr="00E42B26">
        <w:t>Bond et al. 2018</w:t>
      </w:r>
      <w:r w:rsidR="00C641AD" w:rsidRPr="00E42B26">
        <w:t>).</w:t>
      </w:r>
      <w:r w:rsidR="009F4AAB" w:rsidRPr="00E42B26">
        <w:t xml:space="preserve"> </w:t>
      </w:r>
      <w:r w:rsidR="00C31369" w:rsidRPr="00E42B26">
        <w:t xml:space="preserve">For example, </w:t>
      </w:r>
      <w:r w:rsidR="005C04B9" w:rsidRPr="00E42B26">
        <w:t xml:space="preserve">although </w:t>
      </w:r>
      <w:r w:rsidR="00C31369" w:rsidRPr="00E42B26">
        <w:t xml:space="preserve">86% </w:t>
      </w:r>
      <w:r w:rsidR="005C04B9" w:rsidRPr="00E42B26">
        <w:t xml:space="preserve">of terminally ill patients </w:t>
      </w:r>
      <w:r w:rsidR="00E36DCB">
        <w:t xml:space="preserve">in the U.S. </w:t>
      </w:r>
      <w:r w:rsidR="00C31369" w:rsidRPr="00E42B26">
        <w:t>prefer to die at home</w:t>
      </w:r>
      <w:r w:rsidR="005C04B9" w:rsidRPr="00E42B26">
        <w:t xml:space="preserve">, </w:t>
      </w:r>
      <w:r w:rsidR="009F4AAB" w:rsidRPr="00E42B26">
        <w:t>only 22% do so</w:t>
      </w:r>
      <w:r w:rsidR="000714BE" w:rsidRPr="00E42B26">
        <w:t>,</w:t>
      </w:r>
      <w:r w:rsidR="009F4AAB" w:rsidRPr="00E42B26">
        <w:t xml:space="preserve"> wh</w:t>
      </w:r>
      <w:r w:rsidR="00F7050B" w:rsidRPr="00E42B26">
        <w:t>ereas</w:t>
      </w:r>
      <w:r w:rsidR="009F4AAB" w:rsidRPr="00E42B26">
        <w:t xml:space="preserve"> the majority (</w:t>
      </w:r>
      <w:r w:rsidR="00C31369" w:rsidRPr="00E42B26">
        <w:t>58%</w:t>
      </w:r>
      <w:r w:rsidR="009F4AAB" w:rsidRPr="00E42B26">
        <w:t>)</w:t>
      </w:r>
      <w:r w:rsidR="00C31369" w:rsidRPr="00E42B26">
        <w:t xml:space="preserve"> die in hospital</w:t>
      </w:r>
      <w:r w:rsidR="00E72C9C" w:rsidRPr="00E42B26">
        <w:t>s</w:t>
      </w:r>
      <w:r w:rsidR="009F4AAB" w:rsidRPr="00E42B26">
        <w:t xml:space="preserve"> </w:t>
      </w:r>
      <w:r w:rsidR="003A2699" w:rsidRPr="00E42B26">
        <w:t>(Fine</w:t>
      </w:r>
      <w:r w:rsidR="0053759E" w:rsidRPr="00E42B26">
        <w:t xml:space="preserve"> et al.</w:t>
      </w:r>
      <w:r w:rsidR="003A2699" w:rsidRPr="00E42B26">
        <w:t xml:space="preserve"> 2016)</w:t>
      </w:r>
      <w:r w:rsidR="005C04B9" w:rsidRPr="00E42B26">
        <w:t xml:space="preserve">. </w:t>
      </w:r>
      <w:r w:rsidR="009B4FE8" w:rsidRPr="00E42B26">
        <w:t>The</w:t>
      </w:r>
      <w:r w:rsidR="00AE0E48" w:rsidRPr="00E42B26">
        <w:t xml:space="preserve"> </w:t>
      </w:r>
      <w:r w:rsidR="009B4FE8" w:rsidRPr="00E42B26">
        <w:t xml:space="preserve">misalignment </w:t>
      </w:r>
      <w:r w:rsidR="006E4CF5" w:rsidRPr="00E42B26">
        <w:t xml:space="preserve">between </w:t>
      </w:r>
      <w:r w:rsidR="009B4FE8" w:rsidRPr="00E42B26">
        <w:t xml:space="preserve">desired and </w:t>
      </w:r>
      <w:r w:rsidR="006E4CF5" w:rsidRPr="00E42B26">
        <w:t xml:space="preserve">actual </w:t>
      </w:r>
      <w:r w:rsidR="00AE0E48" w:rsidRPr="00E42B26">
        <w:t xml:space="preserve">care </w:t>
      </w:r>
      <w:r w:rsidR="004F4FB6" w:rsidRPr="00E42B26">
        <w:t xml:space="preserve">often causes pain and </w:t>
      </w:r>
      <w:r w:rsidR="003A2699" w:rsidRPr="00E42B26">
        <w:t>suﬀering</w:t>
      </w:r>
      <w:r w:rsidR="00A2310A" w:rsidRPr="00E42B26">
        <w:t xml:space="preserve"> (</w:t>
      </w:r>
      <w:r w:rsidR="009B4FE8" w:rsidRPr="00E42B26">
        <w:t xml:space="preserve">Matsuyama, Reddy, </w:t>
      </w:r>
      <w:r w:rsidR="00EC4DD0" w:rsidRPr="00E42B26">
        <w:t>and</w:t>
      </w:r>
      <w:r w:rsidR="009B4FE8" w:rsidRPr="00E42B26">
        <w:t xml:space="preserve"> Smith</w:t>
      </w:r>
      <w:r w:rsidR="00EC4DD0" w:rsidRPr="00E42B26">
        <w:t xml:space="preserve"> </w:t>
      </w:r>
      <w:r w:rsidR="009B4FE8" w:rsidRPr="00E42B26">
        <w:t>2006</w:t>
      </w:r>
      <w:r w:rsidR="00DA2D6D">
        <w:t xml:space="preserve">; </w:t>
      </w:r>
      <w:r w:rsidR="00DA2D6D" w:rsidRPr="00E42B26">
        <w:t>Earle et al. 2008</w:t>
      </w:r>
      <w:r w:rsidR="00A2310A" w:rsidRPr="00E42B26">
        <w:t>)</w:t>
      </w:r>
      <w:r w:rsidR="00A83576" w:rsidRPr="00E42B26">
        <w:t xml:space="preserve">. </w:t>
      </w:r>
      <w:r w:rsidR="00BE058C" w:rsidRPr="00E42B26">
        <w:t>To illustrate</w:t>
      </w:r>
      <w:r w:rsidR="00A83576" w:rsidRPr="00E42B26">
        <w:t>,</w:t>
      </w:r>
      <w:r w:rsidR="00D10A83" w:rsidRPr="00E42B26">
        <w:t xml:space="preserve"> cancer patients without </w:t>
      </w:r>
      <w:r w:rsidR="004D4DB4" w:rsidRPr="00E42B26">
        <w:t xml:space="preserve">(versus with) </w:t>
      </w:r>
      <w:r w:rsidR="00D10A83" w:rsidRPr="00E42B26">
        <w:t>ACP</w:t>
      </w:r>
      <w:r w:rsidR="00666798" w:rsidRPr="00E42B26">
        <w:t>s</w:t>
      </w:r>
      <w:r w:rsidR="00D10A83" w:rsidRPr="00E42B26">
        <w:t xml:space="preserve"> are seven times more likely to have mechanical ventilation and eight times more likely to undergo </w:t>
      </w:r>
      <w:r w:rsidR="00083016" w:rsidRPr="00E42B26">
        <w:t xml:space="preserve">resuscitation </w:t>
      </w:r>
      <w:r w:rsidR="00D10A83" w:rsidRPr="00E42B26">
        <w:t>attempts at the end of life</w:t>
      </w:r>
      <w:r w:rsidR="004D4DB4" w:rsidRPr="00E42B26">
        <w:t>.</w:t>
      </w:r>
      <w:r w:rsidR="00D10A83" w:rsidRPr="00E42B26">
        <w:t xml:space="preserve"> </w:t>
      </w:r>
      <w:r w:rsidR="004D4DB4" w:rsidRPr="00E42B26">
        <w:t>Similarly</w:t>
      </w:r>
      <w:r w:rsidR="00A83576" w:rsidRPr="00E42B26">
        <w:t xml:space="preserve">, </w:t>
      </w:r>
      <w:r w:rsidR="00D10A83" w:rsidRPr="00E42B26">
        <w:t>nursing home patients without ACP</w:t>
      </w:r>
      <w:r w:rsidR="00804795" w:rsidRPr="00E42B26">
        <w:t>s</w:t>
      </w:r>
      <w:r w:rsidR="004D4DB4" w:rsidRPr="00E42B26">
        <w:t xml:space="preserve"> </w:t>
      </w:r>
      <w:r w:rsidR="00CC538D" w:rsidRPr="00E42B26">
        <w:t>undergo</w:t>
      </w:r>
      <w:r w:rsidR="00D10A83" w:rsidRPr="00E42B26">
        <w:t xml:space="preserve"> more hospitalizations and are less satisfied with their care </w:t>
      </w:r>
      <w:r w:rsidR="00CC538D" w:rsidRPr="00E42B26">
        <w:t>despite cost</w:t>
      </w:r>
      <w:r w:rsidR="00C71CF8">
        <w:t>s</w:t>
      </w:r>
      <w:r w:rsidR="00CC538D" w:rsidRPr="00E42B26">
        <w:t xml:space="preserve"> being 33% higher (Molloy et al. 2000; </w:t>
      </w:r>
      <w:r w:rsidR="00A2310A" w:rsidRPr="00E42B26">
        <w:t>Weems and Johnson 2020)</w:t>
      </w:r>
      <w:r w:rsidR="00D10A83" w:rsidRPr="00E42B26">
        <w:t xml:space="preserve">. </w:t>
      </w:r>
      <w:r w:rsidR="00163C14" w:rsidRPr="00E42B26">
        <w:t>The potential</w:t>
      </w:r>
      <w:r w:rsidR="00D10A83" w:rsidRPr="00E42B26">
        <w:t xml:space="preserve"> </w:t>
      </w:r>
      <w:r w:rsidR="005E61FB" w:rsidRPr="00E42B26">
        <w:t>for</w:t>
      </w:r>
      <w:r w:rsidR="00163C14" w:rsidRPr="00E42B26">
        <w:t xml:space="preserve"> </w:t>
      </w:r>
      <w:r w:rsidR="004F4FB6" w:rsidRPr="00E42B26">
        <w:t xml:space="preserve">misalignment </w:t>
      </w:r>
      <w:r w:rsidR="004A6F65" w:rsidRPr="00E42B26">
        <w:t xml:space="preserve">between desired and actual care </w:t>
      </w:r>
      <w:r w:rsidR="00D10A83" w:rsidRPr="00E42B26">
        <w:t xml:space="preserve">is also associated with </w:t>
      </w:r>
      <w:r w:rsidR="006E4CF5" w:rsidRPr="00E42B26">
        <w:t xml:space="preserve">psychological distress </w:t>
      </w:r>
      <w:r w:rsidR="004A6F65" w:rsidRPr="00E42B26">
        <w:t xml:space="preserve">and emotional burden </w:t>
      </w:r>
      <w:r w:rsidR="006E4CF5" w:rsidRPr="00E42B26">
        <w:t>for surrogate decision</w:t>
      </w:r>
      <w:r w:rsidR="0053759E" w:rsidRPr="00E42B26">
        <w:t>-</w:t>
      </w:r>
      <w:r w:rsidR="006E4CF5" w:rsidRPr="00E42B26">
        <w:t>makers</w:t>
      </w:r>
      <w:r w:rsidR="009354E6" w:rsidRPr="00E42B26">
        <w:t xml:space="preserve"> </w:t>
      </w:r>
      <w:r w:rsidR="00EC4DD0" w:rsidRPr="00E42B26">
        <w:t xml:space="preserve">and </w:t>
      </w:r>
      <w:r w:rsidR="003A2699" w:rsidRPr="00E42B26">
        <w:t xml:space="preserve">the presence of </w:t>
      </w:r>
      <w:r w:rsidR="006E4CF5" w:rsidRPr="00E42B26">
        <w:t>ACP</w:t>
      </w:r>
      <w:r w:rsidR="009354E6" w:rsidRPr="00E42B26">
        <w:t>s</w:t>
      </w:r>
      <w:r w:rsidR="003A2699" w:rsidRPr="00E42B26">
        <w:t xml:space="preserve"> is </w:t>
      </w:r>
      <w:r w:rsidR="00F7050B" w:rsidRPr="00E42B26">
        <w:t xml:space="preserve">related to </w:t>
      </w:r>
      <w:r w:rsidR="003A2699" w:rsidRPr="00E42B26">
        <w:t xml:space="preserve">lower </w:t>
      </w:r>
      <w:r w:rsidR="00680A08" w:rsidRPr="00E42B26">
        <w:t>caregiver</w:t>
      </w:r>
      <w:r w:rsidR="003A2699" w:rsidRPr="00E42B26">
        <w:t xml:space="preserve"> stress, anxiety, and depression (</w:t>
      </w:r>
      <w:r w:rsidR="00A2310A" w:rsidRPr="00E42B26">
        <w:t xml:space="preserve">Carr and Khodyakov 2007; </w:t>
      </w:r>
      <w:r w:rsidR="00212322" w:rsidRPr="00E42B26">
        <w:t>Detering et al. 2010</w:t>
      </w:r>
      <w:r w:rsidR="004711C3" w:rsidRPr="00E42B26">
        <w:t xml:space="preserve">; </w:t>
      </w:r>
      <w:proofErr w:type="spellStart"/>
      <w:r w:rsidR="00DA2D6D" w:rsidRPr="00E42B26">
        <w:t>Sulmasy</w:t>
      </w:r>
      <w:proofErr w:type="spellEnd"/>
      <w:r w:rsidR="00DA2D6D" w:rsidRPr="00E42B26">
        <w:t xml:space="preserve"> and Snyder 2010</w:t>
      </w:r>
      <w:r w:rsidR="00DA2D6D">
        <w:t xml:space="preserve">; </w:t>
      </w:r>
      <w:r w:rsidR="00E13112" w:rsidRPr="00E42B26">
        <w:t>Scheunemann, Arnold, and White 2012</w:t>
      </w:r>
      <w:r w:rsidR="00212322" w:rsidRPr="00E42B26">
        <w:t>)</w:t>
      </w:r>
      <w:r w:rsidR="003A2699" w:rsidRPr="00E42B26">
        <w:t xml:space="preserve">. </w:t>
      </w:r>
    </w:p>
    <w:p w14:paraId="4409786A" w14:textId="2F4BD458" w:rsidR="007B0CC9" w:rsidRPr="00E42B26" w:rsidRDefault="007B0CC9" w:rsidP="007B0CC9">
      <w:pPr>
        <w:spacing w:line="360" w:lineRule="auto"/>
        <w:ind w:firstLine="709"/>
      </w:pPr>
      <w:r w:rsidRPr="00E42B26">
        <w:t>Despite the</w:t>
      </w:r>
      <w:r w:rsidR="00083016" w:rsidRPr="00E42B26">
        <w:t>ir</w:t>
      </w:r>
      <w:r w:rsidRPr="00E42B26">
        <w:t xml:space="preserve"> benefits</w:t>
      </w:r>
      <w:r w:rsidR="00335C09" w:rsidRPr="00E42B26">
        <w:t xml:space="preserve">, </w:t>
      </w:r>
      <w:r w:rsidRPr="00E42B26">
        <w:t xml:space="preserve">only about 30% of </w:t>
      </w:r>
      <w:r w:rsidR="00335C09" w:rsidRPr="00E42B26">
        <w:t xml:space="preserve">U.S. </w:t>
      </w:r>
      <w:r w:rsidRPr="00E42B26">
        <w:t>adult citizens have ACP</w:t>
      </w:r>
      <w:r w:rsidR="00812CCB" w:rsidRPr="00E42B26">
        <w:t>s</w:t>
      </w:r>
      <w:r w:rsidRPr="00E42B26">
        <w:t xml:space="preserve"> </w:t>
      </w:r>
      <w:r w:rsidR="00E55F4C">
        <w:t>(Wilkinson</w:t>
      </w:r>
      <w:r w:rsidR="00DA2D6D">
        <w:t xml:space="preserve">, Wenger, and </w:t>
      </w:r>
      <w:proofErr w:type="spellStart"/>
      <w:r w:rsidR="00DA2D6D" w:rsidRPr="00E42B26">
        <w:rPr>
          <w:rFonts w:eastAsiaTheme="minorHAnsi"/>
          <w:lang w:eastAsia="en-US"/>
        </w:rPr>
        <w:t>Shugarman</w:t>
      </w:r>
      <w:proofErr w:type="spellEnd"/>
      <w:r w:rsidR="00DA2D6D">
        <w:t xml:space="preserve"> </w:t>
      </w:r>
      <w:r w:rsidR="00E55F4C">
        <w:t>2017)</w:t>
      </w:r>
      <w:r w:rsidR="00921D85">
        <w:t>.</w:t>
      </w:r>
      <w:r w:rsidRPr="00E42B26">
        <w:t xml:space="preserve"> </w:t>
      </w:r>
      <w:r w:rsidR="00E55F4C">
        <w:t>I</w:t>
      </w:r>
      <w:r w:rsidRPr="00E42B26">
        <w:t>n other countries, ACP completion rates are even lower, for example</w:t>
      </w:r>
      <w:r w:rsidR="00576543" w:rsidRPr="00E42B26">
        <w:t>,</w:t>
      </w:r>
      <w:r w:rsidRPr="00E42B26">
        <w:t xml:space="preserve"> less than 1% in Japan and Australia and between 7% to 8% in the Netherlands and UK (Carr and Luth 2017). Although various organizations have launched digital solutions to facilitate </w:t>
      </w:r>
      <w:r w:rsidR="00C71CF8">
        <w:t>t</w:t>
      </w:r>
      <w:r w:rsidRPr="00E42B26">
        <w:t>he creation and accessibility of ACP</w:t>
      </w:r>
      <w:r w:rsidR="00812CCB" w:rsidRPr="00E42B26">
        <w:t>s</w:t>
      </w:r>
      <w:r w:rsidRPr="00E42B26">
        <w:t>, uptake remains low</w:t>
      </w:r>
      <w:r w:rsidR="0062077F">
        <w:t xml:space="preserve">; </w:t>
      </w:r>
      <w:r w:rsidR="00E36DCB">
        <w:t>f</w:t>
      </w:r>
      <w:r w:rsidR="0062077F">
        <w:t xml:space="preserve">or example, one study shows that </w:t>
      </w:r>
      <w:r w:rsidR="00921D85">
        <w:t xml:space="preserve">only 1% </w:t>
      </w:r>
      <w:r w:rsidR="00921D85">
        <w:rPr>
          <w:color w:val="000000"/>
        </w:rPr>
        <w:t xml:space="preserve">of all patients admitted to </w:t>
      </w:r>
      <w:r w:rsidR="0062077F">
        <w:rPr>
          <w:color w:val="000000"/>
        </w:rPr>
        <w:t xml:space="preserve">an </w:t>
      </w:r>
      <w:r w:rsidR="001F1EBC">
        <w:rPr>
          <w:color w:val="000000"/>
        </w:rPr>
        <w:t xml:space="preserve">emergency </w:t>
      </w:r>
      <w:r w:rsidR="002A5DAA">
        <w:rPr>
          <w:color w:val="000000"/>
        </w:rPr>
        <w:t>department</w:t>
      </w:r>
      <w:r w:rsidR="0062077F">
        <w:rPr>
          <w:color w:val="000000"/>
        </w:rPr>
        <w:t xml:space="preserve"> in Texas</w:t>
      </w:r>
      <w:r w:rsidR="002A5DAA">
        <w:rPr>
          <w:color w:val="000000"/>
        </w:rPr>
        <w:t xml:space="preserve"> </w:t>
      </w:r>
      <w:r w:rsidR="00921D85">
        <w:rPr>
          <w:color w:val="000000"/>
        </w:rPr>
        <w:t xml:space="preserve">had ACPs </w:t>
      </w:r>
      <w:r w:rsidR="00921D85">
        <w:rPr>
          <w:color w:val="000000"/>
        </w:rPr>
        <w:lastRenderedPageBreak/>
        <w:t xml:space="preserve">readily available </w:t>
      </w:r>
      <w:r w:rsidRPr="00E42B26">
        <w:t>(</w:t>
      </w:r>
      <w:r w:rsidR="00921D85">
        <w:t xml:space="preserve">Davis 2012; </w:t>
      </w:r>
      <w:r w:rsidRPr="00E42B26">
        <w:t>Fine et al. 2016; Pope 2020).</w:t>
      </w:r>
      <w:r w:rsidR="0062077F">
        <w:t xml:space="preserve"> </w:t>
      </w:r>
      <w:r w:rsidRPr="00E42B26">
        <w:t xml:space="preserve">The low diffusion and accessibility of ACPs are even more problematic given the expected increase in the number of older adults in </w:t>
      </w:r>
      <w:r w:rsidR="00083016" w:rsidRPr="00E42B26">
        <w:t>coming</w:t>
      </w:r>
      <w:r w:rsidRPr="00E42B26">
        <w:t xml:space="preserve"> years: by 2060, 100 million U.S. citizens are predicted to be over 65</w:t>
      </w:r>
      <w:r w:rsidR="00576543" w:rsidRPr="00E42B26">
        <w:t xml:space="preserve"> and eligible for Medicare</w:t>
      </w:r>
      <w:r w:rsidR="00B0330E" w:rsidRPr="00E42B26">
        <w:t>,</w:t>
      </w:r>
      <w:r w:rsidR="00576543" w:rsidRPr="00E42B26">
        <w:t xml:space="preserve"> which is already spending 25% of its annual budget for </w:t>
      </w:r>
      <w:r w:rsidR="009A40E9" w:rsidRPr="00E42B26">
        <w:t xml:space="preserve">last-year-of-life </w:t>
      </w:r>
      <w:r w:rsidR="00576543" w:rsidRPr="00E42B26">
        <w:t xml:space="preserve">care </w:t>
      </w:r>
      <w:r w:rsidRPr="00E42B26">
        <w:t>(Rinaldo, Altman, and Cannon 2020). The recent Covid</w:t>
      </w:r>
      <w:r w:rsidR="0053759E" w:rsidRPr="00E42B26">
        <w:t>-19</w:t>
      </w:r>
      <w:r w:rsidRPr="00E42B26">
        <w:t xml:space="preserve"> crisis further highlighted these issues</w:t>
      </w:r>
      <w:r w:rsidR="000A5F99">
        <w:t xml:space="preserve"> as critically ill patients often cannot express their wishes and do not have families at their bedsides</w:t>
      </w:r>
      <w:r w:rsidR="00E13112">
        <w:t xml:space="preserve">. </w:t>
      </w:r>
    </w:p>
    <w:p w14:paraId="671404D9" w14:textId="1785572E" w:rsidR="0004243D" w:rsidRPr="00E42B26" w:rsidRDefault="007B0CC9" w:rsidP="007F0FB0">
      <w:pPr>
        <w:spacing w:line="360" w:lineRule="auto"/>
        <w:ind w:firstLine="709"/>
      </w:pPr>
      <w:r w:rsidRPr="00E42B26">
        <w:t xml:space="preserve">The medical literature has examined several </w:t>
      </w:r>
      <w:r w:rsidR="00EC362E" w:rsidRPr="00E42B26">
        <w:t xml:space="preserve">psychological and </w:t>
      </w:r>
      <w:r w:rsidRPr="00E42B26">
        <w:t xml:space="preserve">pragmatic factors </w:t>
      </w:r>
      <w:r w:rsidR="00EC362E" w:rsidRPr="00E42B26">
        <w:t xml:space="preserve">associated with </w:t>
      </w:r>
      <w:r w:rsidR="00885FAD">
        <w:t xml:space="preserve">low </w:t>
      </w:r>
      <w:r w:rsidR="007F0FB0" w:rsidRPr="00E42B26">
        <w:t>ACPs</w:t>
      </w:r>
      <w:r w:rsidRPr="00E42B26">
        <w:t xml:space="preserve"> </w:t>
      </w:r>
      <w:r w:rsidR="00B0330E" w:rsidRPr="00E42B26">
        <w:t>u</w:t>
      </w:r>
      <w:r w:rsidR="009A40E9" w:rsidRPr="00E42B26">
        <w:t>ptake</w:t>
      </w:r>
      <w:r w:rsidRPr="00E42B26">
        <w:t xml:space="preserve">. </w:t>
      </w:r>
      <w:r w:rsidR="00EC362E" w:rsidRPr="00E42B26">
        <w:t>From a psychological perspective,</w:t>
      </w:r>
      <w:r w:rsidR="0004243D" w:rsidRPr="00E42B26">
        <w:t xml:space="preserve"> </w:t>
      </w:r>
      <w:r w:rsidR="00B161C5">
        <w:t>individuals’</w:t>
      </w:r>
      <w:r w:rsidR="00B161C5" w:rsidRPr="00E42B26">
        <w:t xml:space="preserve"> </w:t>
      </w:r>
      <w:r w:rsidR="009C6679" w:rsidRPr="00E42B26">
        <w:t xml:space="preserve">desire to </w:t>
      </w:r>
      <w:r w:rsidR="0004243D" w:rsidRPr="00E42B26">
        <w:t xml:space="preserve">eschew </w:t>
      </w:r>
      <w:r w:rsidR="00EC362E" w:rsidRPr="00E42B26">
        <w:t>death-related thought</w:t>
      </w:r>
      <w:r w:rsidR="0004243D" w:rsidRPr="00E42B26">
        <w:t>s</w:t>
      </w:r>
      <w:r w:rsidR="009C6679" w:rsidRPr="00E42B26">
        <w:t xml:space="preserve"> </w:t>
      </w:r>
      <w:r w:rsidR="0004243D" w:rsidRPr="00E42B26">
        <w:t xml:space="preserve">and to avoid exerting personal control over critical healthcare decisions </w:t>
      </w:r>
      <w:r w:rsidR="00C6512F">
        <w:t xml:space="preserve">are </w:t>
      </w:r>
      <w:r w:rsidR="00EC362E" w:rsidRPr="00E42B26">
        <w:t>negatively correlated</w:t>
      </w:r>
      <w:r w:rsidR="009C6679" w:rsidRPr="00E42B26">
        <w:t xml:space="preserve"> with </w:t>
      </w:r>
      <w:r w:rsidR="00155390" w:rsidRPr="00E42B26">
        <w:t xml:space="preserve">engagement with </w:t>
      </w:r>
      <w:r w:rsidR="009C6679" w:rsidRPr="00E42B26">
        <w:t xml:space="preserve">advance care planning </w:t>
      </w:r>
      <w:r w:rsidR="00EC362E" w:rsidRPr="00E42B26">
        <w:t xml:space="preserve">(Carr and Khodyakov 2007; Wilkinson et al. 2007). </w:t>
      </w:r>
      <w:r w:rsidR="009C6679" w:rsidRPr="00E42B26">
        <w:t>Consistent with the</w:t>
      </w:r>
      <w:r w:rsidR="00155390" w:rsidRPr="00E42B26">
        <w:t>se</w:t>
      </w:r>
      <w:r w:rsidR="009C6679" w:rsidRPr="00E42B26">
        <w:t xml:space="preserve"> finding</w:t>
      </w:r>
      <w:r w:rsidR="00155390" w:rsidRPr="00E42B26">
        <w:t xml:space="preserve">s, </w:t>
      </w:r>
      <w:r w:rsidR="009C6679" w:rsidRPr="00E42B26">
        <w:t>older adults with higher levels of death anxiety are less likely to make end-of-life plans (Carr and Moorman 2009)</w:t>
      </w:r>
      <w:r w:rsidR="00155390" w:rsidRPr="00E42B26">
        <w:t xml:space="preserve"> and many </w:t>
      </w:r>
      <w:r w:rsidR="0004243D" w:rsidRPr="00E42B26">
        <w:t xml:space="preserve">individuals </w:t>
      </w:r>
      <w:r w:rsidR="00155390" w:rsidRPr="00E42B26">
        <w:t xml:space="preserve">who have considered </w:t>
      </w:r>
      <w:r w:rsidR="0004243D" w:rsidRPr="00E42B26">
        <w:t xml:space="preserve">ACPs </w:t>
      </w:r>
      <w:r w:rsidR="00155390" w:rsidRPr="00E42B26">
        <w:t xml:space="preserve">do not wish them </w:t>
      </w:r>
      <w:r w:rsidR="0004243D" w:rsidRPr="00E42B26">
        <w:t>to be binding, preferring surrogates to have some leeway to override their written directives (</w:t>
      </w:r>
      <w:proofErr w:type="spellStart"/>
      <w:r w:rsidR="0004243D" w:rsidRPr="00E42B26">
        <w:t>Puchalski</w:t>
      </w:r>
      <w:proofErr w:type="spellEnd"/>
      <w:r w:rsidR="0004243D" w:rsidRPr="00E42B26">
        <w:t xml:space="preserve"> et al. 2000</w:t>
      </w:r>
      <w:r w:rsidR="00DA2D6D">
        <w:t xml:space="preserve">; </w:t>
      </w:r>
      <w:r w:rsidR="00DA2D6D" w:rsidRPr="00E42B26">
        <w:t>Hawkins et al. 2005</w:t>
      </w:r>
      <w:r w:rsidR="0004243D" w:rsidRPr="00E42B26">
        <w:t xml:space="preserve">). </w:t>
      </w:r>
    </w:p>
    <w:p w14:paraId="3A5D661B" w14:textId="75FD381E" w:rsidR="007B0CC9" w:rsidRPr="00DA2D6D" w:rsidRDefault="0004243D" w:rsidP="007F0FB0">
      <w:pPr>
        <w:spacing w:line="360" w:lineRule="auto"/>
        <w:ind w:firstLine="709"/>
      </w:pPr>
      <w:r w:rsidRPr="00E42B26">
        <w:t>From a pragmatic perspective, i</w:t>
      </w:r>
      <w:r w:rsidR="007B0CC9" w:rsidRPr="00E42B26">
        <w:t>ndividuals</w:t>
      </w:r>
      <w:r w:rsidR="00B0330E" w:rsidRPr="00E42B26">
        <w:t xml:space="preserve"> are less likely </w:t>
      </w:r>
      <w:r w:rsidR="007F0FB0" w:rsidRPr="00E42B26">
        <w:t xml:space="preserve">to </w:t>
      </w:r>
      <w:r w:rsidR="00D71221" w:rsidRPr="00E42B26">
        <w:t xml:space="preserve">create </w:t>
      </w:r>
      <w:r w:rsidR="00B0330E" w:rsidRPr="00E42B26">
        <w:t>ACP</w:t>
      </w:r>
      <w:r w:rsidR="004F0491">
        <w:t>s</w:t>
      </w:r>
      <w:r w:rsidR="00B0330E" w:rsidRPr="00E42B26">
        <w:t xml:space="preserve"> if their awareness is low and</w:t>
      </w:r>
      <w:r w:rsidR="007F0FB0" w:rsidRPr="00E42B26">
        <w:t>/or</w:t>
      </w:r>
      <w:r w:rsidR="00B0330E" w:rsidRPr="00E42B26">
        <w:t xml:space="preserve"> </w:t>
      </w:r>
      <w:r w:rsidR="007B0CC9" w:rsidRPr="00E42B26">
        <w:t xml:space="preserve">if they believe that </w:t>
      </w:r>
      <w:r w:rsidR="007F0FB0" w:rsidRPr="00E42B26">
        <w:t xml:space="preserve">it </w:t>
      </w:r>
      <w:r w:rsidR="007B0CC9" w:rsidRPr="00E42B26">
        <w:t>will take too much time</w:t>
      </w:r>
      <w:r w:rsidR="00AD7400" w:rsidRPr="00E42B26">
        <w:t xml:space="preserve"> or </w:t>
      </w:r>
      <w:r w:rsidR="007B0CC9" w:rsidRPr="00E42B26">
        <w:t>money</w:t>
      </w:r>
      <w:r w:rsidR="00BB3233" w:rsidRPr="00E42B26">
        <w:t>.</w:t>
      </w:r>
      <w:r w:rsidR="00576543" w:rsidRPr="00E42B26">
        <w:t xml:space="preserve"> A</w:t>
      </w:r>
      <w:r w:rsidR="00BB3233" w:rsidRPr="00E42B26">
        <w:t xml:space="preserve">ttempts to </w:t>
      </w:r>
      <w:r w:rsidR="00576543" w:rsidRPr="00E42B26">
        <w:t>resolv</w:t>
      </w:r>
      <w:r w:rsidR="009A40E9" w:rsidRPr="00E42B26">
        <w:t>e these</w:t>
      </w:r>
      <w:r w:rsidR="00576543" w:rsidRPr="00E42B26">
        <w:t xml:space="preserve"> concerns</w:t>
      </w:r>
      <w:r w:rsidR="007F0FB0" w:rsidRPr="00E42B26">
        <w:t>, however,</w:t>
      </w:r>
      <w:r w:rsidR="00576543" w:rsidRPr="00E42B26">
        <w:t xml:space="preserve"> </w:t>
      </w:r>
      <w:r w:rsidR="0087422F" w:rsidRPr="00E42B26">
        <w:t xml:space="preserve">have not </w:t>
      </w:r>
      <w:r w:rsidR="00576543" w:rsidRPr="00E42B26">
        <w:t xml:space="preserve">yet </w:t>
      </w:r>
      <w:r w:rsidR="003A55B7" w:rsidRPr="00E42B26">
        <w:t xml:space="preserve">been </w:t>
      </w:r>
      <w:r w:rsidR="0087422F" w:rsidRPr="00E42B26">
        <w:t>successful in significantly increas</w:t>
      </w:r>
      <w:r w:rsidR="00195EA5" w:rsidRPr="00E42B26">
        <w:t>ing</w:t>
      </w:r>
      <w:r w:rsidR="0087422F" w:rsidRPr="00E42B26">
        <w:t xml:space="preserve"> </w:t>
      </w:r>
      <w:r w:rsidR="00666798" w:rsidRPr="00E42B26">
        <w:t xml:space="preserve">ACP </w:t>
      </w:r>
      <w:r w:rsidR="007F0FB0" w:rsidRPr="00E42B26">
        <w:t xml:space="preserve">diffusion </w:t>
      </w:r>
      <w:r w:rsidR="00BB3233" w:rsidRPr="00E42B26">
        <w:t>(</w:t>
      </w:r>
      <w:r w:rsidR="00B40264" w:rsidRPr="00E42B26">
        <w:t>Wilkinson et al. 2007</w:t>
      </w:r>
      <w:r w:rsidR="00BB3233" w:rsidRPr="00E42B26">
        <w:t>).</w:t>
      </w:r>
      <w:r w:rsidR="007F0FB0" w:rsidRPr="00E42B26">
        <w:t xml:space="preserve"> </w:t>
      </w:r>
      <w:r w:rsidR="006F7249" w:rsidRPr="00E42B26">
        <w:t xml:space="preserve">Individuals are also concerned </w:t>
      </w:r>
      <w:r w:rsidR="00576543" w:rsidRPr="00E42B26">
        <w:t xml:space="preserve">that </w:t>
      </w:r>
      <w:r w:rsidR="007F0FB0" w:rsidRPr="00E42B26">
        <w:t>decision</w:t>
      </w:r>
      <w:r w:rsidR="004F0491">
        <w:t>s</w:t>
      </w:r>
      <w:r w:rsidR="007F0FB0" w:rsidRPr="00E42B26">
        <w:t xml:space="preserve"> made in the present</w:t>
      </w:r>
      <w:r w:rsidR="00576543" w:rsidRPr="00E42B26">
        <w:t xml:space="preserve"> can </w:t>
      </w:r>
      <w:r w:rsidR="009354E6" w:rsidRPr="00E42B26">
        <w:t xml:space="preserve">constrain </w:t>
      </w:r>
      <w:r w:rsidR="008A6AB0" w:rsidRPr="00E42B26">
        <w:t xml:space="preserve">potential </w:t>
      </w:r>
      <w:r w:rsidR="009354E6" w:rsidRPr="00E42B26">
        <w:t xml:space="preserve">future </w:t>
      </w:r>
      <w:r w:rsidR="00BB3233" w:rsidRPr="00E42B26">
        <w:t>treatment options</w:t>
      </w:r>
      <w:r w:rsidR="006F7249" w:rsidRPr="00E42B26">
        <w:t xml:space="preserve">, </w:t>
      </w:r>
      <w:r w:rsidR="007B0CC9" w:rsidRPr="00E42B26">
        <w:t>worry that</w:t>
      </w:r>
      <w:r w:rsidR="007F0FB0" w:rsidRPr="00E42B26">
        <w:t xml:space="preserve"> the occurrence of a </w:t>
      </w:r>
      <w:r w:rsidR="00FB53B9" w:rsidRPr="00E42B26">
        <w:t>health crisis</w:t>
      </w:r>
      <w:r w:rsidR="00090AF0" w:rsidRPr="00E42B26">
        <w:t xml:space="preserve"> </w:t>
      </w:r>
      <w:r w:rsidR="007B0CC9" w:rsidRPr="00E42B26">
        <w:t>m</w:t>
      </w:r>
      <w:r w:rsidR="00FB53B9" w:rsidRPr="00E42B26">
        <w:t>ay</w:t>
      </w:r>
      <w:r w:rsidR="007B0CC9" w:rsidRPr="00E42B26">
        <w:t xml:space="preserve"> change </w:t>
      </w:r>
      <w:r w:rsidR="007F0FB0" w:rsidRPr="00E42B26">
        <w:t>their preferences</w:t>
      </w:r>
      <w:r w:rsidR="006F7249" w:rsidRPr="00E42B26">
        <w:t xml:space="preserve">, and fear </w:t>
      </w:r>
      <w:r w:rsidR="007F0FB0" w:rsidRPr="00E42B26">
        <w:t xml:space="preserve">that </w:t>
      </w:r>
      <w:r w:rsidR="00195EA5" w:rsidRPr="00E42B26">
        <w:t xml:space="preserve">their recorded </w:t>
      </w:r>
      <w:r w:rsidR="00AD78BB" w:rsidRPr="00E42B26">
        <w:t>ACPs</w:t>
      </w:r>
      <w:r w:rsidR="00195EA5" w:rsidRPr="00E42B26">
        <w:t xml:space="preserve"> may </w:t>
      </w:r>
      <w:r w:rsidR="007B0CC9" w:rsidRPr="00E42B26">
        <w:t xml:space="preserve">not </w:t>
      </w:r>
      <w:r w:rsidR="00FB53B9" w:rsidRPr="00E42B26">
        <w:t>be specific enough to provide useful guidance</w:t>
      </w:r>
      <w:r w:rsidR="00F42E1C" w:rsidRPr="00E42B26">
        <w:t xml:space="preserve"> to healthcare providers</w:t>
      </w:r>
      <w:r w:rsidR="00083016" w:rsidRPr="00E42B26">
        <w:t xml:space="preserve"> </w:t>
      </w:r>
      <w:r w:rsidR="004D3B25" w:rsidRPr="00E42B26">
        <w:t>(</w:t>
      </w:r>
      <w:r w:rsidR="00DA2D6D" w:rsidRPr="00E42B26">
        <w:t>Ditto et al. 2003; Hawkins et al. 2005;</w:t>
      </w:r>
      <w:r w:rsidR="00DA2D6D">
        <w:t xml:space="preserve"> </w:t>
      </w:r>
      <w:r w:rsidR="004D3B25" w:rsidRPr="00E42B26">
        <w:t xml:space="preserve">Carr and </w:t>
      </w:r>
      <w:proofErr w:type="spellStart"/>
      <w:r w:rsidR="004D3B25" w:rsidRPr="00E42B26">
        <w:t>Khodyakov</w:t>
      </w:r>
      <w:proofErr w:type="spellEnd"/>
      <w:r w:rsidR="004D3B25" w:rsidRPr="00E42B26">
        <w:t xml:space="preserve"> 2007;</w:t>
      </w:r>
      <w:r w:rsidR="004D3B25">
        <w:t xml:space="preserve"> </w:t>
      </w:r>
      <w:proofErr w:type="spellStart"/>
      <w:r w:rsidR="00DA2D6D" w:rsidRPr="00E42B26">
        <w:t>Sulmasy</w:t>
      </w:r>
      <w:proofErr w:type="spellEnd"/>
      <w:r w:rsidR="00DA2D6D" w:rsidRPr="00E42B26">
        <w:t xml:space="preserve"> and Snyder 2010</w:t>
      </w:r>
      <w:r w:rsidR="00DA2D6D">
        <w:t xml:space="preserve">; </w:t>
      </w:r>
      <w:r w:rsidR="007B0CC9" w:rsidRPr="00E42B26">
        <w:t xml:space="preserve">Scheunemann et al. 2012; </w:t>
      </w:r>
      <w:r w:rsidR="00DA2D6D" w:rsidRPr="00E42B26">
        <w:t>Pope 2020</w:t>
      </w:r>
      <w:r w:rsidR="007B0CC9" w:rsidRPr="00E42B26">
        <w:t xml:space="preserve">). </w:t>
      </w:r>
    </w:p>
    <w:p w14:paraId="369C7F59" w14:textId="446D68D7" w:rsidR="00CE38D7" w:rsidRPr="00E42B26" w:rsidRDefault="0061026B" w:rsidP="001B4F08">
      <w:pPr>
        <w:spacing w:line="360" w:lineRule="auto"/>
        <w:ind w:firstLine="709"/>
      </w:pPr>
      <w:r w:rsidRPr="00E42B26">
        <w:t xml:space="preserve">We contribute to current knowledge about the </w:t>
      </w:r>
      <w:r w:rsidR="006F7249" w:rsidRPr="00E42B26">
        <w:t>psychological and pra</w:t>
      </w:r>
      <w:r w:rsidR="004D3B25">
        <w:t xml:space="preserve">gmatic </w:t>
      </w:r>
      <w:r w:rsidR="00666798" w:rsidRPr="00E42B26">
        <w:t>concerns</w:t>
      </w:r>
      <w:r w:rsidR="00BB3233" w:rsidRPr="00E42B26">
        <w:t xml:space="preserve"> </w:t>
      </w:r>
      <w:r w:rsidRPr="00E42B26">
        <w:t xml:space="preserve">that influence </w:t>
      </w:r>
      <w:r w:rsidR="00C6512F">
        <w:t xml:space="preserve">uptake </w:t>
      </w:r>
      <w:r w:rsidR="00AB2F14" w:rsidRPr="00E42B26">
        <w:t xml:space="preserve">in advance care planning by investigating the role of individuals’ values and </w:t>
      </w:r>
      <w:r w:rsidR="00AB2E89">
        <w:t xml:space="preserve">healthcare </w:t>
      </w:r>
      <w:r w:rsidR="00AB2F14" w:rsidRPr="00E42B26">
        <w:t xml:space="preserve">preferences. </w:t>
      </w:r>
      <w:r w:rsidR="00687D75" w:rsidRPr="00E42B26">
        <w:t>This insight c</w:t>
      </w:r>
      <w:r w:rsidR="006A6418" w:rsidRPr="00E42B26">
        <w:t xml:space="preserve">ould inform the development of </w:t>
      </w:r>
      <w:r w:rsidR="00E30A0D" w:rsidRPr="00E42B26">
        <w:t xml:space="preserve">interventions </w:t>
      </w:r>
      <w:r w:rsidR="008A6AB0" w:rsidRPr="00E42B26">
        <w:t xml:space="preserve">aimed at </w:t>
      </w:r>
      <w:r w:rsidR="005B5BFC" w:rsidRPr="00E42B26">
        <w:t>encourag</w:t>
      </w:r>
      <w:r w:rsidR="008A6AB0" w:rsidRPr="00E42B26">
        <w:t xml:space="preserve">ing </w:t>
      </w:r>
      <w:r w:rsidR="009C75C6" w:rsidRPr="00E42B26">
        <w:t>people to engage with advance care planning</w:t>
      </w:r>
      <w:r w:rsidR="005B5BFC" w:rsidRPr="00E42B26">
        <w:t xml:space="preserve">. </w:t>
      </w:r>
    </w:p>
    <w:p w14:paraId="57BC48C7" w14:textId="4D36B7B0" w:rsidR="00F230D7" w:rsidRPr="00E42B26" w:rsidRDefault="00F230D7" w:rsidP="001B4F08">
      <w:pPr>
        <w:pStyle w:val="Heading1"/>
      </w:pPr>
      <w:r w:rsidRPr="00E42B26">
        <w:lastRenderedPageBreak/>
        <w:t xml:space="preserve">Study 1: Values and Preferences Among ACP Holders </w:t>
      </w:r>
    </w:p>
    <w:p w14:paraId="519467B1" w14:textId="5348A118" w:rsidR="00F16E6F" w:rsidRPr="00E42B26" w:rsidRDefault="00F16E6F" w:rsidP="00121F05">
      <w:pPr>
        <w:spacing w:line="360" w:lineRule="auto"/>
        <w:ind w:firstLine="709"/>
      </w:pPr>
      <w:r>
        <w:t xml:space="preserve">Study 1 </w:t>
      </w:r>
      <w:proofErr w:type="spellStart"/>
      <w:r>
        <w:t>analyzes</w:t>
      </w:r>
      <w:proofErr w:type="spellEnd"/>
      <w:r>
        <w:t xml:space="preserve"> </w:t>
      </w:r>
      <w:r w:rsidR="00F230D7" w:rsidRPr="00E42B26">
        <w:t xml:space="preserve">data </w:t>
      </w:r>
      <w:r w:rsidR="004D3B25">
        <w:t xml:space="preserve">from </w:t>
      </w:r>
      <w:r w:rsidR="00F230D7" w:rsidRPr="00C8568A">
        <w:t xml:space="preserve">a </w:t>
      </w:r>
      <w:r w:rsidR="009B2057">
        <w:t xml:space="preserve">free </w:t>
      </w:r>
      <w:r w:rsidR="00F230D7" w:rsidRPr="00C8568A">
        <w:t xml:space="preserve">digital </w:t>
      </w:r>
      <w:r w:rsidR="00B66796" w:rsidRPr="00C8568A">
        <w:t xml:space="preserve">ACP </w:t>
      </w:r>
      <w:r w:rsidR="00F230D7" w:rsidRPr="00C8568A">
        <w:t>platform</w:t>
      </w:r>
      <w:r w:rsidR="004D3B25">
        <w:t xml:space="preserve"> with t</w:t>
      </w:r>
      <w:r>
        <w:t xml:space="preserve">he objective to </w:t>
      </w:r>
      <w:r w:rsidR="008D7177">
        <w:t xml:space="preserve">identify </w:t>
      </w:r>
      <w:r w:rsidR="008D7177" w:rsidRPr="002010F9">
        <w:t>commonalities and differences</w:t>
      </w:r>
      <w:r w:rsidR="008D7177">
        <w:t xml:space="preserve"> in </w:t>
      </w:r>
      <w:r>
        <w:t>values and preferences across ACP holders.</w:t>
      </w:r>
    </w:p>
    <w:p w14:paraId="2F949F95" w14:textId="77777777" w:rsidR="00F16E6F" w:rsidRPr="00AB2E89" w:rsidRDefault="00F16E6F" w:rsidP="00121F05">
      <w:pPr>
        <w:pStyle w:val="Heading2"/>
      </w:pPr>
      <w:r w:rsidRPr="00AB2E89">
        <w:t>Method</w:t>
      </w:r>
    </w:p>
    <w:p w14:paraId="6E868672" w14:textId="210EEA5F" w:rsidR="00F230D7" w:rsidRPr="00E42B26" w:rsidRDefault="00F230D7" w:rsidP="00F230D7">
      <w:pPr>
        <w:spacing w:line="360" w:lineRule="auto"/>
        <w:ind w:firstLine="709"/>
      </w:pPr>
      <w:r w:rsidRPr="00E42B26">
        <w:t xml:space="preserve">Of the </w:t>
      </w:r>
      <w:r w:rsidR="003700F7">
        <w:t xml:space="preserve">initial random sample of </w:t>
      </w:r>
      <w:r w:rsidRPr="00E42B26">
        <w:t xml:space="preserve">1,054 </w:t>
      </w:r>
      <w:r w:rsidR="00C8568A">
        <w:t>records</w:t>
      </w:r>
      <w:r w:rsidRPr="00E42B26">
        <w:t xml:space="preserve">, </w:t>
      </w:r>
      <w:r w:rsidR="00C8568A">
        <w:t xml:space="preserve">we excluded </w:t>
      </w:r>
      <w:r w:rsidRPr="00E42B26">
        <w:t xml:space="preserve">two </w:t>
      </w:r>
      <w:r w:rsidR="00C8568A">
        <w:t xml:space="preserve">that were </w:t>
      </w:r>
      <w:r w:rsidRPr="00E42B26">
        <w:t>complete but not sign</w:t>
      </w:r>
      <w:r w:rsidR="00C8568A">
        <w:t>ed</w:t>
      </w:r>
      <w:r w:rsidRPr="00E42B26">
        <w:t xml:space="preserve">, 148 </w:t>
      </w:r>
      <w:r w:rsidR="00C8568A">
        <w:t xml:space="preserve">that were </w:t>
      </w:r>
      <w:r w:rsidR="00A43DCC">
        <w:t>incomplete</w:t>
      </w:r>
      <w:r w:rsidRPr="00E42B26">
        <w:t xml:space="preserve">, six </w:t>
      </w:r>
      <w:r w:rsidR="00C8568A">
        <w:t xml:space="preserve">that </w:t>
      </w:r>
      <w:r w:rsidRPr="00E42B26">
        <w:t>had missing value</w:t>
      </w:r>
      <w:r w:rsidR="004F0491">
        <w:t>s</w:t>
      </w:r>
      <w:r w:rsidRPr="00E42B26">
        <w:t xml:space="preserve"> for current </w:t>
      </w:r>
      <w:r w:rsidR="003700F7">
        <w:t xml:space="preserve">health </w:t>
      </w:r>
      <w:r w:rsidRPr="00E42B26">
        <w:t>status</w:t>
      </w:r>
      <w:r w:rsidR="003700F7">
        <w:t xml:space="preserve">, and </w:t>
      </w:r>
      <w:r w:rsidRPr="00E42B26">
        <w:t xml:space="preserve">three who reported being 110 or older, leaving us with 895 </w:t>
      </w:r>
      <w:r w:rsidR="00C8568A">
        <w:t>finalized ACPs</w:t>
      </w:r>
      <w:r w:rsidRPr="00E42B26">
        <w:t xml:space="preserve"> (</w:t>
      </w:r>
      <w:r w:rsidRPr="00E42B26">
        <w:rPr>
          <w:i/>
          <w:iCs/>
        </w:rPr>
        <w:t>M</w:t>
      </w:r>
      <w:r w:rsidRPr="00E42B26">
        <w:rPr>
          <w:vertAlign w:val="subscript"/>
        </w:rPr>
        <w:t xml:space="preserve">age </w:t>
      </w:r>
      <w:r w:rsidRPr="00E42B26">
        <w:t xml:space="preserve">= 49.52, </w:t>
      </w:r>
      <w:r w:rsidRPr="00E42B26">
        <w:rPr>
          <w:i/>
          <w:iCs/>
        </w:rPr>
        <w:t>SD</w:t>
      </w:r>
      <w:r w:rsidRPr="00E42B26">
        <w:t xml:space="preserve"> = 16.34; 55.0% female, 45% male).</w:t>
      </w:r>
    </w:p>
    <w:p w14:paraId="7E192390" w14:textId="146E7953" w:rsidR="00452BFF" w:rsidRDefault="00F230D7" w:rsidP="00121F05">
      <w:pPr>
        <w:spacing w:line="360" w:lineRule="auto"/>
        <w:ind w:firstLine="709"/>
      </w:pPr>
      <w:r w:rsidRPr="00E42B26">
        <w:t xml:space="preserve">We </w:t>
      </w:r>
      <w:r w:rsidR="00F16E6F">
        <w:t xml:space="preserve">used </w:t>
      </w:r>
      <w:r w:rsidR="003700F7" w:rsidRPr="00E42B26">
        <w:t>k-means clustering</w:t>
      </w:r>
      <w:r w:rsidR="00217A46">
        <w:t xml:space="preserve">, </w:t>
      </w:r>
      <w:r w:rsidR="00217A46" w:rsidRPr="00E42B26">
        <w:t>a common</w:t>
      </w:r>
      <w:r w:rsidR="00217A46">
        <w:t xml:space="preserve"> </w:t>
      </w:r>
      <w:r w:rsidR="00217A46" w:rsidRPr="00E42B26">
        <w:t>exploratory segmentation method</w:t>
      </w:r>
      <w:r w:rsidR="00217A46">
        <w:t xml:space="preserve"> </w:t>
      </w:r>
      <w:r w:rsidR="00F16E6F" w:rsidRPr="00E42B26">
        <w:t>(</w:t>
      </w:r>
      <w:proofErr w:type="spellStart"/>
      <w:r w:rsidR="00F16E6F" w:rsidRPr="00E42B26">
        <w:t>Punj</w:t>
      </w:r>
      <w:proofErr w:type="spellEnd"/>
      <w:r w:rsidR="00F16E6F" w:rsidRPr="00E42B26">
        <w:t xml:space="preserve"> and Stewart 1983)</w:t>
      </w:r>
      <w:r w:rsidR="00737F62">
        <w:t xml:space="preserve">, </w:t>
      </w:r>
      <w:r w:rsidRPr="00E42B26">
        <w:t>to examin</w:t>
      </w:r>
      <w:r w:rsidR="00737F62">
        <w:t xml:space="preserve">e </w:t>
      </w:r>
      <w:r w:rsidRPr="00BE279F">
        <w:t>commonalities and differences</w:t>
      </w:r>
      <w:r w:rsidRPr="00E42B26">
        <w:t xml:space="preserve"> in values and preferences</w:t>
      </w:r>
      <w:r w:rsidR="00737F62">
        <w:t xml:space="preserve"> among ACP holders. </w:t>
      </w:r>
      <w:r w:rsidRPr="00E42B26">
        <w:t>In addition to</w:t>
      </w:r>
      <w:r w:rsidR="00737F62">
        <w:t xml:space="preserve"> values and </w:t>
      </w:r>
      <w:r w:rsidRPr="00E42B26">
        <w:t>preferences</w:t>
      </w:r>
      <w:r w:rsidR="00737F62">
        <w:t xml:space="preserve">, </w:t>
      </w:r>
      <w:r w:rsidRPr="00E42B26">
        <w:t xml:space="preserve">we </w:t>
      </w:r>
      <w:r w:rsidR="001851AC">
        <w:t xml:space="preserve">clustered </w:t>
      </w:r>
      <w:r w:rsidRPr="00E42B26">
        <w:t xml:space="preserve">individuals based on their demographics (sex and age) and current health status. As cluster analysis does not have an exact statistical solution, we considered </w:t>
      </w:r>
      <w:r w:rsidR="001851AC">
        <w:t>one</w:t>
      </w:r>
      <w:r w:rsidR="001851AC" w:rsidRPr="00E42B26">
        <w:t xml:space="preserve"> </w:t>
      </w:r>
      <w:r w:rsidRPr="00E42B26">
        <w:t xml:space="preserve">to 11 cluster solutions and selected k, the number of clusters that maximized Pseudo-F, subject to the constraint that no cluster contained fewer than 40 individuals. </w:t>
      </w:r>
    </w:p>
    <w:p w14:paraId="324F058D" w14:textId="77777777" w:rsidR="00452BFF" w:rsidRPr="00121F05" w:rsidRDefault="00452BFF" w:rsidP="00121F05">
      <w:pPr>
        <w:pStyle w:val="Heading2"/>
      </w:pPr>
      <w:r w:rsidRPr="00121F05">
        <w:t>Results</w:t>
      </w:r>
    </w:p>
    <w:p w14:paraId="7F69CE62" w14:textId="6D311388" w:rsidR="00F230D7" w:rsidRPr="00E42B26" w:rsidRDefault="00452BFF" w:rsidP="00F230D7">
      <w:pPr>
        <w:spacing w:line="360" w:lineRule="auto"/>
        <w:ind w:firstLine="709"/>
      </w:pPr>
      <w:r w:rsidRPr="00E42B26">
        <w:t xml:space="preserve">The </w:t>
      </w:r>
      <w:r w:rsidR="004F0491">
        <w:t xml:space="preserve">above </w:t>
      </w:r>
      <w:r w:rsidRPr="00E42B26">
        <w:t>criteria led to a four-cluster solution</w:t>
      </w:r>
      <w:r>
        <w:t xml:space="preserve"> (Table 1)</w:t>
      </w:r>
      <w:r w:rsidRPr="00E42B26">
        <w:t>.</w:t>
      </w:r>
      <w:r>
        <w:t xml:space="preserve"> </w:t>
      </w:r>
      <w:r w:rsidR="00737F62">
        <w:t>Individuals in c</w:t>
      </w:r>
      <w:r w:rsidR="00F230D7" w:rsidRPr="00E42B26">
        <w:t>luster 1 (“Young, focusing on family”) comprised 29.5% of the sample</w:t>
      </w:r>
      <w:r w:rsidR="00737F62">
        <w:t xml:space="preserve"> and, c</w:t>
      </w:r>
      <w:r w:rsidR="00F230D7" w:rsidRPr="00E42B26">
        <w:t>ompared to other clusters, were relatively young (</w:t>
      </w:r>
      <w:r w:rsidR="00F230D7" w:rsidRPr="00E42B26">
        <w:rPr>
          <w:i/>
          <w:iCs/>
        </w:rPr>
        <w:t>M</w:t>
      </w:r>
      <w:r w:rsidR="00F230D7" w:rsidRPr="00E42B26">
        <w:rPr>
          <w:vertAlign w:val="subscript"/>
        </w:rPr>
        <w:t xml:space="preserve">age </w:t>
      </w:r>
      <w:r w:rsidR="00F230D7" w:rsidRPr="00E42B26">
        <w:t xml:space="preserve">= 29.1), disproportionally </w:t>
      </w:r>
      <w:r w:rsidR="00356FE8">
        <w:t>female</w:t>
      </w:r>
      <w:r w:rsidR="00356FE8" w:rsidRPr="00E42B26">
        <w:t xml:space="preserve"> </w:t>
      </w:r>
      <w:r w:rsidR="00F230D7" w:rsidRPr="00E42B26">
        <w:t xml:space="preserve">(64.4%), and in good health. They were more likely to want to donate their organs. It was less important to them to be able to care for themselves and avoid machine dependence, but more important to be with family and resolve any conflicts. They were also more likely to </w:t>
      </w:r>
      <w:r w:rsidR="00043FF7" w:rsidRPr="00E42B26">
        <w:t>want life</w:t>
      </w:r>
      <w:r w:rsidR="00F230D7" w:rsidRPr="00E42B26">
        <w:t xml:space="preserve"> support and to receive CPR. </w:t>
      </w:r>
    </w:p>
    <w:p w14:paraId="191F7B3E" w14:textId="6E16DEAB" w:rsidR="00F230D7" w:rsidRPr="00E42B26" w:rsidRDefault="00F230D7" w:rsidP="00F230D7">
      <w:pPr>
        <w:spacing w:line="360" w:lineRule="auto"/>
        <w:ind w:firstLine="709"/>
      </w:pPr>
      <w:r w:rsidRPr="00E42B26">
        <w:t>Individuals in cluster 2 (“Adults, concerned about CPR”) comprised 26.9% of the sample, tended to be in good health but were older than those in cluster 1 (</w:t>
      </w:r>
      <w:r w:rsidRPr="00E42B26">
        <w:rPr>
          <w:i/>
          <w:iCs/>
        </w:rPr>
        <w:t>M</w:t>
      </w:r>
      <w:r w:rsidRPr="00E42B26">
        <w:rPr>
          <w:vertAlign w:val="subscript"/>
        </w:rPr>
        <w:t xml:space="preserve">age </w:t>
      </w:r>
      <w:r w:rsidRPr="00E42B26">
        <w:t>= 47.0). Like cluster 1, they were more likely than the remaining two clusters to want to donate their organs. However, different from cluster 1, they were less likely to want life support and CPR, as it was more important for them to avoid machine dependence. Compared to all other clusters, they were less likely to leave the CPR decision to their healthcare agent.</w:t>
      </w:r>
    </w:p>
    <w:p w14:paraId="67C7B3E4" w14:textId="4BD3F0B3" w:rsidR="00F230D7" w:rsidRPr="00E42B26" w:rsidRDefault="00737F62" w:rsidP="00F230D7">
      <w:pPr>
        <w:spacing w:line="360" w:lineRule="auto"/>
        <w:ind w:firstLine="709"/>
      </w:pPr>
      <w:r>
        <w:lastRenderedPageBreak/>
        <w:t xml:space="preserve">Individuals in </w:t>
      </w:r>
      <w:r w:rsidR="00151CD4">
        <w:t>c</w:t>
      </w:r>
      <w:r w:rsidR="00F230D7" w:rsidRPr="00E42B26">
        <w:t>luster 3 (“Young seniors, wanting independence”) comprised 32.5% of the sample</w:t>
      </w:r>
      <w:r>
        <w:t xml:space="preserve">, </w:t>
      </w:r>
      <w:r w:rsidR="00F230D7" w:rsidRPr="00E42B26">
        <w:t>had an average age of 61.5 and, compared to other clusters, a higher likelihood of having a chronic disability. They were more likely than the first two clusters to want to spend their final days in a hospice-type setting. It was more important for them to be able to care for themselves and avoid machine dependence</w:t>
      </w:r>
      <w:r w:rsidR="000725A4">
        <w:t xml:space="preserve">, as </w:t>
      </w:r>
      <w:r w:rsidR="00F230D7" w:rsidRPr="00E42B26">
        <w:t>they preferred to not receive life support.</w:t>
      </w:r>
    </w:p>
    <w:p w14:paraId="16EBFDFD" w14:textId="61F65522" w:rsidR="00E13A1B" w:rsidRDefault="00F230D7" w:rsidP="00A43DCC">
      <w:pPr>
        <w:spacing w:line="360" w:lineRule="auto"/>
        <w:ind w:firstLine="709"/>
      </w:pPr>
      <w:r w:rsidRPr="00E42B26">
        <w:t>Finally, the results revealed a small fourth cluster (“Old seniors, avoiding life support”) that comprised 11.1% of the sample. These individuals were older on average than the other clusters (</w:t>
      </w:r>
      <w:r w:rsidRPr="00E42B26">
        <w:rPr>
          <w:i/>
          <w:iCs/>
        </w:rPr>
        <w:t>M</w:t>
      </w:r>
      <w:r w:rsidRPr="00E42B26">
        <w:rPr>
          <w:vertAlign w:val="subscript"/>
        </w:rPr>
        <w:t xml:space="preserve">age </w:t>
      </w:r>
      <w:r w:rsidRPr="00E42B26">
        <w:t>= 75.2), more likely to be m</w:t>
      </w:r>
      <w:r w:rsidR="00356FE8">
        <w:t>ale</w:t>
      </w:r>
      <w:r w:rsidRPr="00E42B26">
        <w:t xml:space="preserve"> (61.6%), and less likely to be in good health. </w:t>
      </w:r>
      <w:r w:rsidR="00734304">
        <w:t>T</w:t>
      </w:r>
      <w:r w:rsidRPr="00E42B26">
        <w:t xml:space="preserve">hey were more likely </w:t>
      </w:r>
      <w:r w:rsidR="00734304">
        <w:t xml:space="preserve">than the other clusters </w:t>
      </w:r>
      <w:r w:rsidRPr="00E42B26">
        <w:t xml:space="preserve">to want to spend their final days in a hospice-type setting. Like cluster 3, it was more important to them to be able to care for themselves and avoid prolonged machine dependence, and less important that they be with family and resolve conflicts. They were also less likely to want CPR than </w:t>
      </w:r>
      <w:r w:rsidR="00B654A4">
        <w:t xml:space="preserve">the </w:t>
      </w:r>
      <w:r w:rsidRPr="00E42B26">
        <w:t>other clusters.</w:t>
      </w:r>
    </w:p>
    <w:p w14:paraId="40C46A3B" w14:textId="355E8202" w:rsidR="00503699" w:rsidRDefault="00A158FC" w:rsidP="00503699">
      <w:pPr>
        <w:spacing w:line="360" w:lineRule="auto"/>
        <w:ind w:firstLine="720"/>
      </w:pPr>
      <w:r>
        <w:t xml:space="preserve">We next </w:t>
      </w:r>
      <w:r w:rsidR="00F230D7" w:rsidRPr="00E42B26">
        <w:t xml:space="preserve">ran a series of logistic regressions using participants’ values and preferences as dependent variables, and age, </w:t>
      </w:r>
      <w:r w:rsidR="008D1A12">
        <w:t>sex</w:t>
      </w:r>
      <w:r w:rsidR="00F230D7" w:rsidRPr="00E42B26">
        <w:t>, and health as independent variables</w:t>
      </w:r>
      <w:r w:rsidR="00151CD4">
        <w:t xml:space="preserve">. </w:t>
      </w:r>
      <w:r w:rsidR="00F230D7" w:rsidRPr="00E42B26">
        <w:t xml:space="preserve">The </w:t>
      </w:r>
      <w:r w:rsidR="008B5C44" w:rsidRPr="00E42B26">
        <w:t>analys</w:t>
      </w:r>
      <w:r w:rsidR="008B5C44">
        <w:t>e</w:t>
      </w:r>
      <w:r w:rsidR="008B5C44" w:rsidRPr="00E42B26">
        <w:t xml:space="preserve">s </w:t>
      </w:r>
      <w:r w:rsidR="00F230D7" w:rsidRPr="00E42B26">
        <w:t>revealed age as a significant predictor</w:t>
      </w:r>
      <w:r w:rsidR="003C78CF">
        <w:t>,</w:t>
      </w:r>
      <w:r w:rsidR="00F230D7" w:rsidRPr="00E42B26">
        <w:t xml:space="preserve"> </w:t>
      </w:r>
      <w:r w:rsidR="00452BFF" w:rsidRPr="00E42B26">
        <w:t>mirror</w:t>
      </w:r>
      <w:r w:rsidR="003C78CF">
        <w:t>ing</w:t>
      </w:r>
      <w:r w:rsidR="00452BFF" w:rsidRPr="00E42B26">
        <w:t xml:space="preserve"> the </w:t>
      </w:r>
      <w:r w:rsidR="00F279D9">
        <w:t>cluster analysis findings</w:t>
      </w:r>
      <w:r w:rsidR="00F230D7" w:rsidRPr="00E42B26">
        <w:t xml:space="preserve">. The importance of being able to care for </w:t>
      </w:r>
      <w:r w:rsidR="00452BFF" w:rsidRPr="00E42B26">
        <w:t>oneself</w:t>
      </w:r>
      <w:r w:rsidR="00A2048E">
        <w:t xml:space="preserve"> and </w:t>
      </w:r>
      <w:r w:rsidR="00F230D7" w:rsidRPr="00E42B26">
        <w:t>avoiding machine dependence</w:t>
      </w:r>
      <w:r w:rsidR="00A2048E">
        <w:t xml:space="preserve"> </w:t>
      </w:r>
      <w:r w:rsidR="00F230D7" w:rsidRPr="00E42B26">
        <w:t>increased with age, while the importance of being with family</w:t>
      </w:r>
      <w:r w:rsidR="00C632D0" w:rsidRPr="00E42B26">
        <w:t xml:space="preserve"> </w:t>
      </w:r>
      <w:r w:rsidR="00F230D7" w:rsidRPr="00E42B26">
        <w:t xml:space="preserve">and resolving conflicts decreased with age. Additionally, older individuals indicated </w:t>
      </w:r>
      <w:r w:rsidR="009C5C0E">
        <w:t xml:space="preserve">a </w:t>
      </w:r>
      <w:r w:rsidR="00F230D7" w:rsidRPr="00E42B26">
        <w:t xml:space="preserve">greater preference to spend </w:t>
      </w:r>
      <w:r w:rsidR="009C5C0E">
        <w:t xml:space="preserve">their </w:t>
      </w:r>
      <w:r w:rsidR="00F230D7" w:rsidRPr="00E42B26">
        <w:t>final days in a hospice facility</w:t>
      </w:r>
      <w:r w:rsidR="00DD256D">
        <w:t xml:space="preserve"> and</w:t>
      </w:r>
      <w:r w:rsidR="00F230D7" w:rsidRPr="00E42B26">
        <w:t xml:space="preserve"> </w:t>
      </w:r>
      <w:r w:rsidR="009C5C0E">
        <w:t xml:space="preserve">a </w:t>
      </w:r>
      <w:r w:rsidR="00F230D7" w:rsidRPr="00E42B26">
        <w:t>l</w:t>
      </w:r>
      <w:r w:rsidR="00C632D0" w:rsidRPr="00E42B26">
        <w:t>ower</w:t>
      </w:r>
      <w:r w:rsidR="00F230D7" w:rsidRPr="00E42B26">
        <w:t xml:space="preserve"> preference </w:t>
      </w:r>
      <w:r w:rsidR="00835871">
        <w:t xml:space="preserve">both </w:t>
      </w:r>
      <w:r w:rsidR="00F230D7" w:rsidRPr="00E42B26">
        <w:t xml:space="preserve">to receive </w:t>
      </w:r>
      <w:r w:rsidR="00BB5800">
        <w:t xml:space="preserve">invasive </w:t>
      </w:r>
      <w:r w:rsidR="00835871">
        <w:t>life-sustaining treatments</w:t>
      </w:r>
      <w:r w:rsidR="00E33B74">
        <w:t>,</w:t>
      </w:r>
      <w:r w:rsidR="00835871">
        <w:t xml:space="preserve"> like </w:t>
      </w:r>
      <w:r w:rsidR="00F230D7" w:rsidRPr="00E42B26">
        <w:t>life</w:t>
      </w:r>
      <w:r w:rsidR="00734304">
        <w:t xml:space="preserve"> </w:t>
      </w:r>
      <w:r w:rsidR="00B654A4">
        <w:t>support</w:t>
      </w:r>
      <w:r w:rsidR="00F230D7" w:rsidRPr="00E42B26">
        <w:t xml:space="preserve"> or CPR</w:t>
      </w:r>
      <w:r w:rsidR="00E33B74">
        <w:t>,</w:t>
      </w:r>
      <w:r w:rsidR="003C78CF">
        <w:t xml:space="preserve"> and to donate organs</w:t>
      </w:r>
      <w:r w:rsidR="00F230D7" w:rsidRPr="00E42B26">
        <w:t xml:space="preserve">. </w:t>
      </w:r>
      <w:r w:rsidR="008D1A12">
        <w:t>Sex</w:t>
      </w:r>
      <w:r w:rsidR="008D1A12" w:rsidRPr="00E42B26">
        <w:t xml:space="preserve"> </w:t>
      </w:r>
      <w:r w:rsidR="00E22ADE">
        <w:t xml:space="preserve">was </w:t>
      </w:r>
      <w:r w:rsidR="00CA3B4A">
        <w:t xml:space="preserve">another </w:t>
      </w:r>
      <w:r w:rsidR="00F230D7" w:rsidRPr="00E42B26">
        <w:t>significant predictor</w:t>
      </w:r>
      <w:r w:rsidR="00452BFF">
        <w:t>: i</w:t>
      </w:r>
      <w:r w:rsidR="00F230D7" w:rsidRPr="00E42B26">
        <w:t>t was more important for females to be with family</w:t>
      </w:r>
      <w:r w:rsidR="00B617BB">
        <w:t>, be at peace,</w:t>
      </w:r>
      <w:r w:rsidR="00A2048E">
        <w:t xml:space="preserve"> </w:t>
      </w:r>
      <w:r w:rsidR="00F230D7" w:rsidRPr="00E42B26">
        <w:t>avoid machine dependence</w:t>
      </w:r>
      <w:r w:rsidR="002A01CE">
        <w:t>, and spend their final days in a hospice facility</w:t>
      </w:r>
      <w:r w:rsidR="00F230D7" w:rsidRPr="00E42B26">
        <w:t xml:space="preserve"> than for males</w:t>
      </w:r>
      <w:r w:rsidR="002A01CE">
        <w:t xml:space="preserve"> </w:t>
      </w:r>
      <w:r w:rsidR="001418A3" w:rsidRPr="00E42B26">
        <w:t xml:space="preserve">(all </w:t>
      </w:r>
      <w:proofErr w:type="spellStart"/>
      <w:r w:rsidR="001418A3" w:rsidRPr="00E42B26">
        <w:rPr>
          <w:i/>
          <w:iCs/>
        </w:rPr>
        <w:t>p</w:t>
      </w:r>
      <w:r w:rsidR="001418A3" w:rsidRPr="00E42B26">
        <w:t>s</w:t>
      </w:r>
      <w:proofErr w:type="spellEnd"/>
      <w:r w:rsidR="001418A3" w:rsidRPr="00E42B26">
        <w:t xml:space="preserve"> &lt; .05; see </w:t>
      </w:r>
      <w:r w:rsidR="00C01FEB" w:rsidRPr="00E42B26">
        <w:t xml:space="preserve">Web </w:t>
      </w:r>
      <w:r w:rsidR="001418A3" w:rsidRPr="00E42B26">
        <w:t xml:space="preserve">Appendix for detailed results). </w:t>
      </w:r>
      <w:r w:rsidR="00DD6342">
        <w:t>H</w:t>
      </w:r>
      <w:r w:rsidR="00773C21" w:rsidRPr="00E42B26">
        <w:t xml:space="preserve">ealth status </w:t>
      </w:r>
      <w:r w:rsidR="00F279D9">
        <w:t xml:space="preserve">was not </w:t>
      </w:r>
      <w:r w:rsidR="00773C21" w:rsidRPr="00E42B26">
        <w:t>a significant predictor</w:t>
      </w:r>
      <w:r w:rsidR="00452BFF">
        <w:t>.</w:t>
      </w:r>
    </w:p>
    <w:p w14:paraId="5484A545" w14:textId="77777777" w:rsidR="000C2C36" w:rsidRPr="000C2C36" w:rsidRDefault="000C2C36" w:rsidP="000C2C36">
      <w:pPr>
        <w:spacing w:line="360" w:lineRule="auto"/>
        <w:ind w:firstLine="720"/>
      </w:pPr>
    </w:p>
    <w:p w14:paraId="0743F117" w14:textId="7A057359" w:rsidR="000C2C36" w:rsidRPr="00E42B26" w:rsidRDefault="00DD67A9" w:rsidP="00DD67A9">
      <w:pPr>
        <w:spacing w:line="360" w:lineRule="auto"/>
        <w:jc w:val="center"/>
      </w:pPr>
      <w:r>
        <w:t>------ Insert Table 1 here ------</w:t>
      </w:r>
    </w:p>
    <w:p w14:paraId="3BF88426" w14:textId="287CCEAC" w:rsidR="00887C0E" w:rsidRDefault="00887C0E" w:rsidP="001B4F08">
      <w:pPr>
        <w:pStyle w:val="Heading2"/>
      </w:pPr>
    </w:p>
    <w:p w14:paraId="18EAB58D" w14:textId="38DAC65C" w:rsidR="00F230D7" w:rsidRPr="00E42B26" w:rsidRDefault="00F230D7" w:rsidP="001B4F08">
      <w:pPr>
        <w:pStyle w:val="Heading2"/>
      </w:pPr>
      <w:r w:rsidRPr="00E42B26">
        <w:t>Discussion</w:t>
      </w:r>
    </w:p>
    <w:p w14:paraId="45F75E7A" w14:textId="05AE6511" w:rsidR="00DA39FF" w:rsidRPr="00E42B26" w:rsidRDefault="00453C61" w:rsidP="00DA39FF">
      <w:pPr>
        <w:spacing w:line="360" w:lineRule="auto"/>
        <w:ind w:firstLine="720"/>
      </w:pPr>
      <w:r>
        <w:t>I</w:t>
      </w:r>
      <w:r w:rsidR="00F230D7" w:rsidRPr="00E42B26">
        <w:t>ndividuals’ values</w:t>
      </w:r>
      <w:r w:rsidR="000E5EB6">
        <w:t xml:space="preserve"> </w:t>
      </w:r>
      <w:r w:rsidR="00C632D0" w:rsidRPr="00E42B26">
        <w:t xml:space="preserve">and preferences </w:t>
      </w:r>
      <w:r w:rsidR="00F230D7" w:rsidRPr="00E42B26">
        <w:t xml:space="preserve">regarding </w:t>
      </w:r>
      <w:r w:rsidR="00E33B74">
        <w:t xml:space="preserve">critical </w:t>
      </w:r>
      <w:r w:rsidR="00452BFF">
        <w:t xml:space="preserve">healthcare </w:t>
      </w:r>
      <w:r w:rsidR="00C632D0" w:rsidRPr="00E42B26">
        <w:t xml:space="preserve">treatments </w:t>
      </w:r>
      <w:r w:rsidR="00F230D7" w:rsidRPr="00E42B26">
        <w:t xml:space="preserve">varied across ACP holders </w:t>
      </w:r>
      <w:r w:rsidR="00DA39FF">
        <w:t xml:space="preserve">in relation to </w:t>
      </w:r>
      <w:r w:rsidR="00D55F2A">
        <w:t xml:space="preserve">demographics. </w:t>
      </w:r>
      <w:r w:rsidR="007C20CE">
        <w:t xml:space="preserve">For example, </w:t>
      </w:r>
      <w:r w:rsidR="00FF6E8D">
        <w:t xml:space="preserve">relative to younger individuals, </w:t>
      </w:r>
      <w:r w:rsidR="00F230D7" w:rsidRPr="00E42B26">
        <w:t xml:space="preserve">older </w:t>
      </w:r>
      <w:r w:rsidR="00F230D7" w:rsidRPr="00E42B26">
        <w:lastRenderedPageBreak/>
        <w:t xml:space="preserve">individuals preferred to </w:t>
      </w:r>
      <w:r w:rsidR="000B0093">
        <w:t xml:space="preserve">be able to </w:t>
      </w:r>
      <w:r w:rsidR="000B0093" w:rsidRPr="00E42B26">
        <w:t xml:space="preserve">care for </w:t>
      </w:r>
      <w:r w:rsidR="000B0093">
        <w:t xml:space="preserve">themselves, </w:t>
      </w:r>
      <w:r w:rsidR="00CF2AB3">
        <w:t xml:space="preserve">to </w:t>
      </w:r>
      <w:r w:rsidR="00F230D7" w:rsidRPr="00E42B26">
        <w:t xml:space="preserve">avoid </w:t>
      </w:r>
      <w:r w:rsidR="00A976CC">
        <w:t>invasive life-sustaining</w:t>
      </w:r>
      <w:r w:rsidR="00F230D7" w:rsidRPr="00E42B26">
        <w:t xml:space="preserve"> </w:t>
      </w:r>
      <w:r w:rsidR="00835871">
        <w:t>treatments</w:t>
      </w:r>
      <w:r w:rsidR="00F230D7" w:rsidRPr="00E42B26">
        <w:t xml:space="preserve"> and to die more peaceful</w:t>
      </w:r>
      <w:r w:rsidR="00CF2AB3">
        <w:t xml:space="preserve">ly outside of a hospital. </w:t>
      </w:r>
    </w:p>
    <w:p w14:paraId="41E2F3D8" w14:textId="46835B74" w:rsidR="00BD37ED" w:rsidRDefault="00DD6342" w:rsidP="00A14099">
      <w:pPr>
        <w:spacing w:line="360" w:lineRule="auto"/>
        <w:ind w:firstLine="720"/>
      </w:pPr>
      <w:r>
        <w:t xml:space="preserve">The next study investigates whether </w:t>
      </w:r>
      <w:r w:rsidR="00AF5B87">
        <w:t xml:space="preserve">the </w:t>
      </w:r>
      <w:r w:rsidR="00AF5B87" w:rsidRPr="00E42B26">
        <w:t>observed relationship</w:t>
      </w:r>
      <w:r w:rsidR="00F279D9">
        <w:t>s</w:t>
      </w:r>
      <w:r w:rsidR="00527916">
        <w:t xml:space="preserve"> </w:t>
      </w:r>
      <w:r w:rsidR="00AF5B87" w:rsidRPr="00E42B26">
        <w:t xml:space="preserve">hold among </w:t>
      </w:r>
      <w:r w:rsidR="005A06A8">
        <w:t>non-holders</w:t>
      </w:r>
      <w:r w:rsidR="007C20CE">
        <w:t xml:space="preserve"> of ACPs</w:t>
      </w:r>
      <w:r w:rsidR="005A06A8">
        <w:t xml:space="preserve"> and </w:t>
      </w:r>
      <w:r w:rsidR="002A5DAA">
        <w:t xml:space="preserve">whether </w:t>
      </w:r>
      <w:r w:rsidR="00453C61">
        <w:t>values and preferences</w:t>
      </w:r>
      <w:r w:rsidR="002A5DAA">
        <w:t xml:space="preserve"> have a role in </w:t>
      </w:r>
      <w:r w:rsidR="00F279D9">
        <w:t xml:space="preserve">ACP-creation </w:t>
      </w:r>
      <w:r w:rsidR="00527916" w:rsidRPr="000E5EB6">
        <w:t>intentions</w:t>
      </w:r>
      <w:r w:rsidR="000E5EB6">
        <w:t xml:space="preserve">. </w:t>
      </w:r>
    </w:p>
    <w:p w14:paraId="0B5B895A" w14:textId="096EE64E" w:rsidR="00F230D7" w:rsidRPr="00E42B26" w:rsidRDefault="00F230D7" w:rsidP="001B4F08">
      <w:pPr>
        <w:pStyle w:val="Heading1"/>
      </w:pPr>
      <w:r w:rsidRPr="00E42B26">
        <w:t xml:space="preserve">Study 2: Values and Preferences Among </w:t>
      </w:r>
      <w:r w:rsidR="00881B1A">
        <w:t xml:space="preserve">ACP </w:t>
      </w:r>
      <w:r w:rsidRPr="00E42B26">
        <w:t>Non-Holders</w:t>
      </w:r>
    </w:p>
    <w:p w14:paraId="51B10A26" w14:textId="7DC9E47A" w:rsidR="00F230D7" w:rsidRPr="00E42B26" w:rsidRDefault="00F279D9" w:rsidP="00F230D7">
      <w:pPr>
        <w:spacing w:line="360" w:lineRule="auto"/>
        <w:ind w:firstLine="720"/>
      </w:pPr>
      <w:r>
        <w:t>W</w:t>
      </w:r>
      <w:r w:rsidR="005C3A08" w:rsidRPr="00E42B26">
        <w:t>e conducted a survey</w:t>
      </w:r>
      <w:r w:rsidR="00D636E9">
        <w:t xml:space="preserve"> </w:t>
      </w:r>
      <w:r w:rsidR="00FF6E8D">
        <w:t xml:space="preserve">that </w:t>
      </w:r>
      <w:r w:rsidR="001C1F38">
        <w:t>includ</w:t>
      </w:r>
      <w:r w:rsidR="00FF6E8D">
        <w:t xml:space="preserve">ed </w:t>
      </w:r>
      <w:r w:rsidR="001C1F38">
        <w:t xml:space="preserve">questions modelled on those of </w:t>
      </w:r>
      <w:r w:rsidR="00881B1A">
        <w:t>Study 1</w:t>
      </w:r>
      <w:r w:rsidR="001C1F38">
        <w:t xml:space="preserve"> </w:t>
      </w:r>
      <w:r w:rsidR="00D26CDD">
        <w:t>and an additional question about intentions to create an ACP</w:t>
      </w:r>
      <w:r w:rsidR="00F230D7" w:rsidRPr="00E42B26">
        <w:t xml:space="preserve">. </w:t>
      </w:r>
    </w:p>
    <w:p w14:paraId="6CE81E3B" w14:textId="77777777" w:rsidR="00F230D7" w:rsidRPr="00E42B26" w:rsidRDefault="00F230D7" w:rsidP="001B4F08">
      <w:pPr>
        <w:pStyle w:val="Heading2"/>
      </w:pPr>
      <w:r w:rsidRPr="00E42B26">
        <w:t>Method</w:t>
      </w:r>
    </w:p>
    <w:p w14:paraId="1FDCBAF1" w14:textId="59B53F96" w:rsidR="00F230D7" w:rsidRPr="00E42B26" w:rsidRDefault="00F230D7" w:rsidP="00F230D7">
      <w:pPr>
        <w:spacing w:line="360" w:lineRule="auto"/>
      </w:pPr>
      <w:r w:rsidRPr="00E42B26">
        <w:rPr>
          <w:b/>
          <w:bCs/>
        </w:rPr>
        <w:tab/>
      </w:r>
      <w:r w:rsidRPr="00E42B26">
        <w:t>We recruited 201 participants on Mechanical Turk and removed two who failed to complete the survey, leaving us with 199 (</w:t>
      </w:r>
      <w:r w:rsidRPr="00E42B26">
        <w:rPr>
          <w:i/>
          <w:iCs/>
        </w:rPr>
        <w:t>M</w:t>
      </w:r>
      <w:r w:rsidRPr="00E42B26">
        <w:rPr>
          <w:vertAlign w:val="subscript"/>
        </w:rPr>
        <w:t>age</w:t>
      </w:r>
      <w:r w:rsidRPr="00E42B26">
        <w:t xml:space="preserve"> = 36.5; 50.8% Male, 49.2% Female). All participants passed </w:t>
      </w:r>
      <w:r w:rsidR="00F279D9">
        <w:t>an</w:t>
      </w:r>
      <w:r w:rsidR="00F279D9" w:rsidRPr="00E42B26">
        <w:t xml:space="preserve"> </w:t>
      </w:r>
      <w:r w:rsidRPr="00E42B26">
        <w:t>attention check.</w:t>
      </w:r>
    </w:p>
    <w:p w14:paraId="38AE69EC" w14:textId="022F4CCF" w:rsidR="001C1F38" w:rsidRPr="00E42B26" w:rsidRDefault="00F230D7" w:rsidP="001C1F38">
      <w:pPr>
        <w:spacing w:line="360" w:lineRule="auto"/>
        <w:ind w:firstLine="720"/>
      </w:pPr>
      <w:r w:rsidRPr="00E42B26">
        <w:t>We first measured participants’ current health using one general question (“In general how would you describe yourself?” “1 = not at all healthy</w:t>
      </w:r>
      <w:r w:rsidR="009C5C0E">
        <w:t>,</w:t>
      </w:r>
      <w:r w:rsidRPr="00E42B26">
        <w:t>” “7 = very healthy”), followed by six specific statements (e.g.</w:t>
      </w:r>
      <w:r w:rsidR="001418A3" w:rsidRPr="00E42B26">
        <w:t>,</w:t>
      </w:r>
      <w:r w:rsidRPr="00E42B26">
        <w:t xml:space="preserve"> “I exercise on a regular basis</w:t>
      </w:r>
      <w:r w:rsidR="009C5C0E">
        <w:t>,</w:t>
      </w:r>
      <w:r w:rsidRPr="00E42B26">
        <w:t>” “1 = Absolutely false</w:t>
      </w:r>
      <w:r w:rsidR="009C5C0E">
        <w:t>,</w:t>
      </w:r>
      <w:r w:rsidRPr="00E42B26">
        <w:t xml:space="preserve">” “7 = Absolutely true”). </w:t>
      </w:r>
      <w:r w:rsidR="001C1F38">
        <w:t xml:space="preserve">We used a continuous measure because the low variance in the categorical health measure in Study 1 (88% of participants selected “good health”) might account for the counterintuitive result that health status did not predict values and preferences. </w:t>
      </w:r>
    </w:p>
    <w:p w14:paraId="71FC6C9D" w14:textId="4ABECEF5" w:rsidR="00F230D7" w:rsidRPr="00E42B26" w:rsidRDefault="00F230D7" w:rsidP="00F230D7">
      <w:pPr>
        <w:spacing w:line="360" w:lineRule="auto"/>
        <w:ind w:firstLine="720"/>
      </w:pPr>
      <w:r w:rsidRPr="00E42B26">
        <w:t xml:space="preserve">Participants then responded to </w:t>
      </w:r>
      <w:r w:rsidR="001C1F38">
        <w:t xml:space="preserve">the same </w:t>
      </w:r>
      <w:r w:rsidR="007C43AB">
        <w:t>healthcare</w:t>
      </w:r>
      <w:r w:rsidR="00327E32">
        <w:t xml:space="preserve"> preference </w:t>
      </w:r>
      <w:r w:rsidRPr="00E42B26">
        <w:t xml:space="preserve">questions </w:t>
      </w:r>
      <w:r w:rsidR="00795B3C">
        <w:t xml:space="preserve">of </w:t>
      </w:r>
      <w:r w:rsidR="00327E32">
        <w:t>Study 1</w:t>
      </w:r>
      <w:r w:rsidR="00795B3C">
        <w:t xml:space="preserve">. </w:t>
      </w:r>
      <w:r w:rsidR="001C1F38">
        <w:t xml:space="preserve">Instead of </w:t>
      </w:r>
      <w:r w:rsidR="001C1F38" w:rsidRPr="00E42B26">
        <w:t>choos</w:t>
      </w:r>
      <w:r w:rsidR="001C1F38">
        <w:t>ing f</w:t>
      </w:r>
      <w:r w:rsidR="001C1F38" w:rsidRPr="00E42B26">
        <w:t xml:space="preserve">rom </w:t>
      </w:r>
      <w:r w:rsidR="001C1F38">
        <w:t xml:space="preserve">a </w:t>
      </w:r>
      <w:r w:rsidR="001C1F38" w:rsidRPr="00E42B26">
        <w:t>list</w:t>
      </w:r>
      <w:r w:rsidR="001C1F38">
        <w:t xml:space="preserve"> as in </w:t>
      </w:r>
      <w:r w:rsidR="00453C61">
        <w:t>Study 1</w:t>
      </w:r>
      <w:r w:rsidR="001C1F38" w:rsidRPr="00E42B26">
        <w:t xml:space="preserve">, participants </w:t>
      </w:r>
      <w:r w:rsidR="001C1F38">
        <w:t>rated th</w:t>
      </w:r>
      <w:r w:rsidR="000E0CD5">
        <w:t>ese preferences</w:t>
      </w:r>
      <w:r w:rsidR="001C1F38">
        <w:t xml:space="preserve"> </w:t>
      </w:r>
      <w:r w:rsidR="001C1F38" w:rsidRPr="00E42B26">
        <w:t>on scale</w:t>
      </w:r>
      <w:r w:rsidR="001C1F38">
        <w:t xml:space="preserve">s, which facilitated their use as predictors of intentions. </w:t>
      </w:r>
      <w:r w:rsidRPr="00E42B26">
        <w:t>Specifically, participants rated the</w:t>
      </w:r>
      <w:r w:rsidR="005A342B">
        <w:t>ir willingness to h</w:t>
      </w:r>
      <w:r w:rsidRPr="00E42B26">
        <w:t>ave life</w:t>
      </w:r>
      <w:r w:rsidR="009836D5">
        <w:t xml:space="preserve"> support</w:t>
      </w:r>
      <w:r w:rsidR="000725A4">
        <w:t xml:space="preserve"> and CPR</w:t>
      </w:r>
      <w:r w:rsidRPr="00E42B26">
        <w:t xml:space="preserve">, </w:t>
      </w:r>
      <w:r w:rsidR="005A342B">
        <w:t xml:space="preserve">spend </w:t>
      </w:r>
      <w:r w:rsidRPr="00E42B26">
        <w:t>their final days</w:t>
      </w:r>
      <w:r w:rsidR="005A342B">
        <w:t xml:space="preserve"> in different locations</w:t>
      </w:r>
      <w:r w:rsidRPr="00E42B26">
        <w:t>, and donate their organs on 7-point scale</w:t>
      </w:r>
      <w:r w:rsidR="009C5C0E">
        <w:t>s</w:t>
      </w:r>
      <w:r w:rsidRPr="00E42B26">
        <w:t xml:space="preserve"> (</w:t>
      </w:r>
      <w:r w:rsidR="001C1F38">
        <w:t xml:space="preserve">for </w:t>
      </w:r>
      <w:r w:rsidRPr="00E42B26">
        <w:t>more details</w:t>
      </w:r>
      <w:r w:rsidR="001C1F38">
        <w:t xml:space="preserve"> see </w:t>
      </w:r>
      <w:r w:rsidRPr="00E42B26">
        <w:t>the Web Appendix</w:t>
      </w:r>
      <w:r w:rsidR="0048395B">
        <w:rPr>
          <w:rStyle w:val="FootnoteReference"/>
        </w:rPr>
        <w:footnoteReference w:id="1"/>
      </w:r>
      <w:r w:rsidR="00327E32">
        <w:t xml:space="preserve">. All data and materials </w:t>
      </w:r>
      <w:r w:rsidR="00510D4D">
        <w:t xml:space="preserve">for this and the studies that follow </w:t>
      </w:r>
      <w:r w:rsidR="00327E32">
        <w:t>are available at</w:t>
      </w:r>
      <w:r w:rsidR="006E1F7B">
        <w:t xml:space="preserve"> </w:t>
      </w:r>
      <w:hyperlink r:id="rId11" w:history="1">
        <w:r w:rsidR="006E1F7B" w:rsidRPr="00D7500C">
          <w:rPr>
            <w:rStyle w:val="Hyperlink"/>
          </w:rPr>
          <w:t>https://osf.io/wdb5a/?view_only=397426d95640458594ef8808c5275e68</w:t>
        </w:r>
      </w:hyperlink>
      <w:r w:rsidR="006E1F7B">
        <w:t>)</w:t>
      </w:r>
      <w:r w:rsidRPr="00E42B26">
        <w:t>.</w:t>
      </w:r>
    </w:p>
    <w:p w14:paraId="7BDFC4A8" w14:textId="359E21BC" w:rsidR="00F230D7" w:rsidRPr="00E42B26" w:rsidRDefault="00F230D7" w:rsidP="00F230D7">
      <w:pPr>
        <w:spacing w:line="360" w:lineRule="auto"/>
        <w:ind w:firstLine="720"/>
      </w:pPr>
      <w:r w:rsidRPr="00E42B26">
        <w:lastRenderedPageBreak/>
        <w:t>Next, participants read the definition of ACP</w:t>
      </w:r>
      <w:r w:rsidR="007C20CE">
        <w:t>s</w:t>
      </w:r>
      <w:r w:rsidRPr="00E42B26">
        <w:rPr>
          <w:rStyle w:val="FootnoteReference"/>
        </w:rPr>
        <w:footnoteReference w:id="2"/>
      </w:r>
      <w:r w:rsidRPr="00E42B26">
        <w:t xml:space="preserve"> and indicated whether they currently had one</w:t>
      </w:r>
      <w:r w:rsidR="005F32DF">
        <w:t xml:space="preserve">; if they did not, they </w:t>
      </w:r>
      <w:r w:rsidR="005A342B">
        <w:t xml:space="preserve">reported </w:t>
      </w:r>
      <w:r w:rsidRPr="00E42B26">
        <w:t xml:space="preserve">their likelihood to create </w:t>
      </w:r>
      <w:r w:rsidR="007C20CE">
        <w:t>one</w:t>
      </w:r>
      <w:r w:rsidRPr="00E42B26">
        <w:t xml:space="preserve"> in the future (“1 = extremely unlikely</w:t>
      </w:r>
      <w:r w:rsidR="009C5C0E">
        <w:t>,</w:t>
      </w:r>
      <w:r w:rsidRPr="00E42B26">
        <w:t>”</w:t>
      </w:r>
      <w:r w:rsidR="001911A1" w:rsidRPr="00E42B26">
        <w:t xml:space="preserve"> </w:t>
      </w:r>
      <w:r w:rsidRPr="00E42B26">
        <w:t>“7 = extremely likely”). We then measured participants’ values</w:t>
      </w:r>
      <w:r w:rsidR="00A14099">
        <w:t xml:space="preserve">, </w:t>
      </w:r>
      <w:r w:rsidR="00FF6E8D">
        <w:t xml:space="preserve">also modelled on those of Study 1, </w:t>
      </w:r>
      <w:r w:rsidR="005A342B">
        <w:t>a</w:t>
      </w:r>
      <w:r w:rsidR="00FF6E8D">
        <w:t xml:space="preserve">s </w:t>
      </w:r>
      <w:r w:rsidR="005A342B">
        <w:t>the extent to which</w:t>
      </w:r>
      <w:r w:rsidRPr="00E42B26">
        <w:t xml:space="preserve"> different considerations</w:t>
      </w:r>
      <w:r w:rsidR="005A342B">
        <w:t xml:space="preserve"> were important to them </w:t>
      </w:r>
      <w:r w:rsidRPr="00E42B26">
        <w:t>on 7-point scale</w:t>
      </w:r>
      <w:r w:rsidR="009C5C0E">
        <w:t>s</w:t>
      </w:r>
      <w:r w:rsidRPr="00E42B26">
        <w:t xml:space="preserve"> (</w:t>
      </w:r>
      <w:r w:rsidR="001911A1" w:rsidRPr="00E42B26">
        <w:t xml:space="preserve">e.g., </w:t>
      </w:r>
      <w:r w:rsidRPr="00E42B26">
        <w:t>“Being free from pain</w:t>
      </w:r>
      <w:r w:rsidR="009C5C0E">
        <w:t>,</w:t>
      </w:r>
      <w:r w:rsidRPr="00E42B26">
        <w:t>” “Being with my family</w:t>
      </w:r>
      <w:r w:rsidR="009C5C0E">
        <w:t>,</w:t>
      </w:r>
      <w:r w:rsidRPr="00E42B26">
        <w:t>” “Not being a financial burden to my family”</w:t>
      </w:r>
      <w:r w:rsidR="005A342B">
        <w:t>)</w:t>
      </w:r>
      <w:r w:rsidRPr="00E42B26">
        <w:t xml:space="preserve">. </w:t>
      </w:r>
    </w:p>
    <w:p w14:paraId="566B7C82" w14:textId="02443C08" w:rsidR="00F230D7" w:rsidRPr="00E42B26" w:rsidRDefault="005A342B" w:rsidP="001B4F08">
      <w:pPr>
        <w:spacing w:line="360" w:lineRule="auto"/>
        <w:ind w:firstLine="720"/>
        <w:rPr>
          <w:b/>
          <w:bCs/>
        </w:rPr>
      </w:pPr>
      <w:r>
        <w:t xml:space="preserve">Finally, </w:t>
      </w:r>
      <w:r w:rsidR="009C5C0E">
        <w:t xml:space="preserve">participants </w:t>
      </w:r>
      <w:r w:rsidR="00F230D7" w:rsidRPr="00E42B26">
        <w:t xml:space="preserve">completed an attention check (Oppenheimer, </w:t>
      </w:r>
      <w:proofErr w:type="spellStart"/>
      <w:r w:rsidR="00F230D7" w:rsidRPr="00E42B26">
        <w:t>Meyvis</w:t>
      </w:r>
      <w:proofErr w:type="spellEnd"/>
      <w:r w:rsidR="00F230D7" w:rsidRPr="00E42B26">
        <w:t xml:space="preserve">, and </w:t>
      </w:r>
      <w:proofErr w:type="spellStart"/>
      <w:r w:rsidR="00F230D7" w:rsidRPr="00E42B26">
        <w:t>Davidenko</w:t>
      </w:r>
      <w:proofErr w:type="spellEnd"/>
      <w:r w:rsidR="00F230D7" w:rsidRPr="00E42B26">
        <w:t xml:space="preserve"> 2009) and responded to demographic questions. </w:t>
      </w:r>
    </w:p>
    <w:p w14:paraId="74945B4B" w14:textId="77777777" w:rsidR="00F230D7" w:rsidRPr="00E42B26" w:rsidRDefault="00F230D7" w:rsidP="001B4F08">
      <w:pPr>
        <w:pStyle w:val="Heading2"/>
      </w:pPr>
      <w:r w:rsidRPr="00E42B26">
        <w:t>Results</w:t>
      </w:r>
    </w:p>
    <w:p w14:paraId="060C5250" w14:textId="685D19BB" w:rsidR="00735209" w:rsidRDefault="00F230D7" w:rsidP="00735209">
      <w:pPr>
        <w:spacing w:line="360" w:lineRule="auto"/>
      </w:pPr>
      <w:r w:rsidRPr="00E42B26">
        <w:rPr>
          <w:b/>
          <w:bCs/>
        </w:rPr>
        <w:tab/>
      </w:r>
      <w:r w:rsidRPr="00E42B26">
        <w:t xml:space="preserve">One hundred seventy-eight participants (89.4%) reported not having an ACP. </w:t>
      </w:r>
      <w:r w:rsidR="00F279D9">
        <w:t>W</w:t>
      </w:r>
      <w:r w:rsidRPr="00E42B26">
        <w:t xml:space="preserve">e ran a series of regressions using values and </w:t>
      </w:r>
      <w:r w:rsidR="00B654A4">
        <w:t xml:space="preserve">healthcare </w:t>
      </w:r>
      <w:r w:rsidRPr="00E42B26">
        <w:t>preferences as the dependent variable</w:t>
      </w:r>
      <w:r w:rsidR="00B453D2">
        <w:t>s</w:t>
      </w:r>
      <w:r w:rsidRPr="00E42B26">
        <w:t xml:space="preserve">, and age, </w:t>
      </w:r>
      <w:r w:rsidR="001F179A">
        <w:t>sex</w:t>
      </w:r>
      <w:r w:rsidRPr="00E42B26">
        <w:t>, and health as independent variables</w:t>
      </w:r>
      <w:r w:rsidR="00795B3C">
        <w:t xml:space="preserve"> as in </w:t>
      </w:r>
      <w:r w:rsidR="000E0CD5">
        <w:t>S</w:t>
      </w:r>
      <w:r w:rsidR="00795B3C">
        <w:t>tudy 1</w:t>
      </w:r>
      <w:r w:rsidRPr="00E42B26">
        <w:t xml:space="preserve"> (</w:t>
      </w:r>
      <w:r w:rsidR="001911A1" w:rsidRPr="00E42B26">
        <w:t xml:space="preserve">all </w:t>
      </w:r>
      <w:proofErr w:type="spellStart"/>
      <w:r w:rsidR="001911A1" w:rsidRPr="00E42B26">
        <w:rPr>
          <w:i/>
          <w:iCs/>
        </w:rPr>
        <w:t>p</w:t>
      </w:r>
      <w:r w:rsidR="001911A1" w:rsidRPr="00E42B26">
        <w:t>s</w:t>
      </w:r>
      <w:proofErr w:type="spellEnd"/>
      <w:r w:rsidR="001911A1" w:rsidRPr="00E42B26">
        <w:t xml:space="preserve"> &lt; .05 unless otherwise indicated</w:t>
      </w:r>
      <w:r w:rsidR="00F56C0C">
        <w:t xml:space="preserve">; </w:t>
      </w:r>
      <w:r w:rsidR="00F56C0C" w:rsidRPr="00E42B26">
        <w:t>see Web Appendix for detailed results</w:t>
      </w:r>
      <w:r w:rsidRPr="00E42B26">
        <w:t xml:space="preserve">). </w:t>
      </w:r>
    </w:p>
    <w:p w14:paraId="662D8AC3" w14:textId="5F160417" w:rsidR="00C80A8D" w:rsidRDefault="005B0DD0" w:rsidP="00735209">
      <w:pPr>
        <w:spacing w:line="360" w:lineRule="auto"/>
        <w:ind w:firstLine="709"/>
      </w:pPr>
      <w:r w:rsidRPr="00E42B26">
        <w:rPr>
          <w:color w:val="000000"/>
          <w:lang w:val="en-US"/>
        </w:rPr>
        <w:t>The findings were</w:t>
      </w:r>
      <w:r w:rsidRPr="00E42B26">
        <w:t xml:space="preserve"> consistent with </w:t>
      </w:r>
      <w:r w:rsidR="007C20CE">
        <w:t>those</w:t>
      </w:r>
      <w:r w:rsidRPr="00E42B26">
        <w:t xml:space="preserve"> </w:t>
      </w:r>
      <w:r w:rsidR="00795B3C">
        <w:t>of</w:t>
      </w:r>
      <w:r w:rsidRPr="00E42B26">
        <w:t xml:space="preserve"> Study 1. </w:t>
      </w:r>
      <w:r w:rsidR="00735209">
        <w:t xml:space="preserve">The </w:t>
      </w:r>
      <w:r w:rsidR="00F230D7" w:rsidRPr="00E42B26">
        <w:t>importance of being able to care for the self (</w:t>
      </w:r>
      <w:r w:rsidR="00F230D7" w:rsidRPr="00E42B26">
        <w:rPr>
          <w:i/>
          <w:iCs/>
        </w:rPr>
        <w:t>p</w:t>
      </w:r>
      <w:r w:rsidR="00F230D7" w:rsidRPr="00E42B26">
        <w:t xml:space="preserve"> = </w:t>
      </w:r>
      <w:r w:rsidR="005A32DA">
        <w:t>.06</w:t>
      </w:r>
      <w:r w:rsidR="00F230D7" w:rsidRPr="00E42B26">
        <w:t>)</w:t>
      </w:r>
      <w:r w:rsidR="00043FF7">
        <w:t xml:space="preserve"> and</w:t>
      </w:r>
      <w:r w:rsidR="00F230D7" w:rsidRPr="00E42B26">
        <w:t xml:space="preserve"> avoiding machine dependence</w:t>
      </w:r>
      <w:r w:rsidR="00043FF7">
        <w:t xml:space="preserve"> </w:t>
      </w:r>
      <w:r w:rsidR="00F230D7" w:rsidRPr="00E42B26">
        <w:t xml:space="preserve">increased with age. </w:t>
      </w:r>
      <w:r w:rsidR="0065083C">
        <w:t>O</w:t>
      </w:r>
      <w:r w:rsidR="00F230D7" w:rsidRPr="00E42B26">
        <w:t>lder individuals indicated l</w:t>
      </w:r>
      <w:r w:rsidR="001911A1" w:rsidRPr="00E42B26">
        <w:t>ower</w:t>
      </w:r>
      <w:r w:rsidR="00F230D7" w:rsidRPr="00E42B26">
        <w:t xml:space="preserve"> preference to </w:t>
      </w:r>
      <w:r w:rsidR="00F230D7" w:rsidRPr="00E42B26">
        <w:rPr>
          <w:color w:val="000000"/>
          <w:lang w:val="en-US"/>
        </w:rPr>
        <w:t xml:space="preserve">receive </w:t>
      </w:r>
      <w:r w:rsidR="00B654A4">
        <w:rPr>
          <w:color w:val="000000"/>
          <w:lang w:val="en-US"/>
        </w:rPr>
        <w:t>life support</w:t>
      </w:r>
      <w:r w:rsidR="00F230D7" w:rsidRPr="00E42B26">
        <w:rPr>
          <w:color w:val="000000"/>
          <w:lang w:val="en-US"/>
        </w:rPr>
        <w:t xml:space="preserve"> indefinitely (</w:t>
      </w:r>
      <w:r w:rsidR="00F230D7" w:rsidRPr="00E42B26">
        <w:rPr>
          <w:i/>
          <w:iCs/>
        </w:rPr>
        <w:t>p</w:t>
      </w:r>
      <w:r w:rsidR="00F230D7" w:rsidRPr="00E42B26">
        <w:t xml:space="preserve"> = </w:t>
      </w:r>
      <w:r w:rsidR="005A32DA">
        <w:t>.10</w:t>
      </w:r>
      <w:r w:rsidR="00F230D7" w:rsidRPr="00E42B26">
        <w:rPr>
          <w:color w:val="000000"/>
          <w:lang w:val="en-US"/>
        </w:rPr>
        <w:t>) or until the doctors decide it is time to stop (</w:t>
      </w:r>
      <w:r w:rsidR="00F230D7" w:rsidRPr="00E42B26">
        <w:rPr>
          <w:i/>
          <w:iCs/>
        </w:rPr>
        <w:t>p</w:t>
      </w:r>
      <w:r w:rsidR="00F230D7" w:rsidRPr="00E42B26">
        <w:t xml:space="preserve"> = </w:t>
      </w:r>
      <w:r w:rsidR="005A32DA">
        <w:t>.07</w:t>
      </w:r>
      <w:r w:rsidR="00F230D7" w:rsidRPr="00E42B26">
        <w:rPr>
          <w:color w:val="000000"/>
          <w:lang w:val="en-US"/>
        </w:rPr>
        <w:t>).</w:t>
      </w:r>
      <w:r w:rsidR="00735209">
        <w:rPr>
          <w:color w:val="000000"/>
          <w:lang w:val="en-US"/>
        </w:rPr>
        <w:t xml:space="preserve"> </w:t>
      </w:r>
      <w:r w:rsidR="0065083C">
        <w:t xml:space="preserve">Females </w:t>
      </w:r>
      <w:r w:rsidR="00A152A7">
        <w:t xml:space="preserve">considered it to be </w:t>
      </w:r>
      <w:r w:rsidR="00A152A7" w:rsidRPr="00E42B26">
        <w:t>more important</w:t>
      </w:r>
      <w:r w:rsidR="00833663">
        <w:t xml:space="preserve"> </w:t>
      </w:r>
      <w:r w:rsidR="00F230D7" w:rsidRPr="00E42B26">
        <w:t>to be with family</w:t>
      </w:r>
      <w:r w:rsidR="00B617BB">
        <w:t>, be at peace,</w:t>
      </w:r>
      <w:r w:rsidR="00795B3C">
        <w:t xml:space="preserve"> and </w:t>
      </w:r>
      <w:r w:rsidR="00735209">
        <w:t>to resolve conflicts</w:t>
      </w:r>
      <w:r w:rsidR="0065083C">
        <w:t xml:space="preserve"> than males</w:t>
      </w:r>
      <w:r w:rsidR="00F230D7" w:rsidRPr="00E42B26">
        <w:rPr>
          <w:color w:val="000000"/>
          <w:lang w:val="en-US"/>
        </w:rPr>
        <w:t xml:space="preserve">. </w:t>
      </w:r>
      <w:r w:rsidR="0065083C">
        <w:rPr>
          <w:color w:val="000000"/>
          <w:lang w:val="en-US"/>
        </w:rPr>
        <w:t xml:space="preserve">Different from Study 1, </w:t>
      </w:r>
      <w:r w:rsidR="00F230D7" w:rsidRPr="00E42B26">
        <w:rPr>
          <w:color w:val="000000"/>
          <w:lang w:val="en-US"/>
        </w:rPr>
        <w:t xml:space="preserve">current health </w:t>
      </w:r>
      <w:r w:rsidR="00CE219C">
        <w:rPr>
          <w:color w:val="000000"/>
          <w:lang w:val="en-US"/>
        </w:rPr>
        <w:t xml:space="preserve">was a significant </w:t>
      </w:r>
      <w:r w:rsidR="00773C21" w:rsidRPr="00E42B26">
        <w:rPr>
          <w:color w:val="000000"/>
          <w:lang w:val="en-US"/>
        </w:rPr>
        <w:t>predict</w:t>
      </w:r>
      <w:r w:rsidR="00CE219C">
        <w:rPr>
          <w:color w:val="000000"/>
          <w:lang w:val="en-US"/>
        </w:rPr>
        <w:t xml:space="preserve">or: </w:t>
      </w:r>
      <w:r w:rsidR="00F230D7" w:rsidRPr="00E42B26">
        <w:t>being with family, resolving conflicts (</w:t>
      </w:r>
      <w:r w:rsidR="00F230D7" w:rsidRPr="00E42B26">
        <w:rPr>
          <w:i/>
          <w:iCs/>
        </w:rPr>
        <w:t>p</w:t>
      </w:r>
      <w:r w:rsidR="00F230D7" w:rsidRPr="00E42B26">
        <w:t xml:space="preserve"> = </w:t>
      </w:r>
      <w:r w:rsidR="005A32DA">
        <w:t>.07</w:t>
      </w:r>
      <w:r w:rsidR="00F230D7" w:rsidRPr="00E42B26">
        <w:t>), and not being a</w:t>
      </w:r>
      <w:r w:rsidR="00795B3C">
        <w:t xml:space="preserve"> </w:t>
      </w:r>
      <w:r w:rsidR="00F230D7" w:rsidRPr="00E42B26">
        <w:t>burden (</w:t>
      </w:r>
      <w:r w:rsidR="00F230D7" w:rsidRPr="00E42B26">
        <w:rPr>
          <w:i/>
          <w:iCs/>
        </w:rPr>
        <w:t>p</w:t>
      </w:r>
      <w:r w:rsidR="00F230D7" w:rsidRPr="00E42B26">
        <w:t xml:space="preserve"> = </w:t>
      </w:r>
      <w:r w:rsidR="005A32DA">
        <w:t>.08</w:t>
      </w:r>
      <w:r w:rsidR="00F230D7" w:rsidRPr="00E42B26">
        <w:t>) were more important for healthier individuals</w:t>
      </w:r>
      <w:r w:rsidR="00CE219C">
        <w:t xml:space="preserve">, who </w:t>
      </w:r>
      <w:r w:rsidR="00F230D7" w:rsidRPr="00E42B26">
        <w:t>also indicated greater preference for CPR</w:t>
      </w:r>
      <w:r w:rsidR="00735209">
        <w:t xml:space="preserve"> </w:t>
      </w:r>
      <w:r w:rsidR="00F230D7" w:rsidRPr="00E42B26">
        <w:t xml:space="preserve">and </w:t>
      </w:r>
      <w:r w:rsidR="00CE219C">
        <w:t xml:space="preserve">a lower likelihood </w:t>
      </w:r>
      <w:r w:rsidR="00F230D7" w:rsidRPr="00E42B26">
        <w:t>to leave organ donation decision</w:t>
      </w:r>
      <w:r w:rsidR="00B453D2">
        <w:t>s</w:t>
      </w:r>
      <w:r w:rsidR="00F230D7" w:rsidRPr="00E42B26">
        <w:t xml:space="preserve"> to doctors.</w:t>
      </w:r>
    </w:p>
    <w:p w14:paraId="5DCE3D9E" w14:textId="02726FD2" w:rsidR="007F6050" w:rsidRDefault="00F230D7" w:rsidP="007F6050">
      <w:pPr>
        <w:spacing w:line="360" w:lineRule="auto"/>
        <w:ind w:firstLine="720"/>
      </w:pPr>
      <w:r w:rsidRPr="00E42B26">
        <w:t xml:space="preserve">Next, we </w:t>
      </w:r>
      <w:r w:rsidR="007F6050">
        <w:t>regress</w:t>
      </w:r>
      <w:r w:rsidR="00795B3C">
        <w:t>ed</w:t>
      </w:r>
      <w:r w:rsidR="007F6050">
        <w:t xml:space="preserve"> intentions </w:t>
      </w:r>
      <w:r w:rsidR="00795B3C">
        <w:t xml:space="preserve">to create ACPs </w:t>
      </w:r>
      <w:r w:rsidR="007F6050">
        <w:t xml:space="preserve">on values and </w:t>
      </w:r>
      <w:r w:rsidR="007F6050" w:rsidRPr="00E42B26">
        <w:t>preferences</w:t>
      </w:r>
      <w:r w:rsidR="005A32DA">
        <w:t>,</w:t>
      </w:r>
      <w:r w:rsidR="007F6050">
        <w:t xml:space="preserve"> controlling for age, </w:t>
      </w:r>
      <w:r w:rsidR="001F179A">
        <w:t>sex</w:t>
      </w:r>
      <w:r w:rsidR="007F6050">
        <w:t xml:space="preserve">, and health status. </w:t>
      </w:r>
      <w:r w:rsidR="007F6050" w:rsidRPr="00E42B26">
        <w:t xml:space="preserve">We found that </w:t>
      </w:r>
      <w:r w:rsidR="007F6050">
        <w:t>intentions to create ACP</w:t>
      </w:r>
      <w:r w:rsidR="00B924C7">
        <w:t>s</w:t>
      </w:r>
      <w:r w:rsidR="007F6050">
        <w:t xml:space="preserve"> increased with </w:t>
      </w:r>
      <w:r w:rsidR="006F074B">
        <w:t xml:space="preserve">greater </w:t>
      </w:r>
      <w:r w:rsidR="007F6050">
        <w:t>preference to</w:t>
      </w:r>
      <w:r w:rsidR="001B5F5B">
        <w:t xml:space="preserve"> </w:t>
      </w:r>
      <w:r w:rsidR="00B617BB">
        <w:t xml:space="preserve">spend one’s final days </w:t>
      </w:r>
      <w:r w:rsidR="001B5F5B">
        <w:t xml:space="preserve">at home and </w:t>
      </w:r>
      <w:r w:rsidR="007F6050" w:rsidRPr="00E42B26">
        <w:t>be with family</w:t>
      </w:r>
      <w:r w:rsidR="006F074B">
        <w:t>,</w:t>
      </w:r>
      <w:r w:rsidR="00AE5622">
        <w:t xml:space="preserve"> to be at peace,</w:t>
      </w:r>
      <w:r w:rsidR="006F074B">
        <w:t xml:space="preserve"> to donate organs, to delegate CPR decisions to loved ones, </w:t>
      </w:r>
      <w:r w:rsidR="006F074B" w:rsidRPr="00FB560C">
        <w:t xml:space="preserve">and </w:t>
      </w:r>
      <w:r w:rsidR="00453C61" w:rsidRPr="00FB560C">
        <w:t xml:space="preserve">to avoid </w:t>
      </w:r>
      <w:r w:rsidR="00642A94" w:rsidRPr="00FB560C">
        <w:t>invasive</w:t>
      </w:r>
      <w:r w:rsidR="007F6050" w:rsidRPr="00FB560C">
        <w:t xml:space="preserve"> </w:t>
      </w:r>
      <w:r w:rsidR="00B654A4" w:rsidRPr="00FB560C">
        <w:t>life</w:t>
      </w:r>
      <w:r w:rsidR="00423561" w:rsidRPr="00FB560C">
        <w:t>-sustaining treatments.</w:t>
      </w:r>
      <w:r w:rsidR="00423561">
        <w:t xml:space="preserve"> </w:t>
      </w:r>
    </w:p>
    <w:p w14:paraId="09F9187B" w14:textId="77777777" w:rsidR="00F230D7" w:rsidRPr="00E42B26" w:rsidRDefault="00F230D7" w:rsidP="001B4F08">
      <w:pPr>
        <w:pStyle w:val="Heading2"/>
      </w:pPr>
      <w:r w:rsidRPr="00E42B26">
        <w:lastRenderedPageBreak/>
        <w:t>Discussion</w:t>
      </w:r>
    </w:p>
    <w:p w14:paraId="342CCA33" w14:textId="22388738" w:rsidR="00F230D7" w:rsidRPr="00E42B26" w:rsidRDefault="00F230D7" w:rsidP="00F230D7">
      <w:pPr>
        <w:spacing w:line="360" w:lineRule="auto"/>
      </w:pPr>
      <w:r w:rsidRPr="00E42B26">
        <w:tab/>
      </w:r>
      <w:r w:rsidR="002529CF">
        <w:t>T</w:t>
      </w:r>
      <w:r w:rsidRPr="00E42B26">
        <w:t>he relationship</w:t>
      </w:r>
      <w:r w:rsidR="004116D9">
        <w:t>s</w:t>
      </w:r>
      <w:r w:rsidRPr="00E42B26">
        <w:t xml:space="preserve"> between </w:t>
      </w:r>
      <w:r w:rsidR="0065083C">
        <w:t xml:space="preserve">demographics, </w:t>
      </w:r>
      <w:r w:rsidRPr="00E42B26">
        <w:t>values</w:t>
      </w:r>
      <w:r w:rsidR="00A27238" w:rsidRPr="00E42B26">
        <w:t xml:space="preserve">, </w:t>
      </w:r>
      <w:r w:rsidR="0065083C">
        <w:t xml:space="preserve">and </w:t>
      </w:r>
      <w:r w:rsidRPr="00E42B26">
        <w:t xml:space="preserve">preferences </w:t>
      </w:r>
      <w:r w:rsidR="004116D9">
        <w:t xml:space="preserve">found in </w:t>
      </w:r>
      <w:r w:rsidR="00F279D9">
        <w:t xml:space="preserve">ACP holders in </w:t>
      </w:r>
      <w:r w:rsidR="004116D9">
        <w:t xml:space="preserve">Study 1 </w:t>
      </w:r>
      <w:r w:rsidR="00F279D9">
        <w:t>occur</w:t>
      </w:r>
      <w:r w:rsidRPr="00E42B26">
        <w:t xml:space="preserve"> among people who do not have ACPs. Consistent with the </w:t>
      </w:r>
      <w:r w:rsidR="00A157D7">
        <w:t xml:space="preserve">observed Study 1 </w:t>
      </w:r>
      <w:r w:rsidRPr="00E42B26">
        <w:t>patterns, it was more important for older</w:t>
      </w:r>
      <w:r w:rsidR="006432E1">
        <w:t xml:space="preserve">, relative to younger, </w:t>
      </w:r>
      <w:r w:rsidRPr="00E42B26">
        <w:t xml:space="preserve">individuals to be able to care for </w:t>
      </w:r>
      <w:r w:rsidR="001D067A">
        <w:t>themselves</w:t>
      </w:r>
      <w:r w:rsidR="000105DA">
        <w:t xml:space="preserve"> and to</w:t>
      </w:r>
      <w:r w:rsidRPr="00E42B26">
        <w:t xml:space="preserve"> avoid machine dependence, </w:t>
      </w:r>
      <w:r w:rsidR="006432E1">
        <w:t xml:space="preserve">and for females, relative to males, to </w:t>
      </w:r>
      <w:r w:rsidR="006432E1" w:rsidRPr="00E42B26">
        <w:t xml:space="preserve">be with </w:t>
      </w:r>
      <w:proofErr w:type="spellStart"/>
      <w:r w:rsidR="006432E1" w:rsidRPr="00E42B26">
        <w:t>famil</w:t>
      </w:r>
      <w:proofErr w:type="spellEnd"/>
      <w:r w:rsidR="004116D9">
        <w:rPr>
          <w:color w:val="000000"/>
          <w:lang w:val="en-US"/>
        </w:rPr>
        <w:t xml:space="preserve">y. </w:t>
      </w:r>
      <w:r w:rsidR="00E0642F">
        <w:t>Moreover,</w:t>
      </w:r>
      <w:r w:rsidR="004116D9">
        <w:t xml:space="preserve"> </w:t>
      </w:r>
      <w:r w:rsidRPr="00E42B26">
        <w:t>healthier individuals</w:t>
      </w:r>
      <w:r w:rsidR="00C80A8D">
        <w:t>, like younger individuals in Study 1</w:t>
      </w:r>
      <w:r w:rsidR="004116D9">
        <w:t xml:space="preserve"> who are presumably healthier</w:t>
      </w:r>
      <w:r w:rsidR="00C80A8D">
        <w:t xml:space="preserve">, </w:t>
      </w:r>
      <w:r w:rsidR="00CE219C">
        <w:t xml:space="preserve">indicated greater preferences for being </w:t>
      </w:r>
      <w:r w:rsidRPr="00E42B26">
        <w:t>with family</w:t>
      </w:r>
      <w:r w:rsidR="004116D9">
        <w:t xml:space="preserve"> </w:t>
      </w:r>
      <w:r w:rsidRPr="00E42B26">
        <w:t>and</w:t>
      </w:r>
      <w:r w:rsidR="00CE219C">
        <w:t xml:space="preserve"> </w:t>
      </w:r>
      <w:r w:rsidR="007B29F5">
        <w:t>r</w:t>
      </w:r>
      <w:r w:rsidR="00CE219C">
        <w:t>eceiving CPR</w:t>
      </w:r>
      <w:r w:rsidRPr="00E42B26">
        <w:t xml:space="preserve">. </w:t>
      </w:r>
    </w:p>
    <w:p w14:paraId="2047378A" w14:textId="442482A5" w:rsidR="00A43CB9" w:rsidRDefault="00F230D7" w:rsidP="00121F05">
      <w:pPr>
        <w:spacing w:line="360" w:lineRule="auto"/>
      </w:pPr>
      <w:r w:rsidRPr="00E42B26">
        <w:tab/>
        <w:t xml:space="preserve">Study 2 also provided initial </w:t>
      </w:r>
      <w:r w:rsidR="00F20BC9">
        <w:t>evidence</w:t>
      </w:r>
      <w:r w:rsidR="00F20BC9" w:rsidRPr="00E42B26">
        <w:t xml:space="preserve"> </w:t>
      </w:r>
      <w:r w:rsidR="00F20BC9">
        <w:t>that</w:t>
      </w:r>
      <w:r w:rsidRPr="00E42B26">
        <w:t xml:space="preserve"> </w:t>
      </w:r>
      <w:r w:rsidR="00250063">
        <w:t xml:space="preserve">values and </w:t>
      </w:r>
      <w:r w:rsidRPr="00E42B26">
        <w:t>preferences</w:t>
      </w:r>
      <w:r w:rsidR="00643309">
        <w:t xml:space="preserve"> related to having a peaceful end</w:t>
      </w:r>
      <w:r w:rsidR="00017A7E">
        <w:t xml:space="preserve"> </w:t>
      </w:r>
      <w:r w:rsidR="00643309">
        <w:t>of</w:t>
      </w:r>
      <w:r w:rsidR="00017A7E">
        <w:t xml:space="preserve"> </w:t>
      </w:r>
      <w:r w:rsidR="00643309">
        <w:t xml:space="preserve">life </w:t>
      </w:r>
      <w:r w:rsidR="00CD5EAC">
        <w:t>and</w:t>
      </w:r>
      <w:r w:rsidRPr="00E42B26">
        <w:t xml:space="preserve"> </w:t>
      </w:r>
      <w:r w:rsidR="00F20BC9" w:rsidRPr="00E42B26">
        <w:t>avoid</w:t>
      </w:r>
      <w:r w:rsidR="00F20BC9">
        <w:t>ing</w:t>
      </w:r>
      <w:r w:rsidR="00F20BC9" w:rsidRPr="00E42B26">
        <w:t xml:space="preserve"> invasive life</w:t>
      </w:r>
      <w:r w:rsidR="00CD5EAC">
        <w:t>-</w:t>
      </w:r>
      <w:r w:rsidR="00643309">
        <w:t xml:space="preserve">sustaining </w:t>
      </w:r>
      <w:r w:rsidR="00CD5EAC">
        <w:t>treatments</w:t>
      </w:r>
      <w:r w:rsidR="000105DA">
        <w:t xml:space="preserve"> </w:t>
      </w:r>
      <w:r w:rsidRPr="00E42B26">
        <w:t xml:space="preserve">were </w:t>
      </w:r>
      <w:r w:rsidR="00F20BC9">
        <w:t>associated with</w:t>
      </w:r>
      <w:r w:rsidRPr="00E42B26">
        <w:t xml:space="preserve"> </w:t>
      </w:r>
      <w:r w:rsidR="003E317F">
        <w:t xml:space="preserve">greater </w:t>
      </w:r>
      <w:r w:rsidRPr="00E42B26">
        <w:t xml:space="preserve">intentions to create ACPs. </w:t>
      </w:r>
      <w:r w:rsidR="00CA6586">
        <w:t>Based on these results, we next tested a</w:t>
      </w:r>
      <w:r w:rsidR="000E0CD5">
        <w:t xml:space="preserve">n </w:t>
      </w:r>
      <w:r w:rsidR="00CA6586">
        <w:t xml:space="preserve">intervention </w:t>
      </w:r>
      <w:r w:rsidR="000E0CD5">
        <w:t xml:space="preserve">aimed at </w:t>
      </w:r>
      <w:r w:rsidR="00CA6586">
        <w:t xml:space="preserve">increasing ACP engagement. </w:t>
      </w:r>
    </w:p>
    <w:p w14:paraId="5F355E15" w14:textId="208E56F3" w:rsidR="00A43CB9" w:rsidRDefault="00A43CB9" w:rsidP="00E26E47">
      <w:pPr>
        <w:pStyle w:val="Heading1"/>
      </w:pPr>
      <w:r w:rsidRPr="008E6F21">
        <w:t>Stud</w:t>
      </w:r>
      <w:r w:rsidR="00A7380A">
        <w:t xml:space="preserve">y </w:t>
      </w:r>
      <w:r w:rsidRPr="008E6F21">
        <w:t>3</w:t>
      </w:r>
      <w:r w:rsidR="00A839E9">
        <w:t>: Segment-Specific Values and Preferences</w:t>
      </w:r>
      <w:r w:rsidR="00A7380A">
        <w:t xml:space="preserve"> </w:t>
      </w:r>
      <w:r w:rsidR="003476F3">
        <w:t>a</w:t>
      </w:r>
      <w:r w:rsidR="001C66BB">
        <w:t>nd Advance Care Planning</w:t>
      </w:r>
    </w:p>
    <w:p w14:paraId="17047BFA" w14:textId="4F359F00" w:rsidR="00CA6586" w:rsidRDefault="00CA6586" w:rsidP="002436E9">
      <w:pPr>
        <w:spacing w:line="360" w:lineRule="auto"/>
        <w:ind w:firstLine="720"/>
      </w:pPr>
      <w:r>
        <w:t>Given the relationships between demographics, values and preference, and intentions to create ACPs among non-holders</w:t>
      </w:r>
      <w:r w:rsidR="000E0CD5">
        <w:t xml:space="preserve"> observed in Study 2</w:t>
      </w:r>
      <w:r>
        <w:t>, Study 3 tested whether receiving information about another person with similar age, values, and preferences who has an ACP increases intentions to create one.</w:t>
      </w:r>
    </w:p>
    <w:p w14:paraId="0FAA657F" w14:textId="77777777" w:rsidR="00CA6586" w:rsidRPr="00CA6586" w:rsidRDefault="00CA6586" w:rsidP="002529CF"/>
    <w:p w14:paraId="06ED7EA3" w14:textId="3E6FF04C" w:rsidR="00824EDE" w:rsidRDefault="00824EDE" w:rsidP="00824EDE">
      <w:pPr>
        <w:pStyle w:val="Heading2"/>
      </w:pPr>
      <w:r w:rsidRPr="00C5444E">
        <w:t>Method and Results</w:t>
      </w:r>
    </w:p>
    <w:p w14:paraId="44A096E0" w14:textId="01A00A56" w:rsidR="00824EDE" w:rsidRPr="00D14C77" w:rsidRDefault="00E15FF7" w:rsidP="00824EDE">
      <w:pPr>
        <w:spacing w:line="360" w:lineRule="auto"/>
        <w:ind w:firstLine="720"/>
      </w:pPr>
      <w:r w:rsidRPr="00E42B26">
        <w:t>We recruited</w:t>
      </w:r>
      <w:r>
        <w:t xml:space="preserve"> 302</w:t>
      </w:r>
      <w:r w:rsidRPr="00E42B26">
        <w:t xml:space="preserve"> mTurk participants (</w:t>
      </w:r>
      <w:r w:rsidRPr="00E42B26">
        <w:rPr>
          <w:i/>
          <w:iCs/>
        </w:rPr>
        <w:t>M</w:t>
      </w:r>
      <w:r w:rsidRPr="00E42B26">
        <w:rPr>
          <w:vertAlign w:val="subscript"/>
        </w:rPr>
        <w:t>age</w:t>
      </w:r>
      <w:r w:rsidRPr="00E42B26">
        <w:t xml:space="preserve"> = </w:t>
      </w:r>
      <w:r>
        <w:t>41.6</w:t>
      </w:r>
      <w:r w:rsidRPr="00E42B26">
        <w:t xml:space="preserve">; </w:t>
      </w:r>
      <w:r>
        <w:t>51.3</w:t>
      </w:r>
      <w:r w:rsidRPr="00E42B26">
        <w:t xml:space="preserve">% male, </w:t>
      </w:r>
      <w:r>
        <w:t>48.0</w:t>
      </w:r>
      <w:r w:rsidRPr="00E42B26">
        <w:t xml:space="preserve">% female, </w:t>
      </w:r>
      <w:r>
        <w:t>0.7</w:t>
      </w:r>
      <w:r w:rsidRPr="00E42B26">
        <w:t>% non-binary</w:t>
      </w:r>
      <w:r w:rsidR="00122ACE">
        <w:t>; 86.4</w:t>
      </w:r>
      <w:r w:rsidR="00122ACE" w:rsidRPr="00E42B26">
        <w:t>%</w:t>
      </w:r>
      <w:r w:rsidR="00122ACE">
        <w:t xml:space="preserve"> without an ACP</w:t>
      </w:r>
      <w:r w:rsidRPr="00E42B26">
        <w:t>)</w:t>
      </w:r>
      <w:r>
        <w:t xml:space="preserve"> in Study 3a and 303</w:t>
      </w:r>
      <w:r w:rsidRPr="00E42B26">
        <w:t xml:space="preserve"> </w:t>
      </w:r>
      <w:r>
        <w:t xml:space="preserve">in Study 3b </w:t>
      </w:r>
      <w:r w:rsidRPr="00E42B26">
        <w:t>(</w:t>
      </w:r>
      <w:r w:rsidRPr="00E42B26">
        <w:rPr>
          <w:i/>
          <w:iCs/>
        </w:rPr>
        <w:t>M</w:t>
      </w:r>
      <w:r w:rsidRPr="00E42B26">
        <w:rPr>
          <w:vertAlign w:val="subscript"/>
        </w:rPr>
        <w:t>age</w:t>
      </w:r>
      <w:r w:rsidRPr="00E42B26">
        <w:t xml:space="preserve"> = </w:t>
      </w:r>
      <w:r>
        <w:t>41.6</w:t>
      </w:r>
      <w:r w:rsidRPr="00E42B26">
        <w:t xml:space="preserve">; </w:t>
      </w:r>
      <w:r>
        <w:t>53.1</w:t>
      </w:r>
      <w:r w:rsidRPr="00E42B26">
        <w:t xml:space="preserve">% male, </w:t>
      </w:r>
      <w:r>
        <w:t>46.2</w:t>
      </w:r>
      <w:r w:rsidRPr="00E42B26">
        <w:t xml:space="preserve">% female, </w:t>
      </w:r>
      <w:r>
        <w:t>0.7</w:t>
      </w:r>
      <w:r w:rsidRPr="00E42B26">
        <w:t>% non-binary</w:t>
      </w:r>
      <w:r w:rsidR="00122ACE">
        <w:t>; 85.1</w:t>
      </w:r>
      <w:r w:rsidR="00122ACE" w:rsidRPr="00E42B26">
        <w:t>%</w:t>
      </w:r>
      <w:r w:rsidR="00122ACE">
        <w:t xml:space="preserve"> without an ACP</w:t>
      </w:r>
      <w:r w:rsidRPr="00E42B26">
        <w:t>)</w:t>
      </w:r>
      <w:r>
        <w:t xml:space="preserve">. </w:t>
      </w:r>
      <w:r w:rsidR="00824EDE" w:rsidRPr="00D14C77">
        <w:t xml:space="preserve">Participants were randomly assigned to either an Other-information or a Control condition. In the Other-information condition, participants read about the values and preferences of a person with an ACP (a younger person in Study 3a, an </w:t>
      </w:r>
      <w:r w:rsidR="00824EDE" w:rsidRPr="00C3183C">
        <w:t>older person in Stud</w:t>
      </w:r>
      <w:r w:rsidR="00824EDE" w:rsidRPr="00D14C77">
        <w:t xml:space="preserve">y 3b, </w:t>
      </w:r>
      <w:r w:rsidR="00122ACE">
        <w:t>modelled on</w:t>
      </w:r>
      <w:r w:rsidR="00824EDE" w:rsidRPr="00D14C77">
        <w:t xml:space="preserve"> cluster</w:t>
      </w:r>
      <w:r w:rsidR="00824EDE" w:rsidRPr="00C3183C">
        <w:t>s</w:t>
      </w:r>
      <w:r w:rsidR="00824EDE" w:rsidRPr="00D14C77">
        <w:t xml:space="preserve"> 1 and 4 from Study 1</w:t>
      </w:r>
      <w:r w:rsidR="00122ACE">
        <w:t xml:space="preserve"> respectively</w:t>
      </w:r>
      <w:r w:rsidR="00824EDE" w:rsidRPr="00D14C77">
        <w:t xml:space="preserve">). In the Control condition, participants read information about ACPs (for full instructions, see Web Appendix). In addition to Study 2’s </w:t>
      </w:r>
      <w:r w:rsidR="00421663">
        <w:t xml:space="preserve">ACP-creation </w:t>
      </w:r>
      <w:r w:rsidR="00824EDE" w:rsidRPr="00D14C77">
        <w:t xml:space="preserve">intentions measure, engagement with advance care planning was measured by two questions </w:t>
      </w:r>
      <w:r w:rsidR="00824EDE" w:rsidRPr="00C3183C">
        <w:t>on</w:t>
      </w:r>
      <w:r w:rsidR="00824EDE" w:rsidRPr="00D14C77">
        <w:t xml:space="preserve"> interest in seeking further information about ACPs. We expected engagement with ACPs to be higher in the Other-information than the Control condition, and to interact with age, such that reading about a younger (older) ACP-</w:t>
      </w:r>
      <w:r w:rsidR="00824EDE" w:rsidRPr="00D14C77">
        <w:lastRenderedPageBreak/>
        <w:t xml:space="preserve">holder would lead to a larger increase in engagement among younger (older) participants in Study 3a (3b). </w:t>
      </w:r>
    </w:p>
    <w:p w14:paraId="676263EE" w14:textId="56F34ABC" w:rsidR="00824EDE" w:rsidRPr="00824EDE" w:rsidRDefault="008C36A6" w:rsidP="00122ACE">
      <w:pPr>
        <w:spacing w:line="360" w:lineRule="auto"/>
        <w:ind w:firstLine="720"/>
      </w:pPr>
      <w:r>
        <w:t>W</w:t>
      </w:r>
      <w:r w:rsidR="00824EDE" w:rsidRPr="00D14C77">
        <w:t xml:space="preserve">e ran </w:t>
      </w:r>
      <w:r w:rsidR="00E15FF7">
        <w:t xml:space="preserve">two separate </w:t>
      </w:r>
      <w:r w:rsidR="00824EDE" w:rsidRPr="00D14C77">
        <w:t>two-stage hierarchical multiple regressions with intention</w:t>
      </w:r>
      <w:r w:rsidR="00FF3829">
        <w:t>s</w:t>
      </w:r>
      <w:r w:rsidR="00824EDE" w:rsidRPr="00D14C77">
        <w:t xml:space="preserve"> and interest as dependent variables. The manipulated</w:t>
      </w:r>
      <w:r w:rsidR="00685678">
        <w:t xml:space="preserve"> </w:t>
      </w:r>
      <w:r w:rsidR="00421663">
        <w:t>Other-</w:t>
      </w:r>
      <w:r w:rsidR="00685678">
        <w:t>information</w:t>
      </w:r>
      <w:r w:rsidR="00824EDE" w:rsidRPr="00D14C77">
        <w:t xml:space="preserve"> factor was entered in stage one</w:t>
      </w:r>
      <w:r w:rsidR="000E0CD5">
        <w:t>,</w:t>
      </w:r>
      <w:r w:rsidR="00824EDE" w:rsidRPr="00D14C77">
        <w:t xml:space="preserve"> the measured </w:t>
      </w:r>
      <w:r w:rsidR="00685678">
        <w:t xml:space="preserve">age </w:t>
      </w:r>
      <w:r w:rsidR="00824EDE" w:rsidRPr="00D14C77">
        <w:t>factor and the</w:t>
      </w:r>
      <w:r w:rsidR="00421663">
        <w:t>ir</w:t>
      </w:r>
      <w:r w:rsidR="00824EDE" w:rsidRPr="00D14C77">
        <w:t xml:space="preserve"> interaction w</w:t>
      </w:r>
      <w:r w:rsidR="00FF3829">
        <w:t>ere</w:t>
      </w:r>
      <w:r w:rsidR="00824EDE" w:rsidRPr="00D14C77">
        <w:t xml:space="preserve"> entered in stage two. In stage one, we found marginal effect</w:t>
      </w:r>
      <w:r>
        <w:t>s</w:t>
      </w:r>
      <w:r w:rsidR="00824EDE" w:rsidRPr="00D14C77">
        <w:t xml:space="preserve"> of </w:t>
      </w:r>
      <w:r w:rsidR="00421663">
        <w:t>Other-</w:t>
      </w:r>
      <w:r w:rsidR="00685678">
        <w:t>information</w:t>
      </w:r>
      <w:r>
        <w:t>,</w:t>
      </w:r>
      <w:r w:rsidR="00685678">
        <w:t xml:space="preserve"> </w:t>
      </w:r>
      <w:r w:rsidR="00824EDE" w:rsidRPr="00D14C77">
        <w:t>such that those in the Other-information condition were more likely</w:t>
      </w:r>
      <w:r>
        <w:t xml:space="preserve"> to </w:t>
      </w:r>
      <w:r w:rsidR="00824EDE" w:rsidRPr="00D14C77">
        <w:t xml:space="preserve">create ACPs in Study 3a and </w:t>
      </w:r>
      <w:r w:rsidR="0091710A">
        <w:t xml:space="preserve">to </w:t>
      </w:r>
      <w:r w:rsidR="00824EDE" w:rsidRPr="00D14C77">
        <w:t>request additional information about ACPs in Study 3b than those in the Control condition. In stage two, however, the</w:t>
      </w:r>
      <w:r w:rsidR="00421663">
        <w:t xml:space="preserve"> Other-information and age</w:t>
      </w:r>
      <w:r w:rsidR="00824EDE" w:rsidRPr="00D14C77">
        <w:t xml:space="preserve"> interaction was not significant in </w:t>
      </w:r>
      <w:r w:rsidR="00824EDE" w:rsidRPr="00C3183C">
        <w:t>either</w:t>
      </w:r>
      <w:r w:rsidR="00824EDE" w:rsidRPr="00D14C77">
        <w:t xml:space="preserve"> stud</w:t>
      </w:r>
      <w:r w:rsidR="00824EDE" w:rsidRPr="00C3183C">
        <w:t>y</w:t>
      </w:r>
      <w:r w:rsidR="00824EDE" w:rsidRPr="00D14C77">
        <w:t xml:space="preserve"> (for full results, see Web Appendix</w:t>
      </w:r>
      <w:r w:rsidR="00122ACE">
        <w:t>)</w:t>
      </w:r>
      <w:r w:rsidR="00824EDE" w:rsidRPr="00D14C77">
        <w:t xml:space="preserve">. </w:t>
      </w:r>
    </w:p>
    <w:p w14:paraId="44352DB5" w14:textId="77777777" w:rsidR="00824EDE" w:rsidRPr="004F76C0" w:rsidRDefault="00824EDE" w:rsidP="00824EDE">
      <w:pPr>
        <w:pStyle w:val="Heading2"/>
        <w:rPr>
          <w:rFonts w:ascii="Arial" w:eastAsiaTheme="minorHAnsi" w:hAnsi="Arial" w:cs="Arial"/>
          <w:lang w:eastAsia="en-US"/>
        </w:rPr>
      </w:pPr>
      <w:r w:rsidRPr="008E6F21">
        <w:t>Discussion</w:t>
      </w:r>
    </w:p>
    <w:p w14:paraId="33100938" w14:textId="342BE86B" w:rsidR="00824EDE" w:rsidRPr="00D14C77" w:rsidRDefault="00824EDE" w:rsidP="00824EDE">
      <w:pPr>
        <w:spacing w:line="360" w:lineRule="auto"/>
        <w:ind w:firstLine="709"/>
      </w:pPr>
      <w:r w:rsidRPr="00C3183C">
        <w:t xml:space="preserve">Studies 3a and 3b provide partial </w:t>
      </w:r>
      <w:r w:rsidRPr="00D14C77">
        <w:t xml:space="preserve">evidence that receiving information about other ACP-holders increases engagement in advance care planning, but no evidence that information about someone with similar age influenced engagement among the relevant groups. </w:t>
      </w:r>
    </w:p>
    <w:p w14:paraId="7DA58D45" w14:textId="4E3AE952" w:rsidR="0065083C" w:rsidRDefault="00824EDE" w:rsidP="00824EDE">
      <w:pPr>
        <w:spacing w:line="360" w:lineRule="auto"/>
        <w:ind w:firstLine="709"/>
      </w:pPr>
      <w:r w:rsidRPr="00D14C77">
        <w:t xml:space="preserve">There are several potential reasons why these </w:t>
      </w:r>
      <w:r w:rsidRPr="00C3183C">
        <w:t xml:space="preserve">studies had </w:t>
      </w:r>
      <w:r w:rsidRPr="00D14C77">
        <w:t xml:space="preserve">only weak results, including their hypothetical nature, the low involvement of mTurk workers, and the lack of a perfect match between the age of the person profiled in the scenario (29 in Study 3a, 75 in </w:t>
      </w:r>
      <w:r w:rsidR="0091710A">
        <w:t>S</w:t>
      </w:r>
      <w:r w:rsidRPr="00D14C77">
        <w:t xml:space="preserve">tudy 3b) and that of the respondents (average age </w:t>
      </w:r>
      <w:r w:rsidR="006C18B7">
        <w:t>was 41.6 in both studies</w:t>
      </w:r>
      <w:r w:rsidRPr="00D14C77">
        <w:t xml:space="preserve">). </w:t>
      </w:r>
      <w:r w:rsidR="002529CF">
        <w:t>Th</w:t>
      </w:r>
      <w:r w:rsidR="00833663">
        <w:t xml:space="preserve">e relevance of this </w:t>
      </w:r>
      <w:r w:rsidR="002529CF">
        <w:t>approach</w:t>
      </w:r>
      <w:r w:rsidR="00833663">
        <w:t xml:space="preserve"> </w:t>
      </w:r>
      <w:r w:rsidRPr="00D14C77">
        <w:t xml:space="preserve">could </w:t>
      </w:r>
      <w:r w:rsidR="002529CF">
        <w:t xml:space="preserve">possibly </w:t>
      </w:r>
      <w:r w:rsidRPr="00D14C77">
        <w:t xml:space="preserve">be increased by using </w:t>
      </w:r>
      <w:r w:rsidR="005D642A">
        <w:t>algorithms</w:t>
      </w:r>
      <w:r w:rsidRPr="00D14C77">
        <w:t xml:space="preserve"> to enhance the </w:t>
      </w:r>
      <w:r w:rsidRPr="00C3183C">
        <w:t xml:space="preserve">individual-level </w:t>
      </w:r>
      <w:r w:rsidRPr="00D14C77">
        <w:t>similarity between the demographics of the scenario protagonist and those of the recipient.</w:t>
      </w:r>
      <w:r w:rsidR="00685678">
        <w:t xml:space="preserve"> </w:t>
      </w:r>
    </w:p>
    <w:p w14:paraId="3D1C00AE" w14:textId="44AA4797" w:rsidR="00824EDE" w:rsidRDefault="0091710A" w:rsidP="00824EDE">
      <w:pPr>
        <w:spacing w:line="360" w:lineRule="auto"/>
        <w:ind w:firstLine="709"/>
      </w:pPr>
      <w:r>
        <w:t xml:space="preserve">Another potential </w:t>
      </w:r>
      <w:r w:rsidR="00CD5EAC">
        <w:t xml:space="preserve">explanation </w:t>
      </w:r>
      <w:r w:rsidR="0065083C">
        <w:t>for the</w:t>
      </w:r>
      <w:r w:rsidR="002529CF">
        <w:t>se</w:t>
      </w:r>
      <w:r w:rsidR="00861F5E">
        <w:t xml:space="preserve"> </w:t>
      </w:r>
      <w:r w:rsidR="0065083C">
        <w:t xml:space="preserve">weak </w:t>
      </w:r>
      <w:r w:rsidR="00861F5E">
        <w:t xml:space="preserve">results </w:t>
      </w:r>
      <w:r>
        <w:t>is that</w:t>
      </w:r>
      <w:r w:rsidR="00CD5EAC">
        <w:t xml:space="preserve"> values and preferences </w:t>
      </w:r>
      <w:r w:rsidR="000E0CD5">
        <w:t xml:space="preserve">may be </w:t>
      </w:r>
      <w:r w:rsidR="00CD5EAC">
        <w:t xml:space="preserve">more important than demographics, and </w:t>
      </w:r>
      <w:r w:rsidR="00824EDE" w:rsidRPr="00D14C77">
        <w:t>the profiles may not have matched participants</w:t>
      </w:r>
      <w:r w:rsidR="00CD5EAC">
        <w:t xml:space="preserve"> in this sense</w:t>
      </w:r>
      <w:r w:rsidR="00824EDE" w:rsidRPr="00D14C77">
        <w:t>. In the next study, we therefore tested whether making one’s own preferences salient increases engagement with ACPs.</w:t>
      </w:r>
      <w:r w:rsidR="00824EDE">
        <w:t xml:space="preserve"> </w:t>
      </w:r>
    </w:p>
    <w:p w14:paraId="5360ABB8" w14:textId="79D00D11" w:rsidR="00A27238" w:rsidRPr="00E42B26" w:rsidRDefault="00F230D7" w:rsidP="00122ACE">
      <w:pPr>
        <w:pStyle w:val="Heading1"/>
      </w:pPr>
      <w:r w:rsidRPr="00E42B26">
        <w:rPr>
          <w:bCs/>
        </w:rPr>
        <w:t xml:space="preserve">Study </w:t>
      </w:r>
      <w:r w:rsidR="00CF4665">
        <w:rPr>
          <w:bCs/>
        </w:rPr>
        <w:t>4</w:t>
      </w:r>
      <w:r w:rsidRPr="00E42B26">
        <w:rPr>
          <w:bCs/>
        </w:rPr>
        <w:t xml:space="preserve">: </w:t>
      </w:r>
      <w:r w:rsidR="00CF4665">
        <w:t xml:space="preserve"> In</w:t>
      </w:r>
      <w:r w:rsidR="001C66BB">
        <w:t xml:space="preserve">dividual-Specific </w:t>
      </w:r>
      <w:r w:rsidR="00CF4665">
        <w:t>Values and Preferences</w:t>
      </w:r>
      <w:r w:rsidR="001C66BB">
        <w:t xml:space="preserve"> </w:t>
      </w:r>
      <w:r w:rsidR="00F951AC">
        <w:t>a</w:t>
      </w:r>
      <w:r w:rsidR="001C66BB">
        <w:t>nd Advance Care Planning</w:t>
      </w:r>
    </w:p>
    <w:p w14:paraId="0EE05DE5" w14:textId="2CBCBBD5" w:rsidR="00F230D7" w:rsidRPr="00E42B26" w:rsidRDefault="00F230D7" w:rsidP="00802AD6">
      <w:pPr>
        <w:spacing w:line="360" w:lineRule="auto"/>
      </w:pPr>
      <w:r w:rsidRPr="00E42B26">
        <w:tab/>
      </w:r>
      <w:r w:rsidR="001C66BB">
        <w:t>In addition to examin</w:t>
      </w:r>
      <w:r w:rsidR="00EE5B59">
        <w:t>ing</w:t>
      </w:r>
      <w:r w:rsidR="001C66BB">
        <w:t xml:space="preserve"> the effect of </w:t>
      </w:r>
      <w:r w:rsidR="00896D8B">
        <w:t xml:space="preserve">making </w:t>
      </w:r>
      <w:r w:rsidR="001C66BB">
        <w:t xml:space="preserve">individual values and preferences </w:t>
      </w:r>
      <w:r w:rsidR="00685678">
        <w:t xml:space="preserve">salient </w:t>
      </w:r>
      <w:r w:rsidR="001C66BB">
        <w:t>on engagement with ACP</w:t>
      </w:r>
      <w:r w:rsidR="008B14BB">
        <w:t>s</w:t>
      </w:r>
      <w:r w:rsidR="001C66BB">
        <w:t xml:space="preserve">, Study 4 explored whether </w:t>
      </w:r>
      <w:r w:rsidR="00CD725B" w:rsidRPr="00E42B26">
        <w:t>the correlational patterns observed</w:t>
      </w:r>
      <w:r w:rsidR="00CD725B">
        <w:t xml:space="preserve"> in </w:t>
      </w:r>
      <w:r w:rsidR="001C66BB">
        <w:t>S</w:t>
      </w:r>
      <w:r w:rsidR="00CD725B">
        <w:t>tudy 2</w:t>
      </w:r>
      <w:r w:rsidR="00CD725B" w:rsidRPr="00E42B26">
        <w:t xml:space="preserve"> between </w:t>
      </w:r>
      <w:r w:rsidR="00CD725B">
        <w:t xml:space="preserve">values, </w:t>
      </w:r>
      <w:r w:rsidR="00CD725B" w:rsidRPr="00E42B26">
        <w:t>preferences</w:t>
      </w:r>
      <w:r w:rsidR="009F41DC">
        <w:t>,</w:t>
      </w:r>
      <w:r w:rsidR="00CD725B" w:rsidRPr="00E42B26">
        <w:t xml:space="preserve"> and </w:t>
      </w:r>
      <w:r w:rsidR="00D80745">
        <w:t xml:space="preserve">ACP-creation </w:t>
      </w:r>
      <w:r w:rsidR="00CD725B" w:rsidRPr="00E42B26">
        <w:t xml:space="preserve">intentions replicate across </w:t>
      </w:r>
      <w:r w:rsidR="001C66BB">
        <w:t xml:space="preserve">individuals </w:t>
      </w:r>
      <w:r w:rsidR="00CD725B" w:rsidRPr="00E42B26">
        <w:t xml:space="preserve">who do and do not have ACPs. </w:t>
      </w:r>
    </w:p>
    <w:p w14:paraId="507EC56D" w14:textId="77777777" w:rsidR="00F230D7" w:rsidRPr="00E42B26" w:rsidRDefault="00F230D7" w:rsidP="001B4F08">
      <w:pPr>
        <w:pStyle w:val="Heading2"/>
      </w:pPr>
      <w:r w:rsidRPr="00E42B26">
        <w:lastRenderedPageBreak/>
        <w:t>Method</w:t>
      </w:r>
    </w:p>
    <w:p w14:paraId="165D79B7" w14:textId="43320222" w:rsidR="00F230D7" w:rsidRPr="00E42B26" w:rsidRDefault="00F230D7" w:rsidP="001B4F08">
      <w:pPr>
        <w:spacing w:line="360" w:lineRule="auto"/>
        <w:ind w:firstLine="720"/>
      </w:pPr>
      <w:r w:rsidRPr="00E42B26">
        <w:t xml:space="preserve">We recruited 301 </w:t>
      </w:r>
      <w:r w:rsidR="00896D8B">
        <w:t xml:space="preserve">mTurk </w:t>
      </w:r>
      <w:r w:rsidRPr="00E42B26">
        <w:t>participants (</w:t>
      </w:r>
      <w:r w:rsidRPr="00E42B26">
        <w:rPr>
          <w:i/>
          <w:iCs/>
        </w:rPr>
        <w:t>M</w:t>
      </w:r>
      <w:r w:rsidRPr="00E42B26">
        <w:rPr>
          <w:vertAlign w:val="subscript"/>
        </w:rPr>
        <w:t>age</w:t>
      </w:r>
      <w:r w:rsidRPr="00E42B26">
        <w:t xml:space="preserve"> = 41.0; 50.2% male, 49.5% female, 0.3% non-binary). </w:t>
      </w:r>
      <w:r w:rsidR="007F0C02">
        <w:t xml:space="preserve">To </w:t>
      </w:r>
      <w:r w:rsidR="00D80745">
        <w:t xml:space="preserve">manipulate the salience of </w:t>
      </w:r>
      <w:r w:rsidR="007F0C02">
        <w:t>individual value</w:t>
      </w:r>
      <w:r w:rsidR="00EE5B59">
        <w:t>s</w:t>
      </w:r>
      <w:r w:rsidR="007F0C02">
        <w:t xml:space="preserve"> and preferences </w:t>
      </w:r>
      <w:r w:rsidR="00D80745">
        <w:t xml:space="preserve">we </w:t>
      </w:r>
      <w:r w:rsidR="005F1F5B">
        <w:t>measur</w:t>
      </w:r>
      <w:r w:rsidR="00D80745">
        <w:t>ed</w:t>
      </w:r>
      <w:r w:rsidR="005F1F5B">
        <w:t xml:space="preserve"> </w:t>
      </w:r>
      <w:r w:rsidR="00D80745">
        <w:t xml:space="preserve">them </w:t>
      </w:r>
      <w:r w:rsidR="005F1F5B">
        <w:t xml:space="preserve">either </w:t>
      </w:r>
      <w:r w:rsidR="005F1F5B" w:rsidRPr="00E42B26">
        <w:t>before (</w:t>
      </w:r>
      <w:r w:rsidR="007F0C02">
        <w:t>S</w:t>
      </w:r>
      <w:r w:rsidR="005F1F5B" w:rsidRPr="00E42B26">
        <w:t xml:space="preserve">alient condition) </w:t>
      </w:r>
      <w:r w:rsidR="005F1F5B">
        <w:t>or</w:t>
      </w:r>
      <w:r w:rsidR="005F1F5B" w:rsidRPr="00E42B26">
        <w:t xml:space="preserve"> after (</w:t>
      </w:r>
      <w:r w:rsidR="007F0C02">
        <w:t>N</w:t>
      </w:r>
      <w:r w:rsidR="005F1F5B" w:rsidRPr="00E42B26">
        <w:t>o</w:t>
      </w:r>
      <w:r w:rsidR="00DC75F0">
        <w:t>t</w:t>
      </w:r>
      <w:r w:rsidR="005F1F5B" w:rsidRPr="00E42B26">
        <w:t xml:space="preserve">-salient condition) </w:t>
      </w:r>
      <w:r w:rsidR="005F1F5B">
        <w:t xml:space="preserve">measuring </w:t>
      </w:r>
      <w:r w:rsidR="005F1F5B" w:rsidRPr="00E42B26">
        <w:t xml:space="preserve">engagement </w:t>
      </w:r>
      <w:r w:rsidR="005F1F5B">
        <w:t xml:space="preserve">with ACPs. </w:t>
      </w:r>
      <w:r w:rsidR="007F0C02">
        <w:t>Values and preferences were measured as in Study 2</w:t>
      </w:r>
      <w:r w:rsidR="00153ECF">
        <w:t>, whereas e</w:t>
      </w:r>
      <w:r w:rsidR="007A48AA" w:rsidRPr="00E42B26">
        <w:t xml:space="preserve">ngagement </w:t>
      </w:r>
      <w:r w:rsidR="007F0C02">
        <w:t xml:space="preserve">as in Study 3; we </w:t>
      </w:r>
      <w:r w:rsidR="008C36A6">
        <w:t xml:space="preserve">additionally </w:t>
      </w:r>
      <w:r w:rsidR="00E04289">
        <w:t>asked three questions measu</w:t>
      </w:r>
      <w:r w:rsidR="008C36A6">
        <w:t>ring</w:t>
      </w:r>
      <w:r w:rsidR="00F951AC">
        <w:t xml:space="preserve"> </w:t>
      </w:r>
      <w:r w:rsidR="009F41DC">
        <w:t xml:space="preserve">the extent to which participants would </w:t>
      </w:r>
      <w:r w:rsidR="00F951AC">
        <w:t>consider</w:t>
      </w:r>
      <w:r w:rsidR="009F41DC">
        <w:t xml:space="preserve"> creating </w:t>
      </w:r>
      <w:r w:rsidRPr="00E42B26">
        <w:t>ACP</w:t>
      </w:r>
      <w:r w:rsidR="008C36A6">
        <w:t>s</w:t>
      </w:r>
      <w:r w:rsidRPr="00E42B26">
        <w:t xml:space="preserve"> </w:t>
      </w:r>
      <w:r w:rsidR="005D642A">
        <w:t>(</w:t>
      </w:r>
      <w:r w:rsidR="0010356F">
        <w:t>for full instructions, see the Web Appendix</w:t>
      </w:r>
      <w:r w:rsidRPr="00E42B26">
        <w:t>).</w:t>
      </w:r>
      <w:r w:rsidR="00896D8B">
        <w:t xml:space="preserve"> </w:t>
      </w:r>
      <w:r w:rsidRPr="00E42B26">
        <w:t>Finally</w:t>
      </w:r>
      <w:r w:rsidR="007A48AA" w:rsidRPr="00E42B26">
        <w:t>,</w:t>
      </w:r>
      <w:r w:rsidRPr="00E42B26">
        <w:t xml:space="preserve"> participants reported their current health and responded to demographic questions.</w:t>
      </w:r>
    </w:p>
    <w:p w14:paraId="1B13309B" w14:textId="479C1B87" w:rsidR="00F230D7" w:rsidRDefault="00F230D7" w:rsidP="001B4F08">
      <w:pPr>
        <w:pStyle w:val="Heading2"/>
      </w:pPr>
      <w:r w:rsidRPr="00E42B26">
        <w:t>Results</w:t>
      </w:r>
    </w:p>
    <w:p w14:paraId="7B8EBF15" w14:textId="4FB42350" w:rsidR="00F22B42" w:rsidRPr="00E42B26" w:rsidRDefault="008E4432" w:rsidP="00491813">
      <w:pPr>
        <w:spacing w:line="360" w:lineRule="auto"/>
        <w:ind w:firstLine="720"/>
      </w:pPr>
      <w:r w:rsidRPr="00E42B26">
        <w:t>Two hundred fifty-eight participants (85.7%) reported not having ACP</w:t>
      </w:r>
      <w:r w:rsidR="008C36A6">
        <w:t>s</w:t>
      </w:r>
      <w:r w:rsidRPr="00E42B26">
        <w:t>, while 43 (14.3%) reported having one.</w:t>
      </w:r>
      <w:r>
        <w:t xml:space="preserve"> Among those </w:t>
      </w:r>
      <w:r w:rsidR="00125DB4">
        <w:t>without</w:t>
      </w:r>
      <w:r>
        <w:t xml:space="preserve"> ACP</w:t>
      </w:r>
      <w:r w:rsidR="008C36A6">
        <w:t>s</w:t>
      </w:r>
      <w:r>
        <w:t>,</w:t>
      </w:r>
      <w:r w:rsidR="00357DD2">
        <w:t xml:space="preserve"> </w:t>
      </w:r>
      <w:r w:rsidR="00037BD3">
        <w:t xml:space="preserve">salience </w:t>
      </w:r>
      <w:r w:rsidR="00E04289">
        <w:t xml:space="preserve">of individual values and preferences </w:t>
      </w:r>
      <w:r w:rsidR="00037BD3">
        <w:t xml:space="preserve">did not have an effect on </w:t>
      </w:r>
      <w:r w:rsidR="00F0692E">
        <w:t>consideration</w:t>
      </w:r>
      <w:r w:rsidRPr="00E42B26">
        <w:t xml:space="preserve">, </w:t>
      </w:r>
      <w:proofErr w:type="gramStart"/>
      <w:r w:rsidRPr="00E42B26">
        <w:rPr>
          <w:i/>
          <w:iCs/>
        </w:rPr>
        <w:t>F</w:t>
      </w:r>
      <w:r w:rsidRPr="00E42B26">
        <w:t>(</w:t>
      </w:r>
      <w:proofErr w:type="gramEnd"/>
      <w:r w:rsidRPr="00E42B26">
        <w:t xml:space="preserve">1, 256) = 0.16, </w:t>
      </w:r>
      <w:r w:rsidRPr="00E42B26">
        <w:rPr>
          <w:i/>
          <w:iCs/>
        </w:rPr>
        <w:t>p</w:t>
      </w:r>
      <w:r w:rsidRPr="00E42B26">
        <w:t xml:space="preserve"> = </w:t>
      </w:r>
      <w:r w:rsidR="00826326">
        <w:t>.69</w:t>
      </w:r>
      <w:r w:rsidRPr="00E42B26">
        <w:t>.</w:t>
      </w:r>
      <w:r w:rsidR="00357DD2">
        <w:t xml:space="preserve"> </w:t>
      </w:r>
      <w:r w:rsidR="008C36A6">
        <w:t>C</w:t>
      </w:r>
      <w:r w:rsidR="00685678">
        <w:t xml:space="preserve">ontrary to our expectations, </w:t>
      </w:r>
      <w:r w:rsidR="00F22B42" w:rsidRPr="00E42B26">
        <w:t>participants</w:t>
      </w:r>
      <w:r w:rsidR="00357DD2">
        <w:t xml:space="preserve">’ interest in information was lower in the </w:t>
      </w:r>
      <w:r w:rsidR="00330F59">
        <w:t>S</w:t>
      </w:r>
      <w:r w:rsidR="00357DD2">
        <w:t xml:space="preserve">alient </w:t>
      </w:r>
      <w:r w:rsidR="00357DD2" w:rsidRPr="00E42B26">
        <w:t>(25.4%)</w:t>
      </w:r>
      <w:r w:rsidR="00357DD2">
        <w:t xml:space="preserve"> than in the </w:t>
      </w:r>
      <w:proofErr w:type="gramStart"/>
      <w:r w:rsidR="00330F59">
        <w:t>N</w:t>
      </w:r>
      <w:r w:rsidR="00357DD2">
        <w:t>o</w:t>
      </w:r>
      <w:r w:rsidR="00DC75F0">
        <w:t>t</w:t>
      </w:r>
      <w:r w:rsidR="00357DD2">
        <w:t>-salient</w:t>
      </w:r>
      <w:proofErr w:type="gramEnd"/>
      <w:r w:rsidR="00357DD2">
        <w:t xml:space="preserve"> </w:t>
      </w:r>
      <w:r w:rsidR="00357DD2" w:rsidRPr="00E42B26">
        <w:t>(38.7%</w:t>
      </w:r>
      <w:r w:rsidR="00E04289">
        <w:t>;</w:t>
      </w:r>
      <w:r w:rsidR="00357DD2" w:rsidRPr="00E42B26">
        <w:t xml:space="preserve"> </w:t>
      </w:r>
      <w:r w:rsidR="00357DD2" w:rsidRPr="00E42B26">
        <w:rPr>
          <w:i/>
          <w:iCs/>
        </w:rPr>
        <w:t>X</w:t>
      </w:r>
      <w:r w:rsidR="00357DD2" w:rsidRPr="00E42B26">
        <w:rPr>
          <w:vertAlign w:val="superscript"/>
        </w:rPr>
        <w:t>2</w:t>
      </w:r>
      <w:r w:rsidR="00357DD2" w:rsidRPr="00E42B26">
        <w:t xml:space="preserve">(1) = 5.28, </w:t>
      </w:r>
      <w:r w:rsidR="00357DD2" w:rsidRPr="00E42B26">
        <w:rPr>
          <w:i/>
          <w:iCs/>
        </w:rPr>
        <w:t>p</w:t>
      </w:r>
      <w:r w:rsidR="00357DD2" w:rsidRPr="00E42B26">
        <w:t xml:space="preserve"> = </w:t>
      </w:r>
      <w:r w:rsidR="00826326">
        <w:t>.02</w:t>
      </w:r>
      <w:r w:rsidR="00E04289">
        <w:t>) condition</w:t>
      </w:r>
      <w:r w:rsidR="00357DD2">
        <w:t>.</w:t>
      </w:r>
      <w:r w:rsidR="00037BD3">
        <w:t xml:space="preserve"> </w:t>
      </w:r>
      <w:r w:rsidR="001C2FF6">
        <w:t xml:space="preserve">Intentions to create an ACP </w:t>
      </w:r>
      <w:r w:rsidR="00F22B42" w:rsidRPr="00E42B26">
        <w:t xml:space="preserve">were also directionally, although not significantly, </w:t>
      </w:r>
      <w:r w:rsidR="001C2FF6">
        <w:t>lower in the Salient</w:t>
      </w:r>
      <w:r w:rsidR="00F22B42" w:rsidRPr="00E42B26">
        <w:t xml:space="preserve"> (</w:t>
      </w:r>
      <w:r w:rsidR="00F22B42" w:rsidRPr="00E42B26">
        <w:rPr>
          <w:i/>
          <w:iCs/>
        </w:rPr>
        <w:t>M</w:t>
      </w:r>
      <w:r w:rsidR="00F22B42" w:rsidRPr="00E42B26">
        <w:t xml:space="preserve"> = 4.43, </w:t>
      </w:r>
      <w:r w:rsidR="00F22B42" w:rsidRPr="00E42B26">
        <w:rPr>
          <w:i/>
          <w:iCs/>
        </w:rPr>
        <w:t>SD</w:t>
      </w:r>
      <w:r w:rsidR="00F22B42" w:rsidRPr="00E42B26">
        <w:t xml:space="preserve"> = 1.78) than in the </w:t>
      </w:r>
      <w:r w:rsidR="00CB1CF2">
        <w:t>N</w:t>
      </w:r>
      <w:r w:rsidR="00CB1CF2" w:rsidRPr="00E42B26">
        <w:t>o</w:t>
      </w:r>
      <w:r w:rsidR="00DC75F0">
        <w:t>t</w:t>
      </w:r>
      <w:r w:rsidR="00F22B42" w:rsidRPr="00E42B26">
        <w:t>-salient condition (</w:t>
      </w:r>
      <w:r w:rsidR="00F22B42" w:rsidRPr="00E42B26">
        <w:rPr>
          <w:i/>
          <w:iCs/>
        </w:rPr>
        <w:t>M</w:t>
      </w:r>
      <w:r w:rsidR="00F22B42" w:rsidRPr="00E42B26">
        <w:t xml:space="preserve"> = 4.74, </w:t>
      </w:r>
      <w:r w:rsidR="00F22B42" w:rsidRPr="00E42B26">
        <w:rPr>
          <w:i/>
          <w:iCs/>
        </w:rPr>
        <w:t>SD</w:t>
      </w:r>
      <w:r w:rsidR="00F22B42" w:rsidRPr="00E42B26">
        <w:t xml:space="preserve"> = 1.72), </w:t>
      </w:r>
      <w:r w:rsidR="00F22B42" w:rsidRPr="00E42B26">
        <w:rPr>
          <w:i/>
          <w:iCs/>
        </w:rPr>
        <w:t>F</w:t>
      </w:r>
      <w:r w:rsidR="00F22B42" w:rsidRPr="00E42B26">
        <w:t xml:space="preserve">(1, 256) = 2.01, </w:t>
      </w:r>
      <w:r w:rsidR="00F22B42" w:rsidRPr="00E42B26">
        <w:rPr>
          <w:i/>
          <w:iCs/>
        </w:rPr>
        <w:t>p</w:t>
      </w:r>
      <w:r w:rsidR="00F22B42" w:rsidRPr="00E42B26">
        <w:t xml:space="preserve"> = </w:t>
      </w:r>
      <w:r w:rsidR="00826326">
        <w:t>.16</w:t>
      </w:r>
      <w:r w:rsidR="00F22B42" w:rsidRPr="00E42B26">
        <w:t xml:space="preserve">. </w:t>
      </w:r>
    </w:p>
    <w:p w14:paraId="2747D45E" w14:textId="43DC2160" w:rsidR="000101C0" w:rsidRDefault="00491813" w:rsidP="007A0A0D">
      <w:pPr>
        <w:spacing w:line="360" w:lineRule="auto"/>
      </w:pPr>
      <w:r>
        <w:tab/>
      </w:r>
      <w:r w:rsidR="008C36A6">
        <w:t>W</w:t>
      </w:r>
      <w:r>
        <w:t xml:space="preserve">e </w:t>
      </w:r>
      <w:r w:rsidR="008C36A6">
        <w:t xml:space="preserve">next </w:t>
      </w:r>
      <w:r>
        <w:t xml:space="preserve">collapsed across the two </w:t>
      </w:r>
      <w:r w:rsidR="00CB1CF2">
        <w:t xml:space="preserve">salience </w:t>
      </w:r>
      <w:r>
        <w:t>conditions</w:t>
      </w:r>
      <w:r w:rsidR="007A0A0D">
        <w:t xml:space="preserve"> </w:t>
      </w:r>
      <w:r w:rsidR="00CB1CF2">
        <w:t xml:space="preserve">and </w:t>
      </w:r>
      <w:r w:rsidRPr="00491813">
        <w:t>explore</w:t>
      </w:r>
      <w:r w:rsidR="00CB1CF2">
        <w:t>d</w:t>
      </w:r>
      <w:r w:rsidRPr="00491813">
        <w:t xml:space="preserve"> </w:t>
      </w:r>
      <w:r w:rsidR="00E04289">
        <w:t xml:space="preserve">similarities and differences </w:t>
      </w:r>
      <w:r w:rsidRPr="00491813">
        <w:rPr>
          <w:color w:val="000000"/>
        </w:rPr>
        <w:t xml:space="preserve">between </w:t>
      </w:r>
      <w:r>
        <w:rPr>
          <w:color w:val="000000"/>
        </w:rPr>
        <w:t>individuals</w:t>
      </w:r>
      <w:r w:rsidRPr="00491813">
        <w:rPr>
          <w:color w:val="000000"/>
        </w:rPr>
        <w:t xml:space="preserve"> with and without ACPs</w:t>
      </w:r>
      <w:r w:rsidR="00F951AC">
        <w:rPr>
          <w:color w:val="000000"/>
        </w:rPr>
        <w:t xml:space="preserve"> (</w:t>
      </w:r>
      <w:r w:rsidR="00A43DCC">
        <w:rPr>
          <w:color w:val="000000"/>
        </w:rPr>
        <w:t>Web Appendix-</w:t>
      </w:r>
      <w:r w:rsidR="00F951AC">
        <w:rPr>
          <w:color w:val="000000"/>
        </w:rPr>
        <w:t xml:space="preserve">Table </w:t>
      </w:r>
      <w:r w:rsidR="00A43DCC">
        <w:rPr>
          <w:color w:val="000000"/>
        </w:rPr>
        <w:t>1</w:t>
      </w:r>
      <w:r w:rsidR="00F951AC">
        <w:rPr>
          <w:color w:val="000000"/>
        </w:rPr>
        <w:t>)</w:t>
      </w:r>
      <w:r>
        <w:rPr>
          <w:color w:val="000000"/>
        </w:rPr>
        <w:t>.</w:t>
      </w:r>
      <w:r w:rsidR="00D110E5">
        <w:rPr>
          <w:color w:val="000000"/>
        </w:rPr>
        <w:t xml:space="preserve"> </w:t>
      </w:r>
      <w:r w:rsidR="003664A5">
        <w:rPr>
          <w:color w:val="000000"/>
        </w:rPr>
        <w:t xml:space="preserve">The two groups were similar in most of the values and preferences measured in the survey </w:t>
      </w:r>
      <w:r w:rsidR="007A0A0D">
        <w:t>(</w:t>
      </w:r>
      <w:proofErr w:type="spellStart"/>
      <w:r w:rsidR="007A0A0D" w:rsidRPr="007A0A0D">
        <w:rPr>
          <w:i/>
          <w:iCs/>
        </w:rPr>
        <w:t>p</w:t>
      </w:r>
      <w:r w:rsidR="007A0A0D">
        <w:t>s</w:t>
      </w:r>
      <w:proofErr w:type="spellEnd"/>
      <w:r w:rsidR="007A0A0D">
        <w:t xml:space="preserve"> &gt; .</w:t>
      </w:r>
      <w:r w:rsidR="00F64DF5">
        <w:t>1</w:t>
      </w:r>
      <w:r w:rsidR="007A0A0D">
        <w:t>0).</w:t>
      </w:r>
      <w:r w:rsidR="003520AF">
        <w:t xml:space="preserve"> </w:t>
      </w:r>
    </w:p>
    <w:p w14:paraId="787242F3" w14:textId="71CF825D" w:rsidR="00E13A1B" w:rsidRPr="000101C0" w:rsidRDefault="003664A5" w:rsidP="007C3020">
      <w:pPr>
        <w:spacing w:line="360" w:lineRule="auto"/>
      </w:pPr>
      <w:r>
        <w:t xml:space="preserve">However, </w:t>
      </w:r>
      <w:r w:rsidR="00551A64">
        <w:t xml:space="preserve">as in Study 2, </w:t>
      </w:r>
      <w:r w:rsidR="00462499">
        <w:t>t</w:t>
      </w:r>
      <w:r w:rsidR="007A0A0D">
        <w:t xml:space="preserve">here were </w:t>
      </w:r>
      <w:r w:rsidR="00462499">
        <w:t>some</w:t>
      </w:r>
      <w:r w:rsidR="007A0A0D">
        <w:t xml:space="preserve"> differences a</w:t>
      </w:r>
      <w:r w:rsidR="008C36A6">
        <w:t>cross</w:t>
      </w:r>
      <w:r w:rsidR="007A0A0D">
        <w:t xml:space="preserve"> </w:t>
      </w:r>
      <w:r w:rsidR="00462499">
        <w:t xml:space="preserve">the groups. Specifically, in line with Study 2’s finding </w:t>
      </w:r>
      <w:r w:rsidR="00E07471">
        <w:t xml:space="preserve">that </w:t>
      </w:r>
      <w:r w:rsidR="002F166C">
        <w:t xml:space="preserve">greater preference for being at peace </w:t>
      </w:r>
      <w:r w:rsidR="00757294">
        <w:t xml:space="preserve">was </w:t>
      </w:r>
      <w:r w:rsidR="002F166C">
        <w:t>associated with</w:t>
      </w:r>
      <w:r w:rsidR="002F166C" w:rsidRPr="00E42B26">
        <w:t xml:space="preserve"> greater intention</w:t>
      </w:r>
      <w:r w:rsidR="002F166C">
        <w:t>s</w:t>
      </w:r>
      <w:r w:rsidR="002F166C" w:rsidRPr="00E42B26">
        <w:t xml:space="preserve"> to create an ACP</w:t>
      </w:r>
      <w:r w:rsidR="002F166C">
        <w:t>, individuals with ACPs rated the importance of being at peace higher than those who did not have ACPs (</w:t>
      </w:r>
      <w:proofErr w:type="spellStart"/>
      <w:r w:rsidR="002F166C" w:rsidRPr="0048394C">
        <w:rPr>
          <w:i/>
          <w:iCs/>
        </w:rPr>
        <w:t>M</w:t>
      </w:r>
      <w:r w:rsidR="002F166C" w:rsidRPr="0048394C">
        <w:rPr>
          <w:vertAlign w:val="subscript"/>
        </w:rPr>
        <w:t>With</w:t>
      </w:r>
      <w:r w:rsidR="002F166C">
        <w:rPr>
          <w:vertAlign w:val="subscript"/>
        </w:rPr>
        <w:t>_</w:t>
      </w:r>
      <w:r w:rsidR="002F166C" w:rsidRPr="0048394C">
        <w:rPr>
          <w:vertAlign w:val="subscript"/>
        </w:rPr>
        <w:t>A</w:t>
      </w:r>
      <w:r w:rsidR="002F166C">
        <w:rPr>
          <w:vertAlign w:val="subscript"/>
        </w:rPr>
        <w:t>CP</w:t>
      </w:r>
      <w:proofErr w:type="spellEnd"/>
      <w:r w:rsidR="002F166C">
        <w:t xml:space="preserve"> = 4.95 vs. </w:t>
      </w:r>
      <w:proofErr w:type="spellStart"/>
      <w:r w:rsidR="002F166C" w:rsidRPr="0048394C">
        <w:rPr>
          <w:i/>
          <w:iCs/>
        </w:rPr>
        <w:t>M</w:t>
      </w:r>
      <w:r w:rsidR="002F166C">
        <w:rPr>
          <w:vertAlign w:val="subscript"/>
        </w:rPr>
        <w:t>Without_</w:t>
      </w:r>
      <w:r w:rsidR="002F166C" w:rsidRPr="0048394C">
        <w:rPr>
          <w:vertAlign w:val="subscript"/>
        </w:rPr>
        <w:t>A</w:t>
      </w:r>
      <w:r w:rsidR="002F166C">
        <w:rPr>
          <w:vertAlign w:val="subscript"/>
        </w:rPr>
        <w:t>CP</w:t>
      </w:r>
      <w:proofErr w:type="spellEnd"/>
      <w:r w:rsidR="002F166C" w:rsidRPr="0048394C">
        <w:rPr>
          <w:vertAlign w:val="subscript"/>
        </w:rPr>
        <w:t xml:space="preserve"> </w:t>
      </w:r>
      <w:r w:rsidR="002F166C">
        <w:t xml:space="preserve">= 4.13; </w:t>
      </w:r>
      <w:r w:rsidR="002F166C" w:rsidRPr="0070742C">
        <w:rPr>
          <w:i/>
          <w:iCs/>
        </w:rPr>
        <w:t>t</w:t>
      </w:r>
      <w:r w:rsidR="002F166C">
        <w:t xml:space="preserve">(299) = -1.97, </w:t>
      </w:r>
      <w:r w:rsidR="002F166C" w:rsidRPr="0048394C">
        <w:rPr>
          <w:i/>
          <w:iCs/>
        </w:rPr>
        <w:t>p</w:t>
      </w:r>
      <w:r w:rsidR="002F166C">
        <w:rPr>
          <w:i/>
          <w:iCs/>
        </w:rPr>
        <w:t xml:space="preserve"> </w:t>
      </w:r>
      <w:r w:rsidR="002F166C">
        <w:t>= .05)</w:t>
      </w:r>
      <w:r w:rsidR="00757294">
        <w:t>. Also in line with Study 2’s finding that lower preference for life</w:t>
      </w:r>
      <w:r w:rsidR="007275B9">
        <w:t xml:space="preserve">-sustaining treatments </w:t>
      </w:r>
      <w:r w:rsidR="00757294">
        <w:t xml:space="preserve">was associated with ACP-creation intentions, individuals with ACPs </w:t>
      </w:r>
      <w:r w:rsidR="000D11CC">
        <w:t xml:space="preserve">expressed lower preference for receiving </w:t>
      </w:r>
      <w:r w:rsidR="00B903ED">
        <w:t xml:space="preserve">invasive </w:t>
      </w:r>
      <w:r w:rsidR="000D11CC">
        <w:t>life-sustaining treatments</w:t>
      </w:r>
      <w:r w:rsidR="00642A94">
        <w:t>,</w:t>
      </w:r>
      <w:r w:rsidR="000D11CC">
        <w:t xml:space="preserve"> </w:t>
      </w:r>
      <w:r w:rsidR="00757294">
        <w:t>like life support (</w:t>
      </w:r>
      <w:r w:rsidR="0042583F">
        <w:t xml:space="preserve">not want </w:t>
      </w:r>
      <w:r w:rsidR="003E38DB">
        <w:t xml:space="preserve">to receive </w:t>
      </w:r>
      <w:r w:rsidR="0042583F">
        <w:t xml:space="preserve">life-sustaining treatments: </w:t>
      </w:r>
      <w:proofErr w:type="spellStart"/>
      <w:r w:rsidR="000D11CC" w:rsidRPr="0048394C">
        <w:rPr>
          <w:i/>
          <w:iCs/>
        </w:rPr>
        <w:t>M</w:t>
      </w:r>
      <w:r w:rsidR="000D11CC" w:rsidRPr="0048394C">
        <w:rPr>
          <w:vertAlign w:val="subscript"/>
        </w:rPr>
        <w:t>With</w:t>
      </w:r>
      <w:r w:rsidR="000D11CC">
        <w:rPr>
          <w:vertAlign w:val="subscript"/>
        </w:rPr>
        <w:t>_</w:t>
      </w:r>
      <w:r w:rsidR="000D11CC" w:rsidRPr="0048394C">
        <w:rPr>
          <w:vertAlign w:val="subscript"/>
        </w:rPr>
        <w:t>A</w:t>
      </w:r>
      <w:r w:rsidR="000D11CC">
        <w:rPr>
          <w:vertAlign w:val="subscript"/>
        </w:rPr>
        <w:t>CP</w:t>
      </w:r>
      <w:proofErr w:type="spellEnd"/>
      <w:r w:rsidR="000D11CC">
        <w:t xml:space="preserve"> = 4.66 vs. </w:t>
      </w:r>
      <w:proofErr w:type="spellStart"/>
      <w:r w:rsidR="000D11CC" w:rsidRPr="0048394C">
        <w:rPr>
          <w:i/>
          <w:iCs/>
        </w:rPr>
        <w:t>M</w:t>
      </w:r>
      <w:r w:rsidR="000D11CC">
        <w:rPr>
          <w:vertAlign w:val="subscript"/>
        </w:rPr>
        <w:t>Without_</w:t>
      </w:r>
      <w:r w:rsidR="000D11CC" w:rsidRPr="0048394C">
        <w:rPr>
          <w:vertAlign w:val="subscript"/>
        </w:rPr>
        <w:t>A</w:t>
      </w:r>
      <w:r w:rsidR="000D11CC">
        <w:rPr>
          <w:vertAlign w:val="subscript"/>
        </w:rPr>
        <w:t>CP</w:t>
      </w:r>
      <w:proofErr w:type="spellEnd"/>
      <w:r w:rsidR="000D11CC" w:rsidRPr="0048394C">
        <w:rPr>
          <w:vertAlign w:val="subscript"/>
        </w:rPr>
        <w:t xml:space="preserve"> </w:t>
      </w:r>
      <w:r w:rsidR="000D11CC">
        <w:t xml:space="preserve">= 3.24; </w:t>
      </w:r>
      <w:r w:rsidR="000D11CC" w:rsidRPr="0048394C">
        <w:rPr>
          <w:i/>
          <w:iCs/>
        </w:rPr>
        <w:t>p</w:t>
      </w:r>
      <w:r w:rsidR="000D11CC">
        <w:rPr>
          <w:i/>
          <w:iCs/>
        </w:rPr>
        <w:t xml:space="preserve"> </w:t>
      </w:r>
      <w:r w:rsidR="000D11CC">
        <w:t>&lt; .001</w:t>
      </w:r>
      <w:r w:rsidR="00757294">
        <w:t xml:space="preserve">), CPR </w:t>
      </w:r>
      <w:r w:rsidR="00757294" w:rsidRPr="00FC1C16">
        <w:t>(</w:t>
      </w:r>
      <w:proofErr w:type="spellStart"/>
      <w:r w:rsidR="00757294" w:rsidRPr="00FC1C16">
        <w:rPr>
          <w:i/>
          <w:iCs/>
        </w:rPr>
        <w:t>M</w:t>
      </w:r>
      <w:r w:rsidR="00757294" w:rsidRPr="00FC1C16">
        <w:rPr>
          <w:vertAlign w:val="subscript"/>
        </w:rPr>
        <w:t>With_ACP</w:t>
      </w:r>
      <w:proofErr w:type="spellEnd"/>
      <w:r w:rsidR="00757294" w:rsidRPr="00FC1C16">
        <w:t xml:space="preserve"> = 5.72 vs. </w:t>
      </w:r>
      <w:proofErr w:type="spellStart"/>
      <w:r w:rsidR="00757294" w:rsidRPr="00FC1C16">
        <w:rPr>
          <w:i/>
          <w:iCs/>
        </w:rPr>
        <w:t>M</w:t>
      </w:r>
      <w:r w:rsidR="00757294" w:rsidRPr="00FC1C16">
        <w:rPr>
          <w:vertAlign w:val="subscript"/>
        </w:rPr>
        <w:t>Without_ACP</w:t>
      </w:r>
      <w:proofErr w:type="spellEnd"/>
      <w:r w:rsidR="00757294" w:rsidRPr="00FC1C16">
        <w:rPr>
          <w:vertAlign w:val="subscript"/>
        </w:rPr>
        <w:t xml:space="preserve"> </w:t>
      </w:r>
      <w:r w:rsidR="00757294" w:rsidRPr="00FC1C16">
        <w:t xml:space="preserve">= 6.24; </w:t>
      </w:r>
      <w:r w:rsidR="00757294" w:rsidRPr="00FC1C16">
        <w:rPr>
          <w:i/>
          <w:iCs/>
        </w:rPr>
        <w:t>t</w:t>
      </w:r>
      <w:r w:rsidR="00757294" w:rsidRPr="00FC1C16">
        <w:t xml:space="preserve">(299) = 2.32, </w:t>
      </w:r>
      <w:r w:rsidR="00757294" w:rsidRPr="00FC1C16">
        <w:rPr>
          <w:i/>
          <w:iCs/>
        </w:rPr>
        <w:t xml:space="preserve">p </w:t>
      </w:r>
      <w:r w:rsidR="00757294" w:rsidRPr="00FC1C16">
        <w:t>= .02</w:t>
      </w:r>
      <w:r w:rsidR="00F951AC">
        <w:t xml:space="preserve">) </w:t>
      </w:r>
      <w:r w:rsidR="000D11CC">
        <w:t xml:space="preserve">and </w:t>
      </w:r>
      <w:r w:rsidR="007B5FFC">
        <w:t xml:space="preserve">machine </w:t>
      </w:r>
      <w:r w:rsidR="000D11CC">
        <w:t>dependence (</w:t>
      </w:r>
      <w:r w:rsidR="0042583F">
        <w:t xml:space="preserve">avoid machine dependence: </w:t>
      </w:r>
      <w:proofErr w:type="spellStart"/>
      <w:r w:rsidR="000D11CC" w:rsidRPr="0048394C">
        <w:rPr>
          <w:i/>
          <w:iCs/>
        </w:rPr>
        <w:t>M</w:t>
      </w:r>
      <w:r w:rsidR="000D11CC" w:rsidRPr="0048394C">
        <w:rPr>
          <w:vertAlign w:val="subscript"/>
        </w:rPr>
        <w:t>With</w:t>
      </w:r>
      <w:r w:rsidR="000D11CC">
        <w:rPr>
          <w:vertAlign w:val="subscript"/>
        </w:rPr>
        <w:t>_</w:t>
      </w:r>
      <w:r w:rsidR="000D11CC" w:rsidRPr="0048394C">
        <w:rPr>
          <w:vertAlign w:val="subscript"/>
        </w:rPr>
        <w:t>A</w:t>
      </w:r>
      <w:r w:rsidR="000D11CC">
        <w:rPr>
          <w:vertAlign w:val="subscript"/>
        </w:rPr>
        <w:t>CP</w:t>
      </w:r>
      <w:proofErr w:type="spellEnd"/>
      <w:r w:rsidR="000D11CC">
        <w:t xml:space="preserve"> = 6.42 vs. </w:t>
      </w:r>
      <w:proofErr w:type="spellStart"/>
      <w:r w:rsidR="000D11CC" w:rsidRPr="0048394C">
        <w:rPr>
          <w:i/>
          <w:iCs/>
        </w:rPr>
        <w:t>M</w:t>
      </w:r>
      <w:r w:rsidR="000D11CC">
        <w:rPr>
          <w:vertAlign w:val="subscript"/>
        </w:rPr>
        <w:t>Without_</w:t>
      </w:r>
      <w:r w:rsidR="000D11CC" w:rsidRPr="0048394C">
        <w:rPr>
          <w:vertAlign w:val="subscript"/>
        </w:rPr>
        <w:t>A</w:t>
      </w:r>
      <w:r w:rsidR="000D11CC">
        <w:rPr>
          <w:vertAlign w:val="subscript"/>
        </w:rPr>
        <w:t>CP</w:t>
      </w:r>
      <w:proofErr w:type="spellEnd"/>
      <w:r w:rsidR="000D11CC" w:rsidRPr="0048394C">
        <w:rPr>
          <w:vertAlign w:val="subscript"/>
        </w:rPr>
        <w:t xml:space="preserve"> </w:t>
      </w:r>
      <w:r w:rsidR="000D11CC">
        <w:t xml:space="preserve">= 5.71; </w:t>
      </w:r>
      <w:r w:rsidR="000D11CC" w:rsidRPr="0070742C">
        <w:rPr>
          <w:i/>
          <w:iCs/>
        </w:rPr>
        <w:t>t</w:t>
      </w:r>
      <w:r w:rsidR="000D11CC">
        <w:t xml:space="preserve">(299) = -2.89, </w:t>
      </w:r>
      <w:r w:rsidR="000D11CC" w:rsidRPr="0048394C">
        <w:rPr>
          <w:i/>
          <w:iCs/>
        </w:rPr>
        <w:t>p</w:t>
      </w:r>
      <w:r w:rsidR="000D11CC">
        <w:rPr>
          <w:i/>
          <w:iCs/>
        </w:rPr>
        <w:t xml:space="preserve"> </w:t>
      </w:r>
      <w:r w:rsidR="000D11CC">
        <w:t>= .004) than those without ACPs.</w:t>
      </w:r>
      <w:r w:rsidR="00F951AC">
        <w:t xml:space="preserve"> </w:t>
      </w:r>
    </w:p>
    <w:p w14:paraId="59E91D2A" w14:textId="77777777" w:rsidR="00F230D7" w:rsidRPr="00E42B26" w:rsidRDefault="00F230D7" w:rsidP="001B4F08">
      <w:pPr>
        <w:pStyle w:val="Heading2"/>
      </w:pPr>
      <w:r w:rsidRPr="00E42B26">
        <w:lastRenderedPageBreak/>
        <w:t>Discussion</w:t>
      </w:r>
    </w:p>
    <w:p w14:paraId="34760200" w14:textId="3CCA19B3" w:rsidR="000F7054" w:rsidRDefault="00EA6034" w:rsidP="00236BCA">
      <w:pPr>
        <w:spacing w:line="360" w:lineRule="auto"/>
        <w:ind w:firstLine="720"/>
      </w:pPr>
      <w:r>
        <w:t>M</w:t>
      </w:r>
      <w:r w:rsidR="000F7054">
        <w:t xml:space="preserve">aking </w:t>
      </w:r>
      <w:r w:rsidR="0046595D">
        <w:t xml:space="preserve">one’s own </w:t>
      </w:r>
      <w:r w:rsidR="00187614">
        <w:t>val</w:t>
      </w:r>
      <w:r w:rsidR="000F7054">
        <w:t xml:space="preserve">ues and preferences salient </w:t>
      </w:r>
      <w:r w:rsidR="000F7054" w:rsidRPr="00E42B26">
        <w:t>did not increase</w:t>
      </w:r>
      <w:r w:rsidR="000F7054">
        <w:t xml:space="preserve">, and in some cases decreased, </w:t>
      </w:r>
      <w:r w:rsidR="000F7054" w:rsidRPr="00E42B26">
        <w:t xml:space="preserve">engagement </w:t>
      </w:r>
      <w:r w:rsidR="000F7054">
        <w:t xml:space="preserve">with </w:t>
      </w:r>
      <w:r w:rsidR="000F7054" w:rsidRPr="00E42B26">
        <w:t>ACPs</w:t>
      </w:r>
      <w:r w:rsidR="000F7054">
        <w:t xml:space="preserve">. It is possible that critical healthcare </w:t>
      </w:r>
      <w:r w:rsidR="000F7054" w:rsidRPr="00E42B26">
        <w:t xml:space="preserve">decisions raise negatively </w:t>
      </w:r>
      <w:proofErr w:type="spellStart"/>
      <w:r w:rsidR="000F7054" w:rsidRPr="00E42B26">
        <w:t>valenced</w:t>
      </w:r>
      <w:proofErr w:type="spellEnd"/>
      <w:r w:rsidR="000F7054">
        <w:t xml:space="preserve"> </w:t>
      </w:r>
      <w:r w:rsidR="000F7054" w:rsidRPr="00E42B26">
        <w:t>thoughts that people</w:t>
      </w:r>
      <w:r w:rsidR="000F7054">
        <w:t xml:space="preserve"> </w:t>
      </w:r>
      <w:r w:rsidR="000F7054" w:rsidRPr="00E42B26">
        <w:t>prefer to avoid (Carr and Khodyakov 2007</w:t>
      </w:r>
      <w:r w:rsidR="00DA2D6D">
        <w:t xml:space="preserve">; </w:t>
      </w:r>
      <w:r w:rsidR="00DA2D6D" w:rsidRPr="00E42B26">
        <w:t>Wilkinson et al. 2007</w:t>
      </w:r>
      <w:r w:rsidR="000F7054" w:rsidRPr="00E42B26">
        <w:t xml:space="preserve">; </w:t>
      </w:r>
      <w:r w:rsidR="000F7054">
        <w:t>Morrison 2020</w:t>
      </w:r>
      <w:r w:rsidR="000F7054" w:rsidRPr="00E42B26">
        <w:t>)</w:t>
      </w:r>
      <w:r w:rsidR="00236BCA">
        <w:t xml:space="preserve">. </w:t>
      </w:r>
      <w:r w:rsidR="000F7054">
        <w:t>To further investigate the effect o</w:t>
      </w:r>
      <w:r w:rsidR="00236BCA">
        <w:t>f aversive thoughts</w:t>
      </w:r>
      <w:r w:rsidR="000F7054">
        <w:t>, we conducted two follow</w:t>
      </w:r>
      <w:r w:rsidR="00EF7ADE">
        <w:t>-</w:t>
      </w:r>
      <w:r w:rsidR="000F7054">
        <w:t>up studies</w:t>
      </w:r>
      <w:r w:rsidR="00236BCA">
        <w:t xml:space="preserve"> that manipulated separately </w:t>
      </w:r>
      <w:r w:rsidR="00E83500">
        <w:t xml:space="preserve">value-related </w:t>
      </w:r>
      <w:r w:rsidR="00236BCA">
        <w:t xml:space="preserve">thoughts, which may be less aversive, and </w:t>
      </w:r>
      <w:r w:rsidR="00E83500">
        <w:t xml:space="preserve">healthcare preference-related </w:t>
      </w:r>
      <w:r w:rsidR="00236BCA">
        <w:t xml:space="preserve">thoughts, which may be more aversive. </w:t>
      </w:r>
      <w:r w:rsidR="000F7054">
        <w:t>However, we did not find any evidence</w:t>
      </w:r>
      <w:r w:rsidR="00FE132E">
        <w:t xml:space="preserve"> that value- and preference-related thoughts affected</w:t>
      </w:r>
      <w:r w:rsidR="00236BCA">
        <w:t xml:space="preserve"> </w:t>
      </w:r>
      <w:r w:rsidR="00713A6D">
        <w:t xml:space="preserve">engagement </w:t>
      </w:r>
      <w:r w:rsidR="00FE132E">
        <w:t xml:space="preserve">differently </w:t>
      </w:r>
      <w:r w:rsidR="000F7054">
        <w:t>(</w:t>
      </w:r>
      <w:r w:rsidR="000F7054" w:rsidRPr="00E42B26">
        <w:t xml:space="preserve">see the Web Appendix-Study </w:t>
      </w:r>
      <w:r w:rsidR="002E2B22">
        <w:t>1</w:t>
      </w:r>
      <w:r w:rsidR="000F7054" w:rsidRPr="00E42B26">
        <w:t xml:space="preserve"> for details</w:t>
      </w:r>
      <w:r w:rsidR="000F7054">
        <w:t>)</w:t>
      </w:r>
      <w:r w:rsidR="00FE132E">
        <w:t>.</w:t>
      </w:r>
    </w:p>
    <w:p w14:paraId="4B272809" w14:textId="12503E87" w:rsidR="000F7054" w:rsidRDefault="00236BCA" w:rsidP="000F7054">
      <w:pPr>
        <w:spacing w:line="360" w:lineRule="auto"/>
        <w:ind w:firstLine="720"/>
      </w:pPr>
      <w:r>
        <w:t xml:space="preserve">Study 4 also </w:t>
      </w:r>
      <w:r w:rsidR="000F7054">
        <w:t xml:space="preserve">explored </w:t>
      </w:r>
      <w:r w:rsidR="000F7054">
        <w:rPr>
          <w:color w:val="000000"/>
        </w:rPr>
        <w:t xml:space="preserve">whether values and preferences differed </w:t>
      </w:r>
      <w:r w:rsidR="000F7054" w:rsidRPr="00491813">
        <w:rPr>
          <w:color w:val="000000"/>
        </w:rPr>
        <w:t xml:space="preserve">between </w:t>
      </w:r>
      <w:r w:rsidR="000F7054">
        <w:rPr>
          <w:color w:val="000000"/>
        </w:rPr>
        <w:t>individuals</w:t>
      </w:r>
      <w:r w:rsidR="000F7054" w:rsidRPr="00491813">
        <w:rPr>
          <w:color w:val="000000"/>
        </w:rPr>
        <w:t xml:space="preserve"> with and without ACPs</w:t>
      </w:r>
      <w:r w:rsidR="00757294">
        <w:rPr>
          <w:color w:val="000000"/>
        </w:rPr>
        <w:t xml:space="preserve">. Although </w:t>
      </w:r>
      <w:r w:rsidR="003664A5">
        <w:rPr>
          <w:color w:val="000000"/>
        </w:rPr>
        <w:t>the two</w:t>
      </w:r>
      <w:r w:rsidR="00757294">
        <w:rPr>
          <w:color w:val="000000"/>
        </w:rPr>
        <w:t xml:space="preserve"> groups </w:t>
      </w:r>
      <w:r w:rsidR="003664A5">
        <w:rPr>
          <w:color w:val="000000"/>
        </w:rPr>
        <w:t xml:space="preserve">were largely similar, </w:t>
      </w:r>
      <w:r>
        <w:t>t</w:t>
      </w:r>
      <w:r w:rsidR="00F230D7" w:rsidRPr="00E42B26">
        <w:t xml:space="preserve">hose who have ACPs </w:t>
      </w:r>
      <w:r>
        <w:t xml:space="preserve">cared more about </w:t>
      </w:r>
      <w:r w:rsidR="003B6261">
        <w:t xml:space="preserve">being at peace and </w:t>
      </w:r>
      <w:r w:rsidR="00F230D7" w:rsidRPr="00E42B26">
        <w:t>avoid</w:t>
      </w:r>
      <w:r w:rsidR="003B6261">
        <w:t>ing</w:t>
      </w:r>
      <w:r w:rsidR="00F230D7" w:rsidRPr="00E42B26">
        <w:t xml:space="preserve"> </w:t>
      </w:r>
      <w:r w:rsidR="000008D9">
        <w:t xml:space="preserve">invasive </w:t>
      </w:r>
      <w:r>
        <w:t>life-sustaining treatments</w:t>
      </w:r>
      <w:r w:rsidR="003B6261">
        <w:t xml:space="preserve"> </w:t>
      </w:r>
      <w:r>
        <w:t>than those who do not have ACPs</w:t>
      </w:r>
      <w:r w:rsidR="000F7054">
        <w:t>,</w:t>
      </w:r>
      <w:r w:rsidR="00176BA5">
        <w:t xml:space="preserve"> </w:t>
      </w:r>
      <w:r w:rsidR="000F7054">
        <w:t xml:space="preserve">which was </w:t>
      </w:r>
      <w:r w:rsidR="00BE279F">
        <w:t xml:space="preserve">in line with </w:t>
      </w:r>
      <w:r w:rsidR="000F7054" w:rsidRPr="00E42B26">
        <w:t>Study 2</w:t>
      </w:r>
      <w:r w:rsidR="00BE279F">
        <w:t>’s findings</w:t>
      </w:r>
      <w:r w:rsidR="000F7054">
        <w:t xml:space="preserve"> </w:t>
      </w:r>
      <w:r w:rsidR="00FE132E">
        <w:t>that these</w:t>
      </w:r>
      <w:r w:rsidR="00F230D7" w:rsidRPr="00E42B26">
        <w:t xml:space="preserve"> preferences </w:t>
      </w:r>
      <w:r w:rsidR="00AF258A">
        <w:t>are</w:t>
      </w:r>
      <w:r w:rsidR="00FE132E">
        <w:t xml:space="preserve"> associated with greater </w:t>
      </w:r>
      <w:r w:rsidR="00176BA5">
        <w:t xml:space="preserve">intentions to create </w:t>
      </w:r>
      <w:r w:rsidR="00F230D7" w:rsidRPr="00E42B26">
        <w:t>ACP</w:t>
      </w:r>
      <w:r w:rsidR="00FE17CE">
        <w:t>s</w:t>
      </w:r>
      <w:r w:rsidR="00F230D7" w:rsidRPr="00E42B26">
        <w:t>.</w:t>
      </w:r>
      <w:r w:rsidR="00176BA5">
        <w:t xml:space="preserve"> </w:t>
      </w:r>
    </w:p>
    <w:p w14:paraId="4EBCD8BC" w14:textId="77698403" w:rsidR="00043B73" w:rsidRPr="00E42B26" w:rsidRDefault="00043B73" w:rsidP="001B4F08">
      <w:pPr>
        <w:pStyle w:val="Heading1"/>
        <w:rPr>
          <w:lang w:eastAsia="de-DE"/>
        </w:rPr>
      </w:pPr>
      <w:r w:rsidRPr="00E42B26">
        <w:rPr>
          <w:lang w:eastAsia="de-DE"/>
        </w:rPr>
        <w:t>General Discussion</w:t>
      </w:r>
    </w:p>
    <w:p w14:paraId="0849A577" w14:textId="1085197F" w:rsidR="001A7C1A" w:rsidRDefault="00043B73" w:rsidP="007D6844">
      <w:pPr>
        <w:spacing w:line="360" w:lineRule="auto"/>
        <w:ind w:firstLine="709"/>
      </w:pPr>
      <w:r w:rsidRPr="00E42B26">
        <w:t>A</w:t>
      </w:r>
      <w:r w:rsidR="00642A94">
        <w:t xml:space="preserve">dvance Care Planning has </w:t>
      </w:r>
      <w:r w:rsidRPr="00E42B26">
        <w:t>the potential to increase personal, family, and societal welfare by ensuring that individuals receive the care they desire and by reducing medical costs for critical treatments (Zhang et al. 2009</w:t>
      </w:r>
      <w:r w:rsidR="00DA2D6D">
        <w:t xml:space="preserve">; </w:t>
      </w:r>
      <w:r w:rsidR="00DA2D6D" w:rsidRPr="00E42B26">
        <w:t>Detering et al. 2010</w:t>
      </w:r>
      <w:r w:rsidRPr="00E42B26">
        <w:t xml:space="preserve">). Despite these benefits, few people worldwide have </w:t>
      </w:r>
      <w:r w:rsidR="000B3BB1">
        <w:t>ACP</w:t>
      </w:r>
      <w:r w:rsidR="00FE17CE">
        <w:t>s</w:t>
      </w:r>
      <w:r w:rsidR="000B3BB1">
        <w:t xml:space="preserve">. </w:t>
      </w:r>
    </w:p>
    <w:p w14:paraId="56146A2E" w14:textId="40C90C2B" w:rsidR="00B30576" w:rsidRDefault="00043B73" w:rsidP="00B30576">
      <w:pPr>
        <w:spacing w:line="360" w:lineRule="auto"/>
        <w:ind w:firstLine="709"/>
        <w:rPr>
          <w:highlight w:val="yellow"/>
        </w:rPr>
      </w:pPr>
      <w:r w:rsidRPr="00E42B26">
        <w:t xml:space="preserve">To understand </w:t>
      </w:r>
      <w:r w:rsidR="003207B8" w:rsidRPr="00E42B26">
        <w:t xml:space="preserve">what factors are associated with the decision to engage in advance care planning, </w:t>
      </w:r>
      <w:r w:rsidRPr="00E42B26">
        <w:t xml:space="preserve">we examined </w:t>
      </w:r>
      <w:r w:rsidR="00C932FE">
        <w:t xml:space="preserve">individual </w:t>
      </w:r>
      <w:r w:rsidR="00C44DA0" w:rsidRPr="00E42B26">
        <w:t xml:space="preserve">values and </w:t>
      </w:r>
      <w:r w:rsidR="00334923">
        <w:t xml:space="preserve">healthcare </w:t>
      </w:r>
      <w:r w:rsidRPr="00E42B26">
        <w:t>preferences</w:t>
      </w:r>
      <w:r w:rsidR="003207B8" w:rsidRPr="00B30576">
        <w:t xml:space="preserve">. </w:t>
      </w:r>
      <w:r w:rsidR="00217E71" w:rsidRPr="00B30576">
        <w:t>W</w:t>
      </w:r>
      <w:r w:rsidR="008F425E" w:rsidRPr="00B30576">
        <w:t>e</w:t>
      </w:r>
      <w:r w:rsidR="001A7C1A" w:rsidRPr="00B30576">
        <w:t xml:space="preserve"> </w:t>
      </w:r>
      <w:r w:rsidR="00BE279F" w:rsidRPr="0039717A">
        <w:t xml:space="preserve">found that </w:t>
      </w:r>
      <w:r w:rsidR="00B30576" w:rsidRPr="00B30576">
        <w:t>ACP</w:t>
      </w:r>
      <w:r w:rsidR="00B30576">
        <w:t xml:space="preserve"> holders and non-holders largely have common values and preferences, that similarly vary with demographics; for example</w:t>
      </w:r>
      <w:r w:rsidR="00B30576" w:rsidRPr="00B30576">
        <w:t xml:space="preserve">, </w:t>
      </w:r>
      <w:r w:rsidR="00B30576" w:rsidRPr="0039717A">
        <w:t>both older ACP holders and non-holders had a greater preference for being able to care for themselves and avoiding invasive life-sustaining treatments than younger ones</w:t>
      </w:r>
      <w:r w:rsidR="00B30576">
        <w:t xml:space="preserve"> (</w:t>
      </w:r>
      <w:r w:rsidR="00551A64">
        <w:t>S</w:t>
      </w:r>
      <w:r w:rsidR="00B30576">
        <w:t xml:space="preserve">tudies 1 and 2). These two groups also differ </w:t>
      </w:r>
      <w:r w:rsidR="00C771D7">
        <w:t>consistently across studies</w:t>
      </w:r>
      <w:r w:rsidR="00B30576">
        <w:t>: those who have, as well as those who intend to create, ACPs (versus not) have a greater preference to avoid invasive life-sustaining treatments and to have a more peaceful end of life (</w:t>
      </w:r>
      <w:r w:rsidR="00551A64">
        <w:t>S</w:t>
      </w:r>
      <w:r w:rsidR="00B30576">
        <w:t xml:space="preserve">tudies 2 and 4). </w:t>
      </w:r>
    </w:p>
    <w:p w14:paraId="3CE35087" w14:textId="7D1F688D" w:rsidR="00E13A1B" w:rsidRPr="00071EC0" w:rsidRDefault="004B2BF3" w:rsidP="007D6844">
      <w:pPr>
        <w:spacing w:line="360" w:lineRule="auto"/>
        <w:ind w:firstLine="709"/>
      </w:pPr>
      <w:r>
        <w:t>We sought to</w:t>
      </w:r>
      <w:r w:rsidR="001A7C1A">
        <w:t xml:space="preserve"> </w:t>
      </w:r>
      <w:r w:rsidR="001A7C1A" w:rsidRPr="00BE279F">
        <w:t xml:space="preserve">build on these </w:t>
      </w:r>
      <w:r w:rsidR="00217E71" w:rsidRPr="00BE279F">
        <w:t xml:space="preserve">similarities and </w:t>
      </w:r>
      <w:r w:rsidR="001A7C1A" w:rsidRPr="00BE279F">
        <w:t>differences</w:t>
      </w:r>
      <w:r w:rsidR="001A7C1A">
        <w:t xml:space="preserve"> to create i</w:t>
      </w:r>
      <w:r w:rsidR="00926545" w:rsidRPr="008052C1">
        <w:t xml:space="preserve">nterventions </w:t>
      </w:r>
      <w:r w:rsidR="001A7C1A">
        <w:t xml:space="preserve">that could affect ACP engagement; however, </w:t>
      </w:r>
      <w:r w:rsidR="006355EF" w:rsidRPr="008052C1">
        <w:t>highlight</w:t>
      </w:r>
      <w:r w:rsidR="00071EC0">
        <w:t xml:space="preserve">ing </w:t>
      </w:r>
      <w:r w:rsidR="006355EF" w:rsidRPr="008052C1">
        <w:t xml:space="preserve">values and preferences </w:t>
      </w:r>
      <w:r w:rsidR="00A96533" w:rsidRPr="008052C1">
        <w:t>for</w:t>
      </w:r>
      <w:r w:rsidR="006355EF" w:rsidRPr="008052C1">
        <w:t xml:space="preserve"> </w:t>
      </w:r>
      <w:r w:rsidR="00217E71">
        <w:t xml:space="preserve">similar </w:t>
      </w:r>
      <w:r w:rsidR="006355EF" w:rsidRPr="008052C1">
        <w:t xml:space="preserve">others </w:t>
      </w:r>
      <w:r w:rsidR="00D22F62" w:rsidRPr="008052C1">
        <w:t xml:space="preserve">(Study 3) </w:t>
      </w:r>
      <w:r w:rsidR="006355EF" w:rsidRPr="008052C1">
        <w:t xml:space="preserve">or </w:t>
      </w:r>
      <w:r w:rsidR="00A96533" w:rsidRPr="008052C1">
        <w:t>for</w:t>
      </w:r>
      <w:r w:rsidR="00E12300" w:rsidRPr="008052C1">
        <w:t xml:space="preserve"> </w:t>
      </w:r>
      <w:r w:rsidR="006355EF" w:rsidRPr="008052C1">
        <w:t xml:space="preserve">the self </w:t>
      </w:r>
      <w:r w:rsidR="00D22F62" w:rsidRPr="008052C1">
        <w:t xml:space="preserve">(Study 4) </w:t>
      </w:r>
      <w:r w:rsidR="00926545" w:rsidRPr="008052C1">
        <w:t xml:space="preserve">did not </w:t>
      </w:r>
      <w:r w:rsidR="00A96533" w:rsidRPr="008052C1">
        <w:t xml:space="preserve">consistently </w:t>
      </w:r>
      <w:r w:rsidR="00926545" w:rsidRPr="008052C1">
        <w:t xml:space="preserve">increase, and in some cases even decreased, </w:t>
      </w:r>
      <w:r w:rsidR="00926545" w:rsidRPr="008052C1">
        <w:lastRenderedPageBreak/>
        <w:t>engagement with ACPs</w:t>
      </w:r>
      <w:r w:rsidR="00F52460">
        <w:t xml:space="preserve">. </w:t>
      </w:r>
      <w:r w:rsidR="00A96533" w:rsidRPr="00E42B26">
        <w:t xml:space="preserve">Future research could explore </w:t>
      </w:r>
      <w:r w:rsidR="0029301D">
        <w:t xml:space="preserve">whether </w:t>
      </w:r>
      <w:r w:rsidR="00A96533" w:rsidRPr="00E42B26">
        <w:t xml:space="preserve">other ways of manipulating </w:t>
      </w:r>
      <w:r w:rsidR="0029301D">
        <w:t xml:space="preserve">values and preferences could be more effective. </w:t>
      </w:r>
      <w:r w:rsidR="00A96533" w:rsidRPr="00E42B26">
        <w:t xml:space="preserve">Such manipulations might include information on how many </w:t>
      </w:r>
      <w:r w:rsidR="00B4537F">
        <w:t xml:space="preserve">similar </w:t>
      </w:r>
      <w:r w:rsidR="00A96533" w:rsidRPr="00E42B26">
        <w:t>others have created ACPs</w:t>
      </w:r>
      <w:r w:rsidR="00F52460">
        <w:t xml:space="preserve">, as well as </w:t>
      </w:r>
      <w:r w:rsidR="00A96533" w:rsidRPr="00E42B26">
        <w:t>more engaging and vivid narratives from others</w:t>
      </w:r>
      <w:r w:rsidR="008500E7">
        <w:t>.</w:t>
      </w:r>
      <w:r w:rsidR="00A96533">
        <w:t xml:space="preserve"> </w:t>
      </w:r>
      <w:r w:rsidR="008500E7">
        <w:t>A</w:t>
      </w:r>
      <w:r w:rsidR="00A96533">
        <w:t>ccordingly</w:t>
      </w:r>
      <w:r w:rsidR="00A96533" w:rsidRPr="00E42B26">
        <w:t xml:space="preserve">, the </w:t>
      </w:r>
      <w:r w:rsidR="008500E7">
        <w:t>use</w:t>
      </w:r>
      <w:r w:rsidR="00A96533" w:rsidRPr="00E42B26">
        <w:t xml:space="preserve"> of digital technologies in the preparation of ACPs </w:t>
      </w:r>
      <w:r w:rsidR="007410BD">
        <w:t xml:space="preserve">may increase engagement </w:t>
      </w:r>
      <w:r w:rsidR="00A96533" w:rsidRPr="00E42B26">
        <w:t xml:space="preserve">not only </w:t>
      </w:r>
      <w:r w:rsidR="007410BD">
        <w:t xml:space="preserve">by </w:t>
      </w:r>
      <w:r w:rsidR="00A96533" w:rsidRPr="00E42B26">
        <w:t>facilitat</w:t>
      </w:r>
      <w:r w:rsidR="007410BD">
        <w:t>ing</w:t>
      </w:r>
      <w:r w:rsidR="00A96533" w:rsidRPr="00E42B26">
        <w:t xml:space="preserve"> the creation, update, and access of individuals’ plans but also </w:t>
      </w:r>
      <w:r w:rsidR="007410BD">
        <w:t xml:space="preserve">by </w:t>
      </w:r>
      <w:r w:rsidR="00A96533" w:rsidRPr="00E42B26">
        <w:t>mak</w:t>
      </w:r>
      <w:r w:rsidR="007410BD">
        <w:t xml:space="preserve">ing </w:t>
      </w:r>
      <w:r w:rsidR="00A96533" w:rsidRPr="00E42B26">
        <w:t xml:space="preserve">the process more similar to a personal journey than to </w:t>
      </w:r>
      <w:r w:rsidR="00A96533" w:rsidRPr="00071EC0">
        <w:t>a legal requirement (</w:t>
      </w:r>
      <w:r w:rsidR="00BB3257" w:rsidRPr="00071EC0">
        <w:t xml:space="preserve">see </w:t>
      </w:r>
      <w:r w:rsidR="00A96533" w:rsidRPr="00071EC0">
        <w:t xml:space="preserve">Table </w:t>
      </w:r>
      <w:r w:rsidR="000C2C36">
        <w:t>2</w:t>
      </w:r>
      <w:r w:rsidR="00BB3257" w:rsidRPr="00071EC0">
        <w:t>, which suggests future research</w:t>
      </w:r>
      <w:r w:rsidR="000C2C36">
        <w:t xml:space="preserve"> ideas</w:t>
      </w:r>
      <w:r w:rsidR="00A96533" w:rsidRPr="00071EC0">
        <w:t>).</w:t>
      </w:r>
    </w:p>
    <w:p w14:paraId="7AB7F306" w14:textId="632EAE33" w:rsidR="00DB201B" w:rsidRDefault="00071EC0" w:rsidP="007D6844">
      <w:pPr>
        <w:spacing w:line="360" w:lineRule="auto"/>
        <w:ind w:firstLine="709"/>
      </w:pPr>
      <w:r>
        <w:t>In addition to devis</w:t>
      </w:r>
      <w:r w:rsidR="004B52D3">
        <w:t>ing</w:t>
      </w:r>
      <w:r>
        <w:t xml:space="preserve"> more effective interventions targeting values and preferences, future research could adopt </w:t>
      </w:r>
      <w:r w:rsidR="004B52D3">
        <w:t xml:space="preserve">other </w:t>
      </w:r>
      <w:r>
        <w:t xml:space="preserve">approaches. One approach might </w:t>
      </w:r>
      <w:r w:rsidR="00DD028B">
        <w:t xml:space="preserve">involve </w:t>
      </w:r>
      <w:r w:rsidR="00DB201B" w:rsidRPr="00071EC0">
        <w:t>t</w:t>
      </w:r>
      <w:r w:rsidR="00DD028B">
        <w:t xml:space="preserve">argeting </w:t>
      </w:r>
      <w:r w:rsidR="00DD028B" w:rsidRPr="00071EC0">
        <w:t>psychological traits</w:t>
      </w:r>
      <w:r w:rsidR="00DD028B">
        <w:t xml:space="preserve"> </w:t>
      </w:r>
      <w:r w:rsidR="00DD028B" w:rsidRPr="00071EC0">
        <w:t>associated with having or intending to create ACPs</w:t>
      </w:r>
      <w:r w:rsidR="00217E71">
        <w:t xml:space="preserve">. </w:t>
      </w:r>
      <w:r w:rsidR="00CE4A03" w:rsidRPr="00071EC0">
        <w:t xml:space="preserve">In study 2, we </w:t>
      </w:r>
      <w:r w:rsidR="00DD028B">
        <w:t xml:space="preserve">explored this possibility and </w:t>
      </w:r>
      <w:r w:rsidR="00CE4A03" w:rsidRPr="00071EC0">
        <w:t xml:space="preserve">identified several traits that correlated with </w:t>
      </w:r>
      <w:r w:rsidR="004B52D3">
        <w:t xml:space="preserve">ACP-creation </w:t>
      </w:r>
      <w:r w:rsidR="00CE4A03" w:rsidRPr="00071EC0">
        <w:t>intentions (e.g., desire for control, mortality salience).</w:t>
      </w:r>
      <w:r w:rsidR="008425BA" w:rsidRPr="00071EC0">
        <w:rPr>
          <w:rStyle w:val="FootnoteReference"/>
        </w:rPr>
        <w:footnoteReference w:id="3"/>
      </w:r>
      <w:r w:rsidR="00CE4A03" w:rsidRPr="00071EC0">
        <w:t xml:space="preserve"> </w:t>
      </w:r>
      <w:r w:rsidR="00640858">
        <w:t>Although</w:t>
      </w:r>
      <w:r w:rsidR="00CE4A03" w:rsidRPr="00071EC0">
        <w:t xml:space="preserve"> follow</w:t>
      </w:r>
      <w:r w:rsidR="00DD028B">
        <w:t>-</w:t>
      </w:r>
      <w:r w:rsidR="00CE4A03" w:rsidRPr="00071EC0">
        <w:t>up studies manipulat</w:t>
      </w:r>
      <w:r w:rsidR="00DD028B">
        <w:t xml:space="preserve">ing </w:t>
      </w:r>
      <w:r w:rsidR="00CE4A03" w:rsidRPr="00071EC0">
        <w:t>those factors</w:t>
      </w:r>
      <w:r w:rsidR="00DD028B">
        <w:t xml:space="preserve"> did not </w:t>
      </w:r>
      <w:r w:rsidR="004B52D3">
        <w:t>influence</w:t>
      </w:r>
      <w:r w:rsidR="00640858">
        <w:t xml:space="preserve"> </w:t>
      </w:r>
      <w:r w:rsidR="00CE4A03" w:rsidRPr="00071EC0">
        <w:t>ACP-creation intentions</w:t>
      </w:r>
      <w:r w:rsidR="00640858">
        <w:t>, o</w:t>
      </w:r>
      <w:r w:rsidR="00CE4A03" w:rsidRPr="00071EC0">
        <w:t>ther psychological factors</w:t>
      </w:r>
      <w:r w:rsidR="00640858">
        <w:t xml:space="preserve"> could be investigated. For example, trait reactance </w:t>
      </w:r>
      <w:r w:rsidR="00F52460" w:rsidRPr="00071EC0">
        <w:t xml:space="preserve">could </w:t>
      </w:r>
      <w:r w:rsidR="00CE4A03" w:rsidRPr="00071EC0">
        <w:t>explain some of our unexpected reversals.</w:t>
      </w:r>
      <w:r w:rsidR="00CE4A03">
        <w:t xml:space="preserve"> </w:t>
      </w:r>
    </w:p>
    <w:p w14:paraId="71671484" w14:textId="0AB50905" w:rsidR="00731537" w:rsidRPr="00E42B26" w:rsidRDefault="00731537" w:rsidP="00F45600">
      <w:pPr>
        <w:spacing w:line="360" w:lineRule="auto"/>
        <w:ind w:firstLine="709"/>
        <w:rPr>
          <w:b/>
          <w:iCs/>
        </w:rPr>
      </w:pPr>
      <w:r>
        <w:t>A</w:t>
      </w:r>
      <w:r w:rsidR="00640858">
        <w:t xml:space="preserve">nother approach might </w:t>
      </w:r>
      <w:r w:rsidR="00926545" w:rsidRPr="00E42B26">
        <w:t xml:space="preserve">examine </w:t>
      </w:r>
      <w:r w:rsidR="006355EF">
        <w:t xml:space="preserve">structural </w:t>
      </w:r>
      <w:r w:rsidR="00926545">
        <w:t>interventions</w:t>
      </w:r>
      <w:r w:rsidR="0081247B">
        <w:t>, which</w:t>
      </w:r>
      <w:r w:rsidR="00926545">
        <w:t xml:space="preserve"> </w:t>
      </w:r>
      <w:r w:rsidR="0081247B">
        <w:rPr>
          <w:bCs/>
          <w:iCs/>
        </w:rPr>
        <w:t xml:space="preserve">involve different </w:t>
      </w:r>
      <w:r w:rsidR="0081247B" w:rsidRPr="00E42B26">
        <w:t xml:space="preserve">stakeholders </w:t>
      </w:r>
      <w:r w:rsidR="0081247B">
        <w:t xml:space="preserve">and aim to </w:t>
      </w:r>
      <w:r w:rsidR="0081247B" w:rsidRPr="00E42B26">
        <w:t>change procedures, rules, or institutions</w:t>
      </w:r>
      <w:r w:rsidR="00F45600">
        <w:t xml:space="preserve">. </w:t>
      </w:r>
      <w:r w:rsidR="00996952">
        <w:t xml:space="preserve">A similar </w:t>
      </w:r>
      <w:r>
        <w:t xml:space="preserve">solution </w:t>
      </w:r>
      <w:r w:rsidR="00996952">
        <w:t xml:space="preserve">has </w:t>
      </w:r>
      <w:r w:rsidR="000971DC" w:rsidRPr="00E42B26">
        <w:t xml:space="preserve">been advocated </w:t>
      </w:r>
      <w:r w:rsidR="00043B73" w:rsidRPr="00E42B26">
        <w:t>to reduce prejudice, since</w:t>
      </w:r>
      <w:r w:rsidR="00CE4A03">
        <w:t>,</w:t>
      </w:r>
      <w:r w:rsidR="00043B73" w:rsidRPr="00E42B26">
        <w:t xml:space="preserve"> </w:t>
      </w:r>
      <w:r w:rsidR="00CE4A03">
        <w:t>in th</w:t>
      </w:r>
      <w:r w:rsidR="00B4537F">
        <w:t>at</w:t>
      </w:r>
      <w:r w:rsidR="00CE4A03">
        <w:t xml:space="preserve"> domain too, </w:t>
      </w:r>
      <w:r w:rsidR="00043B73" w:rsidRPr="00E42B26">
        <w:t xml:space="preserve">psychological interventions </w:t>
      </w:r>
      <w:r w:rsidR="0081247B">
        <w:t xml:space="preserve">do not </w:t>
      </w:r>
      <w:r w:rsidR="00043B73" w:rsidRPr="00E42B26">
        <w:t>have large effects (Paluck</w:t>
      </w:r>
      <w:r w:rsidR="00DA2D6D">
        <w:t xml:space="preserve"> et al.</w:t>
      </w:r>
      <w:r w:rsidR="00043B73" w:rsidRPr="00E42B26">
        <w:t xml:space="preserve"> 2021</w:t>
      </w:r>
      <w:r w:rsidR="00F45600">
        <w:t>).</w:t>
      </w:r>
      <w:r w:rsidR="00181A5D" w:rsidRPr="00181A5D">
        <w:t xml:space="preserve"> </w:t>
      </w:r>
      <w:r>
        <w:t xml:space="preserve">We tested one </w:t>
      </w:r>
      <w:r w:rsidR="00F45600">
        <w:t xml:space="preserve">such </w:t>
      </w:r>
      <w:r w:rsidR="001D4D24">
        <w:t xml:space="preserve">structural </w:t>
      </w:r>
      <w:r>
        <w:t xml:space="preserve">intervention in a study that examined normalizing the advance care planning process. </w:t>
      </w:r>
      <w:r w:rsidR="00F45600">
        <w:t>E</w:t>
      </w:r>
      <w:r w:rsidRPr="00E42B26">
        <w:t xml:space="preserve">vents and behaviors </w:t>
      </w:r>
      <w:r w:rsidR="00F45600">
        <w:t xml:space="preserve">that are perceived as normal or average </w:t>
      </w:r>
      <w:r w:rsidR="00217E71">
        <w:t>generate</w:t>
      </w:r>
      <w:r w:rsidRPr="00E42B26">
        <w:t xml:space="preserve"> fewer counterfactuals and more muted emotional responses than exceptions (Kahneman and Miller 1986). Given that </w:t>
      </w:r>
      <w:r>
        <w:t xml:space="preserve">the </w:t>
      </w:r>
      <w:r w:rsidRPr="00E42B26">
        <w:t>emotion</w:t>
      </w:r>
      <w:r>
        <w:t xml:space="preserve">s elicited by </w:t>
      </w:r>
      <w:r w:rsidRPr="00E42B26">
        <w:t>advance care planning have been indicated as potential causes for its low uptake (Wilkinson et al. 2007</w:t>
      </w:r>
      <w:r w:rsidR="00DA2D6D">
        <w:t xml:space="preserve">; </w:t>
      </w:r>
      <w:r w:rsidR="00DA2D6D" w:rsidRPr="00E42B26">
        <w:t>Morrison 2020</w:t>
      </w:r>
      <w:r w:rsidRPr="00E42B26">
        <w:t xml:space="preserve">), we tested whether </w:t>
      </w:r>
      <w:r>
        <w:t xml:space="preserve">normalizing the </w:t>
      </w:r>
      <w:r w:rsidR="00181A5D">
        <w:t xml:space="preserve">ACP-creation </w:t>
      </w:r>
      <w:r>
        <w:t xml:space="preserve">decision </w:t>
      </w:r>
      <w:r w:rsidRPr="00E42B26">
        <w:t>increase</w:t>
      </w:r>
      <w:r>
        <w:t>s</w:t>
      </w:r>
      <w:r w:rsidRPr="00E42B26">
        <w:t xml:space="preserve"> engagement</w:t>
      </w:r>
      <w:r w:rsidR="00B4537F">
        <w:t xml:space="preserve"> </w:t>
      </w:r>
      <w:r w:rsidRPr="00E42B26">
        <w:t xml:space="preserve">by embedding </w:t>
      </w:r>
      <w:r w:rsidR="00F45600">
        <w:t xml:space="preserve">it </w:t>
      </w:r>
      <w:r w:rsidRPr="00E42B26">
        <w:t xml:space="preserve">into another unrelated, routine </w:t>
      </w:r>
      <w:r w:rsidR="0081247B">
        <w:t xml:space="preserve">administrative </w:t>
      </w:r>
      <w:r w:rsidRPr="00E42B26">
        <w:t>process.</w:t>
      </w:r>
    </w:p>
    <w:p w14:paraId="636C8B8E" w14:textId="3978F0C3" w:rsidR="00731537" w:rsidRPr="00E42B26" w:rsidRDefault="00731537" w:rsidP="00731537">
      <w:pPr>
        <w:spacing w:line="360" w:lineRule="auto"/>
      </w:pPr>
      <w:r w:rsidRPr="00E42B26">
        <w:tab/>
        <w:t>We recruited 302 mTurk participants (</w:t>
      </w:r>
      <w:r w:rsidRPr="00E42B26">
        <w:rPr>
          <w:i/>
          <w:iCs/>
        </w:rPr>
        <w:t>M</w:t>
      </w:r>
      <w:r w:rsidRPr="00E42B26">
        <w:rPr>
          <w:vertAlign w:val="subscript"/>
        </w:rPr>
        <w:t>age</w:t>
      </w:r>
      <w:r w:rsidRPr="00E42B26">
        <w:t xml:space="preserve"> = 37.8; 45.4% male, 54.0% female, 0.7% non-binary)</w:t>
      </w:r>
      <w:r>
        <w:t xml:space="preserve"> who were assigned to either a C</w:t>
      </w:r>
      <w:r w:rsidRPr="00E42B26">
        <w:t>ontrol</w:t>
      </w:r>
      <w:r>
        <w:t xml:space="preserve"> or a Normalizing condition. Participants in the Control condition </w:t>
      </w:r>
      <w:r w:rsidRPr="00E42B26">
        <w:t>read information about ACP</w:t>
      </w:r>
      <w:r>
        <w:t>s</w:t>
      </w:r>
      <w:r w:rsidRPr="00E42B26">
        <w:t xml:space="preserve"> as in the previous stud</w:t>
      </w:r>
      <w:r w:rsidR="000B66AA">
        <w:t>ies</w:t>
      </w:r>
      <w:r>
        <w:t>; those in th</w:t>
      </w:r>
      <w:r w:rsidRPr="00E42B26">
        <w:t xml:space="preserve">e </w:t>
      </w:r>
      <w:r>
        <w:t>N</w:t>
      </w:r>
      <w:r w:rsidRPr="00E42B26">
        <w:t>ormalizing condition</w:t>
      </w:r>
      <w:r>
        <w:t xml:space="preserve"> </w:t>
      </w:r>
      <w:r w:rsidRPr="00E42B26">
        <w:t xml:space="preserve">imagined </w:t>
      </w:r>
      <w:r>
        <w:t xml:space="preserve">applying for a driver’s license in </w:t>
      </w:r>
      <w:r w:rsidRPr="00E42B26">
        <w:t>a different country</w:t>
      </w:r>
      <w:r>
        <w:t xml:space="preserve">, </w:t>
      </w:r>
      <w:r w:rsidRPr="00E42B26">
        <w:t>undergoing a brief medical examination</w:t>
      </w:r>
      <w:r>
        <w:t>,</w:t>
      </w:r>
      <w:r w:rsidRPr="00E42B26">
        <w:t xml:space="preserve"> and getting information about both organ donation and </w:t>
      </w:r>
      <w:r w:rsidR="00F45600">
        <w:t xml:space="preserve">ACPs </w:t>
      </w:r>
      <w:r w:rsidRPr="00E42B26">
        <w:t xml:space="preserve">(the same as in the </w:t>
      </w:r>
      <w:r>
        <w:t>C</w:t>
      </w:r>
      <w:r w:rsidRPr="00E42B26">
        <w:t>ontrol condition; for full scenario, see Web Appendix</w:t>
      </w:r>
      <w:r w:rsidR="007318F5">
        <w:t xml:space="preserve">-Study </w:t>
      </w:r>
      <w:r w:rsidR="002E2B22">
        <w:t>2</w:t>
      </w:r>
      <w:r w:rsidRPr="00E42B26">
        <w:t xml:space="preserve">). Next, </w:t>
      </w:r>
      <w:r w:rsidRPr="00E42B26">
        <w:lastRenderedPageBreak/>
        <w:t xml:space="preserve">participants answered the same </w:t>
      </w:r>
      <w:r w:rsidR="00340653">
        <w:t xml:space="preserve">ACP engagement </w:t>
      </w:r>
      <w:r w:rsidRPr="00E42B26">
        <w:t xml:space="preserve">questions </w:t>
      </w:r>
      <w:r>
        <w:t>used in Study 4.</w:t>
      </w:r>
      <w:r w:rsidRPr="00E42B26">
        <w:t xml:space="preserve"> </w:t>
      </w:r>
      <w:r w:rsidR="00F45600">
        <w:t>T</w:t>
      </w:r>
      <w:r w:rsidRPr="00E42B26">
        <w:t xml:space="preserve">wo hundred thirty-two participants (76.8%) reported not having an ACP. Those in the </w:t>
      </w:r>
      <w:r>
        <w:t>N</w:t>
      </w:r>
      <w:r w:rsidRPr="00E42B26">
        <w:t xml:space="preserve">ormalizing condition were </w:t>
      </w:r>
      <w:r w:rsidR="00FE17CE">
        <w:t>marginally</w:t>
      </w:r>
      <w:r w:rsidR="00FE17CE" w:rsidRPr="00E42B26">
        <w:t xml:space="preserve"> </w:t>
      </w:r>
      <w:r w:rsidRPr="00E42B26">
        <w:t>more likely to ask for information</w:t>
      </w:r>
      <w:r w:rsidR="00F45600">
        <w:t xml:space="preserve"> about ACPs</w:t>
      </w:r>
      <w:r w:rsidRPr="00E42B26">
        <w:t xml:space="preserve"> (41.4%) than those in the </w:t>
      </w:r>
      <w:r w:rsidR="001B68DF">
        <w:t>C</w:t>
      </w:r>
      <w:r w:rsidRPr="00E42B26">
        <w:t xml:space="preserve">ontrol condition (31.0%), </w:t>
      </w:r>
      <w:r w:rsidRPr="00E42B26">
        <w:rPr>
          <w:i/>
          <w:iCs/>
        </w:rPr>
        <w:t>X</w:t>
      </w:r>
      <w:r w:rsidRPr="00E42B26">
        <w:rPr>
          <w:vertAlign w:val="superscript"/>
        </w:rPr>
        <w:t>2</w:t>
      </w:r>
      <w:r w:rsidRPr="00E42B26">
        <w:t xml:space="preserve">(1) = 2.69, </w:t>
      </w:r>
      <w:r w:rsidRPr="00E42B26">
        <w:rPr>
          <w:i/>
          <w:iCs/>
        </w:rPr>
        <w:t>p</w:t>
      </w:r>
      <w:r w:rsidRPr="00E42B26">
        <w:t xml:space="preserve"> = </w:t>
      </w:r>
      <w:r w:rsidR="000A5B79">
        <w:t>.10</w:t>
      </w:r>
      <w:r w:rsidRPr="00E42B26">
        <w:t xml:space="preserve">. </w:t>
      </w:r>
      <w:r w:rsidRPr="00BA0A83">
        <w:t xml:space="preserve">The effect </w:t>
      </w:r>
      <w:r w:rsidR="00F45600">
        <w:t>was</w:t>
      </w:r>
      <w:r w:rsidRPr="00BA0A83">
        <w:t xml:space="preserve"> significant when controlling for </w:t>
      </w:r>
      <w:r w:rsidR="00BA0A83" w:rsidRPr="00B14DE1">
        <w:t>consideration</w:t>
      </w:r>
      <w:r w:rsidRPr="00BA0A83">
        <w:t>,</w:t>
      </w:r>
      <w:r w:rsidR="00BA0A83" w:rsidRPr="00B14DE1">
        <w:t xml:space="preserve"> which unexpectedly varied across condition</w:t>
      </w:r>
      <w:r w:rsidR="00B4537F">
        <w:t>s</w:t>
      </w:r>
      <w:r w:rsidR="00BA0A83" w:rsidRPr="00B14DE1">
        <w:t xml:space="preserve"> in the opposite direction</w:t>
      </w:r>
      <w:r w:rsidR="00B14DE1">
        <w:t xml:space="preserve"> than predicted (</w:t>
      </w:r>
      <w:r w:rsidRPr="00BA0A83">
        <w:rPr>
          <w:i/>
          <w:iCs/>
        </w:rPr>
        <w:t>p</w:t>
      </w:r>
      <w:r w:rsidRPr="00BA0A83">
        <w:t xml:space="preserve"> = .004</w:t>
      </w:r>
      <w:r w:rsidR="00B14DE1">
        <w:t>)</w:t>
      </w:r>
      <w:r w:rsidRPr="00BA0A83">
        <w:t>. However, we did not find a significant effect on</w:t>
      </w:r>
      <w:r w:rsidR="00724BED">
        <w:t xml:space="preserve"> ACP creation </w:t>
      </w:r>
      <w:r w:rsidRPr="00BA0A83">
        <w:t xml:space="preserve">intentions, </w:t>
      </w:r>
      <w:r w:rsidRPr="0069777A">
        <w:rPr>
          <w:i/>
          <w:iCs/>
        </w:rPr>
        <w:t>F</w:t>
      </w:r>
      <w:r w:rsidR="00625A50">
        <w:rPr>
          <w:i/>
          <w:iCs/>
        </w:rPr>
        <w:t xml:space="preserve"> </w:t>
      </w:r>
      <w:r w:rsidRPr="0069777A">
        <w:t xml:space="preserve">(1, 230) = 0.41, </w:t>
      </w:r>
      <w:r w:rsidRPr="0069777A">
        <w:rPr>
          <w:i/>
          <w:iCs/>
        </w:rPr>
        <w:t>p</w:t>
      </w:r>
      <w:r w:rsidRPr="0069777A">
        <w:t xml:space="preserve"> = </w:t>
      </w:r>
      <w:r w:rsidR="000A5B79">
        <w:t>.52</w:t>
      </w:r>
      <w:r w:rsidRPr="0069777A">
        <w:t>.</w:t>
      </w:r>
    </w:p>
    <w:p w14:paraId="63C56BCF" w14:textId="7088AFB6" w:rsidR="0026091F" w:rsidRDefault="00731537" w:rsidP="0026091F">
      <w:pPr>
        <w:spacing w:line="360" w:lineRule="auto"/>
        <w:ind w:firstLine="709"/>
      </w:pPr>
      <w:r w:rsidRPr="00E42B26">
        <w:tab/>
        <w:t xml:space="preserve">It is possible that participants could not relate to the scenario of </w:t>
      </w:r>
      <w:r w:rsidR="001D4D24">
        <w:t xml:space="preserve">being in a different </w:t>
      </w:r>
      <w:r w:rsidRPr="00E42B26">
        <w:t xml:space="preserve">country, </w:t>
      </w:r>
      <w:r w:rsidR="00724BED">
        <w:t xml:space="preserve">and </w:t>
      </w:r>
      <w:r w:rsidR="00217E71">
        <w:t xml:space="preserve">that </w:t>
      </w:r>
      <w:r w:rsidR="00C83433">
        <w:t xml:space="preserve">it would be more effective to </w:t>
      </w:r>
      <w:r w:rsidRPr="00E42B26">
        <w:t>normaliz</w:t>
      </w:r>
      <w:r w:rsidR="00C83433">
        <w:t xml:space="preserve">e </w:t>
      </w:r>
      <w:r w:rsidRPr="00E42B26">
        <w:t xml:space="preserve">advance care planning by embedding it in more familiar routine processes, such as </w:t>
      </w:r>
      <w:r w:rsidR="00A63833">
        <w:t>initiating</w:t>
      </w:r>
      <w:r w:rsidRPr="00E42B26">
        <w:t xml:space="preserve"> or renewing health insurance, starting a new job, filing for taxes, </w:t>
      </w:r>
      <w:r>
        <w:t xml:space="preserve">and </w:t>
      </w:r>
      <w:r w:rsidRPr="00E42B26">
        <w:t>registering to vote</w:t>
      </w:r>
      <w:r w:rsidR="00B14DE1">
        <w:t xml:space="preserve">, or by sending reminders </w:t>
      </w:r>
      <w:r w:rsidR="00B14DE1" w:rsidRPr="00BF4A03">
        <w:t>in concomitance with future-oriented activities such as planning for savings and mortgage repayments</w:t>
      </w:r>
      <w:r w:rsidRPr="00E42B26">
        <w:t xml:space="preserve">. </w:t>
      </w:r>
      <w:r w:rsidRPr="00E42B26" w:rsidDel="0026091F">
        <w:t xml:space="preserve">This approach would have the additional benefit of incentivizing people to think about critical medical care when they are young and healthy instead of during a health crisis, when </w:t>
      </w:r>
      <w:r w:rsidR="00ED7622">
        <w:t xml:space="preserve">they </w:t>
      </w:r>
      <w:r w:rsidRPr="00E42B26" w:rsidDel="0026091F">
        <w:t>may reject ACPs to diffuse their fears.</w:t>
      </w:r>
      <w:r w:rsidR="0026091F">
        <w:t xml:space="preserve"> R</w:t>
      </w:r>
      <w:r w:rsidR="0026091F" w:rsidRPr="00E42B26">
        <w:t xml:space="preserve">eminders </w:t>
      </w:r>
      <w:r w:rsidR="0026091F">
        <w:t>could also target current ACP holders</w:t>
      </w:r>
      <w:r w:rsidR="0026091F" w:rsidRPr="00E42B26">
        <w:t xml:space="preserve"> to </w:t>
      </w:r>
      <w:r w:rsidR="0026091F">
        <w:t xml:space="preserve">ensure they </w:t>
      </w:r>
      <w:r w:rsidR="00A63833">
        <w:t xml:space="preserve">regularly </w:t>
      </w:r>
      <w:r w:rsidR="0026091F" w:rsidRPr="00E42B26">
        <w:t xml:space="preserve">update their plans, given that </w:t>
      </w:r>
      <w:r w:rsidR="0026091F">
        <w:t xml:space="preserve">our </w:t>
      </w:r>
      <w:r w:rsidR="0026091F" w:rsidRPr="00E42B26">
        <w:t xml:space="preserve">results suggest that preferences change with age. The timing of these reminders could be selected to coincide with specific life milestones, as salient temporal landmarks often represent opportunities for “fresh starts” with the potential to motivate aspirational behaviors (Dai, Milkman, and Riis 2014). </w:t>
      </w:r>
    </w:p>
    <w:p w14:paraId="414BA1BD" w14:textId="5571BE4C" w:rsidR="00707010" w:rsidRDefault="00F33332" w:rsidP="00E13A1B">
      <w:pPr>
        <w:spacing w:line="360" w:lineRule="auto"/>
        <w:ind w:firstLine="709"/>
      </w:pPr>
      <w:r>
        <w:t>Other types of s</w:t>
      </w:r>
      <w:r w:rsidR="00731537" w:rsidRPr="00E42B26">
        <w:t>tructural interventions might include the presentation and design of the options, financial incentives, and legislative actions</w:t>
      </w:r>
      <w:r w:rsidR="00BB3257">
        <w:t xml:space="preserve">. </w:t>
      </w:r>
      <w:r w:rsidR="00043B73" w:rsidRPr="00E42B26">
        <w:t>Structural interventions that involve the presentation and design of the options have been successful in influencing similar decisions. For example, the application of an opt-out, rather than an opt-in, rule for organ donor registration systems has been associated with greater donation consent (Johnson and Goldstein 2003; Li, Hawley, and Schnier 2013)</w:t>
      </w:r>
      <w:r w:rsidR="00A13D6E" w:rsidRPr="00E42B26">
        <w:t xml:space="preserve"> and the inclusion of </w:t>
      </w:r>
      <w:r w:rsidR="00043B73" w:rsidRPr="00E42B26">
        <w:t>default</w:t>
      </w:r>
      <w:r w:rsidR="00A13D6E" w:rsidRPr="00E42B26">
        <w:t>s</w:t>
      </w:r>
      <w:r w:rsidR="00043B73" w:rsidRPr="00E42B26">
        <w:t xml:space="preserve"> have </w:t>
      </w:r>
      <w:r w:rsidR="00A13D6E" w:rsidRPr="00E42B26">
        <w:t xml:space="preserve">also </w:t>
      </w:r>
      <w:r w:rsidR="00043B73" w:rsidRPr="00E42B26">
        <w:t xml:space="preserve">increased participation </w:t>
      </w:r>
      <w:r w:rsidR="00E83500">
        <w:t>in</w:t>
      </w:r>
      <w:r w:rsidR="00E83500" w:rsidRPr="00E42B26">
        <w:t xml:space="preserve"> </w:t>
      </w:r>
      <w:r w:rsidR="00043B73" w:rsidRPr="00E42B26">
        <w:t>401k retirement savings plans in the U.S. (Thaler and Benartzi 2004)</w:t>
      </w:r>
      <w:r w:rsidR="00A13D6E" w:rsidRPr="00E42B26">
        <w:t xml:space="preserve">. </w:t>
      </w:r>
      <w:r w:rsidR="00043B73" w:rsidRPr="00E42B26">
        <w:t>The process of creating an A</w:t>
      </w:r>
      <w:r w:rsidR="00A13D6E" w:rsidRPr="00E42B26">
        <w:t>CP</w:t>
      </w:r>
      <w:r w:rsidR="00043B73" w:rsidRPr="00E42B26">
        <w:t xml:space="preserve"> is more </w:t>
      </w:r>
      <w:proofErr w:type="gramStart"/>
      <w:r w:rsidR="00043B73" w:rsidRPr="00E42B26">
        <w:t>similar to</w:t>
      </w:r>
      <w:proofErr w:type="gramEnd"/>
      <w:r w:rsidR="00043B73" w:rsidRPr="00E42B26">
        <w:t xml:space="preserve"> </w:t>
      </w:r>
      <w:r w:rsidR="00A13D6E" w:rsidRPr="00E42B26">
        <w:t xml:space="preserve">that of saving for retirement than </w:t>
      </w:r>
      <w:r w:rsidR="006F16B0" w:rsidRPr="00E42B26">
        <w:t>donat</w:t>
      </w:r>
      <w:r w:rsidR="00340653">
        <w:t>ing</w:t>
      </w:r>
      <w:r w:rsidR="006F16B0" w:rsidRPr="00E42B26">
        <w:t xml:space="preserve"> organs </w:t>
      </w:r>
      <w:r w:rsidR="00043B73" w:rsidRPr="00E42B26">
        <w:t>in that it involves making a series of decision</w:t>
      </w:r>
      <w:r w:rsidR="00340653">
        <w:t>s</w:t>
      </w:r>
      <w:r w:rsidR="00043B73" w:rsidRPr="00E42B26">
        <w:t xml:space="preserve"> and not only agreeing to a pre-set action. </w:t>
      </w:r>
      <w:r w:rsidR="00281D13">
        <w:t xml:space="preserve">However, care is needed </w:t>
      </w:r>
      <w:r w:rsidR="00096790">
        <w:t xml:space="preserve">with </w:t>
      </w:r>
      <w:r w:rsidR="00281D13">
        <w:t>such interventions, as d</w:t>
      </w:r>
      <w:r w:rsidR="00733A24">
        <w:t xml:space="preserve">efaults can lead </w:t>
      </w:r>
      <w:r w:rsidR="00281D13">
        <w:t xml:space="preserve">individuals to make </w:t>
      </w:r>
      <w:r w:rsidR="00096790">
        <w:t>choices</w:t>
      </w:r>
      <w:r w:rsidR="00281D13">
        <w:t xml:space="preserve"> that differ from their own preferences</w:t>
      </w:r>
      <w:r w:rsidR="00B33C86">
        <w:t xml:space="preserve"> </w:t>
      </w:r>
      <w:r w:rsidR="00733A24">
        <w:t>(Thaler and Benartzi</w:t>
      </w:r>
      <w:r w:rsidR="000B0D77">
        <w:t xml:space="preserve"> 2004</w:t>
      </w:r>
      <w:r w:rsidR="00733A24">
        <w:t xml:space="preserve">). </w:t>
      </w:r>
      <w:r w:rsidR="00B33C86">
        <w:t>For example,</w:t>
      </w:r>
      <w:r w:rsidR="00C83433">
        <w:t xml:space="preserve"> in</w:t>
      </w:r>
      <w:r w:rsidR="00B33C86">
        <w:t xml:space="preserve"> </w:t>
      </w:r>
      <w:r w:rsidR="00C83433">
        <w:t xml:space="preserve">one study </w:t>
      </w:r>
      <w:r w:rsidR="00BE279F">
        <w:t xml:space="preserve">conducted on real patients, </w:t>
      </w:r>
      <w:r w:rsidR="00C83433">
        <w:t xml:space="preserve">only </w:t>
      </w:r>
      <w:r w:rsidR="002F54B5">
        <w:t xml:space="preserve">about </w:t>
      </w:r>
      <w:r w:rsidR="00C83433">
        <w:t xml:space="preserve">10% of respondents chose </w:t>
      </w:r>
      <w:r w:rsidR="002F54B5">
        <w:t xml:space="preserve">the </w:t>
      </w:r>
      <w:r w:rsidR="00C83433">
        <w:t>life-extending option in a</w:t>
      </w:r>
      <w:r w:rsidR="002F54B5">
        <w:t>n</w:t>
      </w:r>
      <w:r w:rsidR="00C83433">
        <w:t xml:space="preserve"> ACP when no </w:t>
      </w:r>
      <w:r w:rsidR="00C83433">
        <w:lastRenderedPageBreak/>
        <w:t>options were pre-selected, but a significantly higher percentage selected th</w:t>
      </w:r>
      <w:r w:rsidR="002F54B5">
        <w:t>is</w:t>
      </w:r>
      <w:r w:rsidR="00C83433">
        <w:t xml:space="preserve"> option when </w:t>
      </w:r>
      <w:r w:rsidR="002F54B5">
        <w:t>it was</w:t>
      </w:r>
      <w:r w:rsidR="00C83433">
        <w:t xml:space="preserve"> pre-se</w:t>
      </w:r>
      <w:r w:rsidR="00551A64">
        <w:t>t</w:t>
      </w:r>
      <w:r w:rsidR="00C83433">
        <w:t xml:space="preserve"> as </w:t>
      </w:r>
      <w:r w:rsidR="000C2C36">
        <w:t xml:space="preserve">the </w:t>
      </w:r>
      <w:r w:rsidR="00C83433">
        <w:t xml:space="preserve">default. The result did not change when participants </w:t>
      </w:r>
      <w:r w:rsidR="00D80F7E">
        <w:t>we</w:t>
      </w:r>
      <w:r w:rsidR="00724BED">
        <w:t>re informed about these defaults and kn</w:t>
      </w:r>
      <w:r w:rsidR="00D80F7E">
        <w:t>e</w:t>
      </w:r>
      <w:r w:rsidR="00724BED">
        <w:t>w that the</w:t>
      </w:r>
      <w:r w:rsidR="00E53D9C">
        <w:t xml:space="preserve"> defaults</w:t>
      </w:r>
      <w:r w:rsidR="00724BED">
        <w:t xml:space="preserve"> c</w:t>
      </w:r>
      <w:r w:rsidR="00D80F7E">
        <w:t>ould</w:t>
      </w:r>
      <w:r w:rsidR="00724BED">
        <w:t xml:space="preserve"> be changed</w:t>
      </w:r>
      <w:r w:rsidR="00096790">
        <w:t xml:space="preserve">, </w:t>
      </w:r>
      <w:r w:rsidR="00B33C86">
        <w:t xml:space="preserve">probably because </w:t>
      </w:r>
      <w:r w:rsidR="00096790">
        <w:t>they perceive</w:t>
      </w:r>
      <w:r w:rsidR="00C83433">
        <w:t>d</w:t>
      </w:r>
      <w:r w:rsidR="00096790">
        <w:t xml:space="preserve"> </w:t>
      </w:r>
      <w:r w:rsidR="00B33C86">
        <w:t>the</w:t>
      </w:r>
      <w:r w:rsidR="00E53D9C">
        <w:t>m</w:t>
      </w:r>
      <w:r w:rsidR="00B33C86">
        <w:t xml:space="preserve"> </w:t>
      </w:r>
      <w:r w:rsidR="00F0576C">
        <w:t>as</w:t>
      </w:r>
      <w:r w:rsidR="00096790">
        <w:t xml:space="preserve"> recommendations</w:t>
      </w:r>
      <w:r w:rsidR="00281D13">
        <w:t xml:space="preserve"> (Halpern et al</w:t>
      </w:r>
      <w:r w:rsidR="006B6257">
        <w:t>.</w:t>
      </w:r>
      <w:r w:rsidR="00281D13">
        <w:t xml:space="preserve"> 2020). </w:t>
      </w:r>
      <w:r w:rsidR="00C83433">
        <w:t>G</w:t>
      </w:r>
      <w:r w:rsidR="006F074B">
        <w:t>iven th</w:t>
      </w:r>
      <w:r w:rsidR="00B33C86">
        <w:t xml:space="preserve">e strong effect of defaults </w:t>
      </w:r>
      <w:r w:rsidR="006F074B">
        <w:t xml:space="preserve">even </w:t>
      </w:r>
      <w:r w:rsidR="00B33C86">
        <w:t xml:space="preserve">in the case of diverging </w:t>
      </w:r>
      <w:r w:rsidR="006F074B">
        <w:t xml:space="preserve">preferences, </w:t>
      </w:r>
      <w:r w:rsidR="006F16B0" w:rsidRPr="00E42B26">
        <w:t>f</w:t>
      </w:r>
      <w:r w:rsidR="00043B73" w:rsidRPr="00E42B26">
        <w:t xml:space="preserve">uture research </w:t>
      </w:r>
      <w:r w:rsidR="00096790">
        <w:t xml:space="preserve">should continue to explore </w:t>
      </w:r>
      <w:r w:rsidR="00043B73" w:rsidRPr="00E42B26">
        <w:t xml:space="preserve">whether </w:t>
      </w:r>
      <w:r w:rsidR="00096790">
        <w:t xml:space="preserve">providing default ACP options that reflect </w:t>
      </w:r>
      <w:r w:rsidR="00043B73" w:rsidRPr="00E42B26">
        <w:t>the most commonly observed treatment preferences</w:t>
      </w:r>
      <w:r w:rsidR="00096790">
        <w:t xml:space="preserve"> would </w:t>
      </w:r>
      <w:r w:rsidR="00B33C86">
        <w:t xml:space="preserve">benefit or backfire. </w:t>
      </w:r>
      <w:r w:rsidR="007756EA" w:rsidRPr="007972E3">
        <w:t xml:space="preserve">One consideration is that </w:t>
      </w:r>
      <w:r w:rsidR="00C83433" w:rsidRPr="007972E3">
        <w:t xml:space="preserve">in our studies </w:t>
      </w:r>
      <w:r w:rsidR="007756EA" w:rsidRPr="007972E3">
        <w:t xml:space="preserve">the </w:t>
      </w:r>
      <w:r w:rsidR="00C83433" w:rsidRPr="007972E3">
        <w:t>p</w:t>
      </w:r>
      <w:r w:rsidR="007756EA" w:rsidRPr="007972E3">
        <w:t xml:space="preserve">references </w:t>
      </w:r>
      <w:r w:rsidR="007972E3">
        <w:t xml:space="preserve">of individuals who have </w:t>
      </w:r>
      <w:r w:rsidR="00EB3535">
        <w:t xml:space="preserve">or intend to create an ACP </w:t>
      </w:r>
      <w:r w:rsidR="007756EA" w:rsidRPr="007972E3">
        <w:t xml:space="preserve">(e.g., </w:t>
      </w:r>
      <w:r w:rsidR="006B68D4" w:rsidRPr="007972E3">
        <w:t>being at peace and avoid invasive life-sustaining treatments</w:t>
      </w:r>
      <w:r w:rsidR="007756EA" w:rsidRPr="007972E3">
        <w:t>) impl</w:t>
      </w:r>
      <w:r w:rsidR="00A71BDF" w:rsidRPr="007972E3">
        <w:t>y</w:t>
      </w:r>
      <w:r w:rsidR="007756EA" w:rsidRPr="007972E3">
        <w:t xml:space="preserve"> </w:t>
      </w:r>
      <w:r w:rsidR="00707010" w:rsidRPr="007972E3">
        <w:t xml:space="preserve">that </w:t>
      </w:r>
      <w:r w:rsidR="007756EA" w:rsidRPr="007972E3">
        <w:t>invasive life-sustaining treatments</w:t>
      </w:r>
      <w:r w:rsidR="00707010" w:rsidRPr="007972E3">
        <w:t xml:space="preserve"> are the default</w:t>
      </w:r>
      <w:r w:rsidR="00A71BDF" w:rsidRPr="007972E3">
        <w:t xml:space="preserve"> options</w:t>
      </w:r>
      <w:r w:rsidR="006B68D4" w:rsidRPr="007972E3">
        <w:t xml:space="preserve"> in the absence of an ACP</w:t>
      </w:r>
      <w:r w:rsidR="00A71BDF" w:rsidRPr="007972E3">
        <w:t xml:space="preserve">. </w:t>
      </w:r>
      <w:r w:rsidR="007B3FE8" w:rsidRPr="007972E3">
        <w:t xml:space="preserve">In fact, in the U.S. it is a common practice to use more intensive and life-extending treatment options </w:t>
      </w:r>
      <w:r w:rsidR="00D565B8" w:rsidRPr="007972E3">
        <w:t>towards</w:t>
      </w:r>
      <w:r w:rsidR="007B3FE8" w:rsidRPr="007972E3">
        <w:t xml:space="preserve"> the end of life (</w:t>
      </w:r>
      <w:r w:rsidR="007B3FE8" w:rsidRPr="007972E3">
        <w:rPr>
          <w:rFonts w:eastAsiaTheme="minorHAnsi"/>
          <w:lang w:eastAsia="en-US"/>
        </w:rPr>
        <w:t>Schroeder 2011)</w:t>
      </w:r>
      <w:r w:rsidR="007B3FE8" w:rsidRPr="007972E3">
        <w:t>. Therefore</w:t>
      </w:r>
      <w:r w:rsidR="00A71BDF" w:rsidRPr="007972E3">
        <w:t xml:space="preserve">, it </w:t>
      </w:r>
      <w:r w:rsidR="007B3FE8" w:rsidRPr="007972E3">
        <w:t>could</w:t>
      </w:r>
      <w:r w:rsidR="00A71BDF" w:rsidRPr="007972E3">
        <w:t xml:space="preserve"> be </w:t>
      </w:r>
      <w:r w:rsidR="00707010" w:rsidRPr="007972E3">
        <w:t xml:space="preserve">rational </w:t>
      </w:r>
      <w:r w:rsidR="007756EA" w:rsidRPr="007972E3">
        <w:t>for</w:t>
      </w:r>
      <w:r w:rsidR="00707010" w:rsidRPr="007972E3">
        <w:t xml:space="preserve"> those individuals who prefer to prolong life</w:t>
      </w:r>
      <w:r w:rsidR="00A71BDF" w:rsidRPr="007972E3">
        <w:t xml:space="preserve"> not to have a</w:t>
      </w:r>
      <w:r w:rsidR="00F42740" w:rsidRPr="007972E3">
        <w:t>n</w:t>
      </w:r>
      <w:r w:rsidR="00A71BDF" w:rsidRPr="007972E3">
        <w:t xml:space="preserve"> ACP</w:t>
      </w:r>
      <w:r w:rsidR="00707010" w:rsidRPr="007972E3">
        <w:t>. On the contrary, ACPs are meant to clearly communicate individual</w:t>
      </w:r>
      <w:r w:rsidR="000C2C36" w:rsidRPr="007972E3">
        <w:t>s’</w:t>
      </w:r>
      <w:r w:rsidR="00707010" w:rsidRPr="007972E3">
        <w:t xml:space="preserve"> wishes and ensure that healthcare agents respect these wishes, without making assumption and regardless of whether these wishes correspond to or diverge from common or default practices.</w:t>
      </w:r>
      <w:r w:rsidR="00707010">
        <w:t xml:space="preserve">  </w:t>
      </w:r>
    </w:p>
    <w:p w14:paraId="079E6026" w14:textId="77777777" w:rsidR="00DD67A9" w:rsidRDefault="00DD67A9" w:rsidP="00E13A1B">
      <w:pPr>
        <w:spacing w:line="360" w:lineRule="auto"/>
        <w:ind w:firstLine="709"/>
      </w:pPr>
    </w:p>
    <w:p w14:paraId="3E4B2BBF" w14:textId="4A37B042" w:rsidR="00DD67A9" w:rsidRPr="00E42B26" w:rsidRDefault="00DD67A9" w:rsidP="00DD67A9">
      <w:pPr>
        <w:spacing w:line="360" w:lineRule="auto"/>
        <w:jc w:val="center"/>
      </w:pPr>
      <w:r>
        <w:t>------ Insert Table 2 here ------</w:t>
      </w:r>
    </w:p>
    <w:p w14:paraId="512BA6B6" w14:textId="5ABD9CFD" w:rsidR="00E13A1B" w:rsidRDefault="00E13A1B" w:rsidP="00DD67A9">
      <w:pPr>
        <w:spacing w:line="360" w:lineRule="auto"/>
      </w:pPr>
    </w:p>
    <w:p w14:paraId="645F01B3" w14:textId="1FD1DC98" w:rsidR="00A33A1E" w:rsidRDefault="00043B73" w:rsidP="00F230D7">
      <w:pPr>
        <w:spacing w:line="360" w:lineRule="auto"/>
        <w:ind w:firstLine="709"/>
      </w:pPr>
      <w:r w:rsidRPr="00E42B26">
        <w:t xml:space="preserve">Future research could also examine whether </w:t>
      </w:r>
      <w:r w:rsidR="00C72DCD" w:rsidRPr="00E42B26">
        <w:t xml:space="preserve">structural interventions related to </w:t>
      </w:r>
      <w:r w:rsidRPr="00E42B26">
        <w:t xml:space="preserve">financial incentives would </w:t>
      </w:r>
      <w:r w:rsidR="00551A64">
        <w:t xml:space="preserve">increase </w:t>
      </w:r>
      <w:r w:rsidRPr="00E42B26">
        <w:t>ACP</w:t>
      </w:r>
      <w:r w:rsidR="00551A64">
        <w:t xml:space="preserve"> uptake</w:t>
      </w:r>
      <w:r w:rsidRPr="00E42B26">
        <w:t xml:space="preserve">. </w:t>
      </w:r>
      <w:r w:rsidR="003F3F3E" w:rsidRPr="00E42B26">
        <w:t>These incentives may be directed to final consumer</w:t>
      </w:r>
      <w:r w:rsidR="00E57787" w:rsidRPr="00E42B26">
        <w:t>s</w:t>
      </w:r>
      <w:r w:rsidR="00DF108E" w:rsidRPr="00E42B26">
        <w:t xml:space="preserve"> or to </w:t>
      </w:r>
      <w:r w:rsidRPr="00E42B26">
        <w:t>other parties, including healthcare providers, health insurance companies, and government agencies</w:t>
      </w:r>
      <w:r w:rsidR="00DF108E" w:rsidRPr="00E42B26">
        <w:t xml:space="preserve">. </w:t>
      </w:r>
      <w:r w:rsidR="00996952">
        <w:t>I</w:t>
      </w:r>
      <w:r w:rsidRPr="00E42B26">
        <w:t xml:space="preserve">nterventions </w:t>
      </w:r>
      <w:r w:rsidR="00E57787" w:rsidRPr="00E42B26">
        <w:t xml:space="preserve">targeting final consumers </w:t>
      </w:r>
      <w:r w:rsidRPr="00E42B26">
        <w:t>might include</w:t>
      </w:r>
      <w:r w:rsidR="00E57787" w:rsidRPr="00E42B26">
        <w:t xml:space="preserve"> health insurance discounts, whereas those targeting other parties might include </w:t>
      </w:r>
      <w:r w:rsidRPr="00E42B26">
        <w:t>incentiv</w:t>
      </w:r>
      <w:r w:rsidR="00E57787" w:rsidRPr="00E42B26">
        <w:t xml:space="preserve">es to </w:t>
      </w:r>
      <w:r w:rsidR="006346FB" w:rsidRPr="00E42B26">
        <w:t xml:space="preserve">health insurance companies for engaging their customers in advance care planning and to </w:t>
      </w:r>
      <w:r w:rsidRPr="00E42B26">
        <w:t>healthcare providers for discussing ACPs</w:t>
      </w:r>
      <w:r w:rsidR="00E57787" w:rsidRPr="00E42B26">
        <w:t xml:space="preserve"> </w:t>
      </w:r>
      <w:r w:rsidR="006346FB" w:rsidRPr="00E42B26">
        <w:t>during annual check-ups and routine appointments. Healthcare providers could also be rewarded by developing and publicizing quality metrics that track referrals to create and update ACPs, which could positively impact their reputation</w:t>
      </w:r>
      <w:r w:rsidR="00E57787" w:rsidRPr="00E42B26">
        <w:t xml:space="preserve">. </w:t>
      </w:r>
    </w:p>
    <w:p w14:paraId="1C751455" w14:textId="18E1AE64" w:rsidR="00B14DE1" w:rsidRPr="00E42B26" w:rsidRDefault="00B14DE1" w:rsidP="00442535">
      <w:pPr>
        <w:spacing w:line="360" w:lineRule="auto"/>
        <w:ind w:firstLine="709"/>
      </w:pPr>
      <w:r>
        <w:t>Finally, future research could focus on legislative actions</w:t>
      </w:r>
      <w:r w:rsidR="00442535">
        <w:t xml:space="preserve">. </w:t>
      </w:r>
      <w:r w:rsidR="0026091F">
        <w:t xml:space="preserve">For example, </w:t>
      </w:r>
      <w:r w:rsidR="0026091F" w:rsidRPr="00181A5D">
        <w:t>the U.S. Congress passed the 1990 Patient Self-Determination Act, requiring all federally funded</w:t>
      </w:r>
      <w:r w:rsidR="0026091F">
        <w:t xml:space="preserve"> healthcare organizations </w:t>
      </w:r>
      <w:r w:rsidR="0026091F" w:rsidRPr="00181A5D">
        <w:t>to provide patients with information about their rights in relation to advance care planning (Scheunemann et al. 2015).</w:t>
      </w:r>
      <w:r w:rsidR="0026091F">
        <w:t xml:space="preserve"> Similar actions targeting other stakeholders </w:t>
      </w:r>
      <w:r w:rsidR="0026091F">
        <w:lastRenderedPageBreak/>
        <w:t xml:space="preserve">might involve mandating </w:t>
      </w:r>
      <w:r w:rsidR="00442535">
        <w:t xml:space="preserve">health insurance companies </w:t>
      </w:r>
      <w:r w:rsidR="007617DB">
        <w:t xml:space="preserve">to </w:t>
      </w:r>
      <w:r w:rsidR="00442535">
        <w:t xml:space="preserve">provide information about </w:t>
      </w:r>
      <w:r w:rsidR="007617DB">
        <w:t xml:space="preserve">ACPs </w:t>
      </w:r>
      <w:r w:rsidR="00442535">
        <w:t>and offer ACP creation tools for their customers</w:t>
      </w:r>
      <w:r w:rsidR="007617DB">
        <w:t xml:space="preserve">, perhaps </w:t>
      </w:r>
      <w:bookmarkStart w:id="1" w:name="_Hlk71899876"/>
      <w:r w:rsidR="00442535" w:rsidRPr="00764DCD">
        <w:t>during open</w:t>
      </w:r>
      <w:r w:rsidR="007617DB">
        <w:t>-</w:t>
      </w:r>
      <w:r w:rsidR="00442535" w:rsidRPr="00764DCD">
        <w:t>enrol</w:t>
      </w:r>
      <w:r w:rsidR="00FE17CE">
        <w:t>l</w:t>
      </w:r>
      <w:r w:rsidR="00442535" w:rsidRPr="00764DCD">
        <w:t>ment periods.</w:t>
      </w:r>
      <w:bookmarkEnd w:id="1"/>
    </w:p>
    <w:p w14:paraId="345665CF" w14:textId="772115B4" w:rsidR="001B0242" w:rsidRPr="00E42B26" w:rsidRDefault="00043B73" w:rsidP="00FC5814">
      <w:pPr>
        <w:spacing w:line="360" w:lineRule="auto"/>
        <w:ind w:firstLine="709"/>
      </w:pPr>
      <w:r w:rsidRPr="00E42B26">
        <w:t>In sum, advance care planning represents a complex process</w:t>
      </w:r>
      <w:r w:rsidR="00E83500">
        <w:t>,</w:t>
      </w:r>
      <w:r w:rsidRPr="00E42B26">
        <w:t xml:space="preserve"> both from a practical and a psychological perspective, which defies single-factor solutions. This multi-factor approach requires the joint expertise of consumer psychologists, public policy makers, and healthcare providers, who should collaborate to promote a broader cultural change in the way in which individuals and societies understand, talk about, and prepare for critical healthcare decisions.  </w:t>
      </w:r>
      <w:r w:rsidR="001B0242" w:rsidRPr="00E42B26">
        <w:br w:type="page"/>
      </w:r>
    </w:p>
    <w:p w14:paraId="44402AA3" w14:textId="525CA495" w:rsidR="004F1E45" w:rsidRPr="00E42B26" w:rsidRDefault="001B0242" w:rsidP="001B4F08">
      <w:pPr>
        <w:pStyle w:val="Heading1"/>
        <w:rPr>
          <w:lang w:eastAsia="de-DE"/>
        </w:rPr>
      </w:pPr>
      <w:r w:rsidRPr="00E42B26">
        <w:rPr>
          <w:lang w:eastAsia="de-DE"/>
        </w:rPr>
        <w:lastRenderedPageBreak/>
        <w:t>References</w:t>
      </w:r>
    </w:p>
    <w:p w14:paraId="7F69AED4" w14:textId="038CA9D1" w:rsidR="008C58E1" w:rsidRPr="00E42B26"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Bond, William F., Minchul Kim, Chris M. Franciskovich, Jason E. Weinberg, Jessica D. Svendsen, Linda S. Fehr, Amy Funk, Robert Sawicki, and Carl V. Asche (201</w:t>
      </w:r>
      <w:r w:rsidR="00057142" w:rsidRPr="00E42B26">
        <w:rPr>
          <w:rFonts w:eastAsiaTheme="minorHAnsi"/>
          <w:lang w:eastAsia="en-US"/>
        </w:rPr>
        <w:t>8</w:t>
      </w:r>
      <w:r w:rsidRPr="00E42B26">
        <w:rPr>
          <w:rFonts w:eastAsiaTheme="minorHAnsi"/>
          <w:lang w:eastAsia="en-US"/>
        </w:rPr>
        <w:t xml:space="preserve">), “Advance Care Planning in an Accountable Care Organization Is Associated with Increased Advanced Directive Documentation and Decreased Costs,” </w:t>
      </w:r>
      <w:r w:rsidRPr="00E42B26">
        <w:rPr>
          <w:rFonts w:eastAsiaTheme="minorHAnsi"/>
          <w:i/>
          <w:iCs/>
          <w:lang w:eastAsia="en-US"/>
        </w:rPr>
        <w:t>Journal of Palliative Medicine</w:t>
      </w:r>
      <w:r w:rsidRPr="00E42B26">
        <w:rPr>
          <w:rFonts w:eastAsiaTheme="minorHAnsi"/>
          <w:lang w:eastAsia="en-US"/>
        </w:rPr>
        <w:t>, 21</w:t>
      </w:r>
      <w:r w:rsidR="00EB5D57" w:rsidRPr="00E42B26">
        <w:rPr>
          <w:rFonts w:eastAsiaTheme="minorHAnsi"/>
          <w:lang w:eastAsia="en-US"/>
        </w:rPr>
        <w:t xml:space="preserve"> </w:t>
      </w:r>
      <w:r w:rsidRPr="00E42B26">
        <w:rPr>
          <w:rFonts w:eastAsiaTheme="minorHAnsi"/>
          <w:lang w:eastAsia="en-US"/>
        </w:rPr>
        <w:t>(4), 489–502.</w:t>
      </w:r>
    </w:p>
    <w:p w14:paraId="4E75C84D" w14:textId="1D9CD0F5" w:rsidR="008C58E1" w:rsidRPr="00E42B26"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Carr, Deborah and Dmitry Khodyakov (2007), “End-of-Life Health Care Planning Among Young-Old Adults: An Assessment of Psychosocial Influences.,” </w:t>
      </w:r>
      <w:r w:rsidRPr="00E42B26">
        <w:rPr>
          <w:rFonts w:eastAsiaTheme="minorHAnsi"/>
          <w:i/>
          <w:iCs/>
          <w:lang w:eastAsia="en-US"/>
        </w:rPr>
        <w:t>The Journals of Gerontology: Series B</w:t>
      </w:r>
      <w:r w:rsidRPr="00E42B26">
        <w:rPr>
          <w:rFonts w:eastAsiaTheme="minorHAnsi"/>
          <w:lang w:eastAsia="en-US"/>
        </w:rPr>
        <w:t>, 62</w:t>
      </w:r>
      <w:r w:rsidR="00EB5D57" w:rsidRPr="00E42B26">
        <w:rPr>
          <w:rFonts w:eastAsiaTheme="minorHAnsi"/>
          <w:lang w:eastAsia="en-US"/>
        </w:rPr>
        <w:t xml:space="preserve"> </w:t>
      </w:r>
      <w:r w:rsidRPr="00E42B26">
        <w:rPr>
          <w:rFonts w:eastAsiaTheme="minorHAnsi"/>
          <w:lang w:eastAsia="en-US"/>
        </w:rPr>
        <w:t>(2), S135–41.</w:t>
      </w:r>
    </w:p>
    <w:p w14:paraId="17921F85" w14:textId="2409039F" w:rsidR="008C58E1" w:rsidRPr="00E42B26"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Carr, Deborah and Elizabeth A. Luth (2017), “Advance Care Planning: Contemporary Issues and Future Directions,” </w:t>
      </w:r>
      <w:r w:rsidRPr="00E42B26">
        <w:rPr>
          <w:rFonts w:eastAsiaTheme="minorHAnsi"/>
          <w:i/>
          <w:iCs/>
          <w:lang w:eastAsia="en-US"/>
        </w:rPr>
        <w:t>Innovation in Aging</w:t>
      </w:r>
      <w:r w:rsidRPr="00E42B26">
        <w:rPr>
          <w:rFonts w:eastAsiaTheme="minorHAnsi"/>
          <w:lang w:eastAsia="en-US"/>
        </w:rPr>
        <w:t>, 1</w:t>
      </w:r>
      <w:r w:rsidR="00EB5D57" w:rsidRPr="00E42B26">
        <w:rPr>
          <w:rFonts w:eastAsiaTheme="minorHAnsi"/>
          <w:lang w:eastAsia="en-US"/>
        </w:rPr>
        <w:t xml:space="preserve"> </w:t>
      </w:r>
      <w:r w:rsidRPr="00E42B26">
        <w:rPr>
          <w:rFonts w:eastAsiaTheme="minorHAnsi"/>
          <w:lang w:eastAsia="en-US"/>
        </w:rPr>
        <w:t>(1), 1–10.</w:t>
      </w:r>
    </w:p>
    <w:p w14:paraId="5BCFFA38" w14:textId="35EA9A3C" w:rsidR="008C58E1" w:rsidRPr="00E42B26"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Carr, Deborah and Sara M. Moorman (2009), “End-of-Life Treatment Preferences Among Older Adults: An Assessment of Psychosocial Influences1,” </w:t>
      </w:r>
      <w:r w:rsidRPr="00E42B26">
        <w:rPr>
          <w:rFonts w:eastAsiaTheme="minorHAnsi"/>
          <w:i/>
          <w:iCs/>
          <w:lang w:eastAsia="en-US"/>
        </w:rPr>
        <w:t>Sociological Forum</w:t>
      </w:r>
      <w:r w:rsidRPr="00E42B26">
        <w:rPr>
          <w:rFonts w:eastAsiaTheme="minorHAnsi"/>
          <w:lang w:eastAsia="en-US"/>
        </w:rPr>
        <w:t>, 24</w:t>
      </w:r>
      <w:r w:rsidR="00EB5D57" w:rsidRPr="00E42B26">
        <w:rPr>
          <w:rFonts w:eastAsiaTheme="minorHAnsi"/>
          <w:lang w:eastAsia="en-US"/>
        </w:rPr>
        <w:t xml:space="preserve"> </w:t>
      </w:r>
      <w:r w:rsidRPr="00E42B26">
        <w:rPr>
          <w:rFonts w:eastAsiaTheme="minorHAnsi"/>
          <w:lang w:eastAsia="en-US"/>
        </w:rPr>
        <w:t>(4), 754–78.</w:t>
      </w:r>
    </w:p>
    <w:p w14:paraId="528DE58E" w14:textId="57C970BD" w:rsidR="008C58E1" w:rsidRPr="00E42B26"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Colaberdino, Vincent, Colleen Marshall, Paul DuBose, and Mitchell Daitz (2016), “Economic Impact of an Advanced Illness Consultation Program within a Medicare Advantage Plan Population,” </w:t>
      </w:r>
      <w:r w:rsidRPr="00E42B26">
        <w:rPr>
          <w:rFonts w:eastAsiaTheme="minorHAnsi"/>
          <w:i/>
          <w:iCs/>
          <w:lang w:eastAsia="en-US"/>
        </w:rPr>
        <w:t>Journal of Palliative Medicine</w:t>
      </w:r>
      <w:r w:rsidRPr="00E42B26">
        <w:rPr>
          <w:rFonts w:eastAsiaTheme="minorHAnsi"/>
          <w:lang w:eastAsia="en-US"/>
        </w:rPr>
        <w:t>, 19</w:t>
      </w:r>
      <w:r w:rsidR="00EB5D57" w:rsidRPr="00E42B26">
        <w:rPr>
          <w:rFonts w:eastAsiaTheme="minorHAnsi"/>
          <w:lang w:eastAsia="en-US"/>
        </w:rPr>
        <w:t xml:space="preserve"> </w:t>
      </w:r>
      <w:r w:rsidRPr="00E42B26">
        <w:rPr>
          <w:rFonts w:eastAsiaTheme="minorHAnsi"/>
          <w:lang w:eastAsia="en-US"/>
        </w:rPr>
        <w:t>(6), 622–25.</w:t>
      </w:r>
    </w:p>
    <w:p w14:paraId="67382BB8" w14:textId="350C0171" w:rsidR="00E80A14" w:rsidRDefault="00E80A14" w:rsidP="00E80A14">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Dai, Hengchen, Katherine L. Milkman, and Jason Riis (2014), “The Fresh Start Effect: Temporal Landmarks Motivate Aspirational Behavior,” </w:t>
      </w:r>
      <w:r w:rsidRPr="00E42B26">
        <w:rPr>
          <w:rFonts w:eastAsiaTheme="minorHAnsi"/>
          <w:i/>
          <w:iCs/>
          <w:lang w:eastAsia="en-US"/>
        </w:rPr>
        <w:t>Management Science</w:t>
      </w:r>
      <w:r w:rsidRPr="00E42B26">
        <w:rPr>
          <w:rFonts w:eastAsiaTheme="minorHAnsi"/>
          <w:lang w:eastAsia="en-US"/>
        </w:rPr>
        <w:t>, 60 (10), 2563–82.</w:t>
      </w:r>
    </w:p>
    <w:p w14:paraId="42E8EDEB" w14:textId="1FA7BA93" w:rsidR="001F1EBC" w:rsidRPr="001F1EBC" w:rsidRDefault="001F1EBC" w:rsidP="001F1EBC">
      <w:pPr>
        <w:autoSpaceDE w:val="0"/>
        <w:autoSpaceDN w:val="0"/>
        <w:adjustRightInd w:val="0"/>
        <w:spacing w:after="240" w:line="360" w:lineRule="auto"/>
        <w:ind w:left="720" w:hanging="720"/>
        <w:rPr>
          <w:rFonts w:eastAsiaTheme="minorHAnsi"/>
          <w:lang w:eastAsia="en-US"/>
        </w:rPr>
      </w:pPr>
      <w:r w:rsidRPr="001F1EBC">
        <w:rPr>
          <w:rFonts w:eastAsiaTheme="minorHAnsi"/>
          <w:lang w:eastAsia="en-US"/>
        </w:rPr>
        <w:t>Davis, C. P. (2012)</w:t>
      </w:r>
      <w:r>
        <w:rPr>
          <w:rFonts w:eastAsiaTheme="minorHAnsi"/>
          <w:lang w:eastAsia="en-US"/>
        </w:rPr>
        <w:t>,</w:t>
      </w:r>
      <w:r w:rsidRPr="001F1EBC">
        <w:rPr>
          <w:rFonts w:eastAsiaTheme="minorHAnsi"/>
          <w:lang w:eastAsia="en-US"/>
        </w:rPr>
        <w:t xml:space="preserve"> </w:t>
      </w:r>
      <w:r>
        <w:rPr>
          <w:rFonts w:eastAsiaTheme="minorHAnsi"/>
          <w:lang w:eastAsia="en-US"/>
        </w:rPr>
        <w:t>“</w:t>
      </w:r>
      <w:r w:rsidRPr="001F1EBC">
        <w:rPr>
          <w:rFonts w:eastAsiaTheme="minorHAnsi"/>
          <w:lang w:eastAsia="en-US"/>
        </w:rPr>
        <w:t xml:space="preserve">Emergency </w:t>
      </w:r>
      <w:r>
        <w:rPr>
          <w:rFonts w:eastAsiaTheme="minorHAnsi"/>
          <w:lang w:eastAsia="en-US"/>
        </w:rPr>
        <w:t>D</w:t>
      </w:r>
      <w:r w:rsidRPr="001F1EBC">
        <w:rPr>
          <w:rFonts w:eastAsiaTheme="minorHAnsi"/>
          <w:lang w:eastAsia="en-US"/>
        </w:rPr>
        <w:t xml:space="preserve">epartment </w:t>
      </w:r>
      <w:r>
        <w:rPr>
          <w:rFonts w:eastAsiaTheme="minorHAnsi"/>
          <w:lang w:eastAsia="en-US"/>
        </w:rPr>
        <w:t>V</w:t>
      </w:r>
      <w:r w:rsidRPr="001F1EBC">
        <w:rPr>
          <w:rFonts w:eastAsiaTheme="minorHAnsi"/>
          <w:lang w:eastAsia="en-US"/>
        </w:rPr>
        <w:t xml:space="preserve">isits: </w:t>
      </w:r>
      <w:r>
        <w:rPr>
          <w:rFonts w:eastAsiaTheme="minorHAnsi"/>
          <w:lang w:eastAsia="en-US"/>
        </w:rPr>
        <w:t>W</w:t>
      </w:r>
      <w:r w:rsidRPr="001F1EBC">
        <w:rPr>
          <w:rFonts w:eastAsiaTheme="minorHAnsi"/>
          <w:lang w:eastAsia="en-US"/>
        </w:rPr>
        <w:t xml:space="preserve">e </w:t>
      </w:r>
      <w:r>
        <w:rPr>
          <w:rFonts w:eastAsiaTheme="minorHAnsi"/>
          <w:lang w:eastAsia="en-US"/>
        </w:rPr>
        <w:t>A</w:t>
      </w:r>
      <w:r w:rsidRPr="001F1EBC">
        <w:rPr>
          <w:rFonts w:eastAsiaTheme="minorHAnsi"/>
          <w:lang w:eastAsia="en-US"/>
        </w:rPr>
        <w:t xml:space="preserve">re </w:t>
      </w:r>
      <w:r>
        <w:rPr>
          <w:rFonts w:eastAsiaTheme="minorHAnsi"/>
          <w:lang w:eastAsia="en-US"/>
        </w:rPr>
        <w:t>N</w:t>
      </w:r>
      <w:r w:rsidRPr="001F1EBC">
        <w:rPr>
          <w:rFonts w:eastAsiaTheme="minorHAnsi"/>
          <w:lang w:eastAsia="en-US"/>
        </w:rPr>
        <w:t xml:space="preserve">ot </w:t>
      </w:r>
      <w:r>
        <w:rPr>
          <w:rFonts w:eastAsiaTheme="minorHAnsi"/>
          <w:lang w:eastAsia="en-US"/>
        </w:rPr>
        <w:t>P</w:t>
      </w:r>
      <w:r w:rsidRPr="001F1EBC">
        <w:rPr>
          <w:rFonts w:eastAsiaTheme="minorHAnsi"/>
          <w:lang w:eastAsia="en-US"/>
        </w:rPr>
        <w:t>repared</w:t>
      </w:r>
      <w:r>
        <w:rPr>
          <w:rFonts w:eastAsiaTheme="minorHAnsi"/>
          <w:lang w:eastAsia="en-US"/>
        </w:rPr>
        <w:t>,”</w:t>
      </w:r>
      <w:r w:rsidRPr="001F1EBC">
        <w:rPr>
          <w:rFonts w:eastAsiaTheme="minorHAnsi"/>
          <w:lang w:eastAsia="en-US"/>
        </w:rPr>
        <w:t> </w:t>
      </w:r>
      <w:r w:rsidRPr="001F1EBC">
        <w:rPr>
          <w:rFonts w:eastAsiaTheme="minorHAnsi"/>
          <w:i/>
          <w:iCs/>
          <w:lang w:eastAsia="en-US"/>
        </w:rPr>
        <w:t xml:space="preserve">The American </w:t>
      </w:r>
      <w:r>
        <w:rPr>
          <w:rFonts w:eastAsiaTheme="minorHAnsi"/>
          <w:i/>
          <w:iCs/>
          <w:lang w:eastAsia="en-US"/>
        </w:rPr>
        <w:t>J</w:t>
      </w:r>
      <w:r w:rsidRPr="001F1EBC">
        <w:rPr>
          <w:rFonts w:eastAsiaTheme="minorHAnsi"/>
          <w:i/>
          <w:iCs/>
          <w:lang w:eastAsia="en-US"/>
        </w:rPr>
        <w:t xml:space="preserve">ournal of </w:t>
      </w:r>
      <w:r>
        <w:rPr>
          <w:rFonts w:eastAsiaTheme="minorHAnsi"/>
          <w:i/>
          <w:iCs/>
          <w:lang w:eastAsia="en-US"/>
        </w:rPr>
        <w:t>E</w:t>
      </w:r>
      <w:r w:rsidRPr="001F1EBC">
        <w:rPr>
          <w:rFonts w:eastAsiaTheme="minorHAnsi"/>
          <w:i/>
          <w:iCs/>
          <w:lang w:eastAsia="en-US"/>
        </w:rPr>
        <w:t xml:space="preserve">mergency </w:t>
      </w:r>
      <w:r>
        <w:rPr>
          <w:rFonts w:eastAsiaTheme="minorHAnsi"/>
          <w:i/>
          <w:iCs/>
          <w:lang w:eastAsia="en-US"/>
        </w:rPr>
        <w:t>M</w:t>
      </w:r>
      <w:r w:rsidRPr="001F1EBC">
        <w:rPr>
          <w:rFonts w:eastAsiaTheme="minorHAnsi"/>
          <w:i/>
          <w:iCs/>
          <w:lang w:eastAsia="en-US"/>
        </w:rPr>
        <w:t>edicine</w:t>
      </w:r>
      <w:r w:rsidRPr="001F1EBC">
        <w:rPr>
          <w:rFonts w:eastAsiaTheme="minorHAnsi"/>
          <w:lang w:eastAsia="en-US"/>
        </w:rPr>
        <w:t>, </w:t>
      </w:r>
      <w:r w:rsidRPr="00ED7622">
        <w:rPr>
          <w:rFonts w:eastAsiaTheme="minorHAnsi"/>
          <w:lang w:eastAsia="en-US"/>
        </w:rPr>
        <w:t xml:space="preserve">30 </w:t>
      </w:r>
      <w:r w:rsidRPr="001F1EBC">
        <w:rPr>
          <w:rFonts w:eastAsiaTheme="minorHAnsi"/>
          <w:lang w:eastAsia="en-US"/>
        </w:rPr>
        <w:t>(8), 1364</w:t>
      </w:r>
      <w:r w:rsidRPr="00E42B26">
        <w:rPr>
          <w:rFonts w:eastAsiaTheme="minorHAnsi"/>
          <w:lang w:eastAsia="en-US"/>
        </w:rPr>
        <w:t>–</w:t>
      </w:r>
      <w:r w:rsidRPr="001F1EBC">
        <w:rPr>
          <w:rFonts w:eastAsiaTheme="minorHAnsi"/>
          <w:lang w:eastAsia="en-US"/>
        </w:rPr>
        <w:t>1370.</w:t>
      </w:r>
    </w:p>
    <w:p w14:paraId="2FAAFC3F" w14:textId="561A6D33" w:rsidR="008C58E1" w:rsidRPr="00E42B26"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Detering, Karen M., Andrew D. Hancock, Michael C. Reade, and William Silvester (2010), “The Impact of Advance Care Planning on End of Life Care in Elderly Patients: Randomised Controlled Trial,” </w:t>
      </w:r>
      <w:r w:rsidRPr="00E42B26">
        <w:rPr>
          <w:rFonts w:eastAsiaTheme="minorHAnsi"/>
          <w:i/>
          <w:iCs/>
          <w:lang w:eastAsia="en-US"/>
        </w:rPr>
        <w:t>BMJ</w:t>
      </w:r>
      <w:r w:rsidRPr="00E42B26">
        <w:rPr>
          <w:rFonts w:eastAsiaTheme="minorHAnsi"/>
          <w:lang w:eastAsia="en-US"/>
        </w:rPr>
        <w:t>, 340.</w:t>
      </w:r>
    </w:p>
    <w:p w14:paraId="6C338A24" w14:textId="4A02011A" w:rsidR="008C58E1" w:rsidRPr="00E42B26"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Ditto, Peter H., William D. Smucker, Joseph H. Danks, Jill A. Jacobson, Renate M. Houts, Angela Fagerlin, Kristen M. Coppola, and R. Mitchell </w:t>
      </w:r>
      <w:proofErr w:type="spellStart"/>
      <w:r w:rsidRPr="00E42B26">
        <w:rPr>
          <w:rFonts w:eastAsiaTheme="minorHAnsi"/>
          <w:lang w:eastAsia="en-US"/>
        </w:rPr>
        <w:t>Gready</w:t>
      </w:r>
      <w:proofErr w:type="spellEnd"/>
      <w:r w:rsidRPr="00E42B26">
        <w:rPr>
          <w:rFonts w:eastAsiaTheme="minorHAnsi"/>
          <w:lang w:eastAsia="en-US"/>
        </w:rPr>
        <w:t xml:space="preserve"> (2003), “Stability of Older </w:t>
      </w:r>
      <w:r w:rsidRPr="00E42B26">
        <w:rPr>
          <w:rFonts w:eastAsiaTheme="minorHAnsi"/>
          <w:lang w:eastAsia="en-US"/>
        </w:rPr>
        <w:lastRenderedPageBreak/>
        <w:t xml:space="preserve">Adults’ Preferences for Life-Sustaining Medical Treatment,” </w:t>
      </w:r>
      <w:r w:rsidRPr="00E42B26">
        <w:rPr>
          <w:rFonts w:eastAsiaTheme="minorHAnsi"/>
          <w:i/>
          <w:iCs/>
          <w:lang w:eastAsia="en-US"/>
        </w:rPr>
        <w:t>Health Psychology</w:t>
      </w:r>
      <w:r w:rsidRPr="00E42B26">
        <w:rPr>
          <w:rFonts w:eastAsiaTheme="minorHAnsi"/>
          <w:lang w:eastAsia="en-US"/>
        </w:rPr>
        <w:t>, 22</w:t>
      </w:r>
      <w:r w:rsidR="00EB5D57" w:rsidRPr="00E42B26">
        <w:rPr>
          <w:rFonts w:eastAsiaTheme="minorHAnsi"/>
          <w:lang w:eastAsia="en-US"/>
        </w:rPr>
        <w:t xml:space="preserve"> </w:t>
      </w:r>
      <w:r w:rsidRPr="00E42B26">
        <w:rPr>
          <w:rFonts w:eastAsiaTheme="minorHAnsi"/>
          <w:lang w:eastAsia="en-US"/>
        </w:rPr>
        <w:t>(6), 605–15.</w:t>
      </w:r>
    </w:p>
    <w:p w14:paraId="10476DA8" w14:textId="49F1171D" w:rsidR="008C58E1" w:rsidRPr="00E42B26"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Duncan, Ian, Tamim Ahmed, Henry Dove, and Terri L. Maxwell (2019), “Medicare Cost at End of Life,” </w:t>
      </w:r>
      <w:r w:rsidRPr="00E42B26">
        <w:rPr>
          <w:rFonts w:eastAsiaTheme="minorHAnsi"/>
          <w:i/>
          <w:iCs/>
          <w:lang w:eastAsia="en-US"/>
        </w:rPr>
        <w:t>American Journal of Hospice and Palliative Medicine®</w:t>
      </w:r>
      <w:r w:rsidRPr="00E42B26">
        <w:rPr>
          <w:rFonts w:eastAsiaTheme="minorHAnsi"/>
          <w:lang w:eastAsia="en-US"/>
        </w:rPr>
        <w:t>, 36</w:t>
      </w:r>
      <w:r w:rsidR="00EB5D57" w:rsidRPr="00E42B26">
        <w:rPr>
          <w:rFonts w:eastAsiaTheme="minorHAnsi"/>
          <w:lang w:eastAsia="en-US"/>
        </w:rPr>
        <w:t xml:space="preserve"> </w:t>
      </w:r>
      <w:r w:rsidRPr="00E42B26">
        <w:rPr>
          <w:rFonts w:eastAsiaTheme="minorHAnsi"/>
          <w:lang w:eastAsia="en-US"/>
        </w:rPr>
        <w:t>(8), 705–10.</w:t>
      </w:r>
    </w:p>
    <w:p w14:paraId="1F469323" w14:textId="4110971D" w:rsidR="008C58E1" w:rsidRPr="00E42B26"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Earle, Craig C., Mary Beth Landrum, Jeffrey M. Souza, Bridget A. Neville, Jane C. Weeks, and John Z. </w:t>
      </w:r>
      <w:proofErr w:type="spellStart"/>
      <w:r w:rsidRPr="00E42B26">
        <w:rPr>
          <w:rFonts w:eastAsiaTheme="minorHAnsi"/>
          <w:lang w:eastAsia="en-US"/>
        </w:rPr>
        <w:t>Ayanian</w:t>
      </w:r>
      <w:proofErr w:type="spellEnd"/>
      <w:r w:rsidRPr="00E42B26">
        <w:rPr>
          <w:rFonts w:eastAsiaTheme="minorHAnsi"/>
          <w:lang w:eastAsia="en-US"/>
        </w:rPr>
        <w:t xml:space="preserve"> (2008), “Aggressiveness of Cancer Care Near the End of Life: Is It a Quality-of-Care Issue?,” </w:t>
      </w:r>
      <w:r w:rsidRPr="00E42B26">
        <w:rPr>
          <w:rFonts w:eastAsiaTheme="minorHAnsi"/>
          <w:i/>
          <w:iCs/>
          <w:lang w:eastAsia="en-US"/>
        </w:rPr>
        <w:t>Journal of Clinical Oncology</w:t>
      </w:r>
      <w:r w:rsidRPr="00E42B26">
        <w:rPr>
          <w:rFonts w:eastAsiaTheme="minorHAnsi"/>
          <w:lang w:eastAsia="en-US"/>
        </w:rPr>
        <w:t>, 26</w:t>
      </w:r>
      <w:r w:rsidR="00EB5D57" w:rsidRPr="00E42B26">
        <w:rPr>
          <w:rFonts w:eastAsiaTheme="minorHAnsi"/>
          <w:lang w:eastAsia="en-US"/>
        </w:rPr>
        <w:t xml:space="preserve"> </w:t>
      </w:r>
      <w:r w:rsidRPr="00E42B26">
        <w:rPr>
          <w:rFonts w:eastAsiaTheme="minorHAnsi"/>
          <w:lang w:eastAsia="en-US"/>
        </w:rPr>
        <w:t>(23), 3860–66.</w:t>
      </w:r>
    </w:p>
    <w:p w14:paraId="27945090" w14:textId="66C74320" w:rsidR="008C58E1" w:rsidRPr="00E42B26" w:rsidRDefault="008C58E1" w:rsidP="00C65EC8">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Fine, Robert L., </w:t>
      </w:r>
      <w:proofErr w:type="spellStart"/>
      <w:r w:rsidRPr="00E42B26">
        <w:rPr>
          <w:rFonts w:eastAsiaTheme="minorHAnsi"/>
          <w:lang w:eastAsia="en-US"/>
        </w:rPr>
        <w:t>Zhiyong</w:t>
      </w:r>
      <w:proofErr w:type="spellEnd"/>
      <w:r w:rsidRPr="00E42B26">
        <w:rPr>
          <w:rFonts w:eastAsiaTheme="minorHAnsi"/>
          <w:lang w:eastAsia="en-US"/>
        </w:rPr>
        <w:t xml:space="preserve"> Yang, Christy Spivey, Bonnie Boardman, and Maureen Courtney (2016), “Early Experience with Digital Advance Care Planning and Directives, a Novel Consumer-Driven Program,” </w:t>
      </w:r>
      <w:r w:rsidRPr="00E42B26">
        <w:rPr>
          <w:rFonts w:eastAsiaTheme="minorHAnsi"/>
          <w:i/>
          <w:iCs/>
          <w:lang w:eastAsia="en-US"/>
        </w:rPr>
        <w:t>Baylor University Medical Center Proceedings</w:t>
      </w:r>
      <w:r w:rsidRPr="00E42B26">
        <w:rPr>
          <w:rFonts w:eastAsiaTheme="minorHAnsi"/>
          <w:lang w:eastAsia="en-US"/>
        </w:rPr>
        <w:t>, 29</w:t>
      </w:r>
      <w:r w:rsidR="00EB5D57" w:rsidRPr="00E42B26">
        <w:rPr>
          <w:rFonts w:eastAsiaTheme="minorHAnsi"/>
          <w:lang w:eastAsia="en-US"/>
        </w:rPr>
        <w:t xml:space="preserve"> </w:t>
      </w:r>
      <w:r w:rsidRPr="00E42B26">
        <w:rPr>
          <w:rFonts w:eastAsiaTheme="minorHAnsi"/>
          <w:lang w:eastAsia="en-US"/>
        </w:rPr>
        <w:t>(3), 263–67.</w:t>
      </w:r>
    </w:p>
    <w:p w14:paraId="62D51568" w14:textId="311F149F" w:rsidR="00281D13" w:rsidRDefault="00281D13" w:rsidP="008C58E1">
      <w:pPr>
        <w:autoSpaceDE w:val="0"/>
        <w:autoSpaceDN w:val="0"/>
        <w:adjustRightInd w:val="0"/>
        <w:spacing w:after="240" w:line="360" w:lineRule="auto"/>
        <w:ind w:left="720" w:hanging="720"/>
        <w:rPr>
          <w:rFonts w:eastAsiaTheme="minorHAnsi"/>
          <w:lang w:eastAsia="en-US"/>
        </w:rPr>
      </w:pPr>
      <w:r w:rsidRPr="00281D13">
        <w:rPr>
          <w:rFonts w:eastAsiaTheme="minorHAnsi"/>
          <w:lang w:eastAsia="en-US"/>
        </w:rPr>
        <w:t xml:space="preserve">Halpern, Scott D., Dylan S. Small, Andrea B. Troxel, Elizabeth Cooney, Brian Bayes, </w:t>
      </w:r>
      <w:proofErr w:type="spellStart"/>
      <w:r w:rsidRPr="00281D13">
        <w:rPr>
          <w:rFonts w:eastAsiaTheme="minorHAnsi"/>
          <w:lang w:eastAsia="en-US"/>
        </w:rPr>
        <w:t>Marzana</w:t>
      </w:r>
      <w:proofErr w:type="spellEnd"/>
      <w:r w:rsidRPr="00281D13">
        <w:rPr>
          <w:rFonts w:eastAsiaTheme="minorHAnsi"/>
          <w:lang w:eastAsia="en-US"/>
        </w:rPr>
        <w:t xml:space="preserve"> Chowdhury, Heather E. Tomko</w:t>
      </w:r>
      <w:r w:rsidR="0008551A">
        <w:rPr>
          <w:rFonts w:eastAsiaTheme="minorHAnsi"/>
          <w:lang w:eastAsia="en-US"/>
        </w:rPr>
        <w:t>,</w:t>
      </w:r>
      <w:r w:rsidRPr="00281D13">
        <w:rPr>
          <w:rFonts w:eastAsiaTheme="minorHAnsi"/>
          <w:lang w:eastAsia="en-US"/>
        </w:rPr>
        <w:t xml:space="preserve"> </w:t>
      </w:r>
      <w:r w:rsidR="0008551A" w:rsidRPr="0008551A">
        <w:rPr>
          <w:rFonts w:eastAsiaTheme="minorHAnsi"/>
          <w:lang w:eastAsia="en-US"/>
        </w:rPr>
        <w:t xml:space="preserve">Derek C. Angus, Robert M. Arnold, George Loewenstein, Kevin G. </w:t>
      </w:r>
      <w:proofErr w:type="spellStart"/>
      <w:r w:rsidR="0008551A" w:rsidRPr="0008551A">
        <w:rPr>
          <w:rFonts w:eastAsiaTheme="minorHAnsi"/>
          <w:lang w:eastAsia="en-US"/>
        </w:rPr>
        <w:t>Volpp</w:t>
      </w:r>
      <w:proofErr w:type="spellEnd"/>
      <w:r w:rsidR="0008551A" w:rsidRPr="0008551A">
        <w:rPr>
          <w:rFonts w:eastAsiaTheme="minorHAnsi"/>
          <w:lang w:eastAsia="en-US"/>
        </w:rPr>
        <w:t xml:space="preserve">, Douglas B. White, </w:t>
      </w:r>
      <w:r w:rsidR="0008551A">
        <w:rPr>
          <w:rFonts w:eastAsiaTheme="minorHAnsi"/>
          <w:lang w:eastAsia="en-US"/>
        </w:rPr>
        <w:t xml:space="preserve">and </w:t>
      </w:r>
      <w:r w:rsidR="0008551A" w:rsidRPr="0008551A">
        <w:rPr>
          <w:rFonts w:eastAsiaTheme="minorHAnsi"/>
          <w:lang w:eastAsia="en-US"/>
        </w:rPr>
        <w:t>Cindy L. Bryce</w:t>
      </w:r>
      <w:r w:rsidR="003265E7">
        <w:rPr>
          <w:rFonts w:eastAsiaTheme="minorHAnsi"/>
          <w:lang w:eastAsia="en-US"/>
        </w:rPr>
        <w:t xml:space="preserve"> (2020)</w:t>
      </w:r>
      <w:r w:rsidR="0008551A" w:rsidRPr="0008551A">
        <w:rPr>
          <w:rFonts w:eastAsiaTheme="minorHAnsi"/>
          <w:lang w:eastAsia="en-US"/>
        </w:rPr>
        <w:t xml:space="preserve">, </w:t>
      </w:r>
      <w:r>
        <w:rPr>
          <w:rFonts w:eastAsiaTheme="minorHAnsi"/>
          <w:lang w:eastAsia="en-US"/>
        </w:rPr>
        <w:t>“</w:t>
      </w:r>
      <w:r w:rsidRPr="00281D13">
        <w:rPr>
          <w:rFonts w:eastAsiaTheme="minorHAnsi"/>
          <w:lang w:eastAsia="en-US"/>
        </w:rPr>
        <w:t xml:space="preserve">Effect of </w:t>
      </w:r>
      <w:r w:rsidR="0008551A">
        <w:rPr>
          <w:rFonts w:eastAsiaTheme="minorHAnsi"/>
          <w:lang w:eastAsia="en-US"/>
        </w:rPr>
        <w:t>D</w:t>
      </w:r>
      <w:r w:rsidRPr="00281D13">
        <w:rPr>
          <w:rFonts w:eastAsiaTheme="minorHAnsi"/>
          <w:lang w:eastAsia="en-US"/>
        </w:rPr>
        <w:t xml:space="preserve">efault </w:t>
      </w:r>
      <w:r w:rsidR="0008551A">
        <w:rPr>
          <w:rFonts w:eastAsiaTheme="minorHAnsi"/>
          <w:lang w:eastAsia="en-US"/>
        </w:rPr>
        <w:t>O</w:t>
      </w:r>
      <w:r w:rsidRPr="00281D13">
        <w:rPr>
          <w:rFonts w:eastAsiaTheme="minorHAnsi"/>
          <w:lang w:eastAsia="en-US"/>
        </w:rPr>
        <w:t xml:space="preserve">ptions in </w:t>
      </w:r>
      <w:r w:rsidR="0008551A">
        <w:rPr>
          <w:rFonts w:eastAsiaTheme="minorHAnsi"/>
          <w:lang w:eastAsia="en-US"/>
        </w:rPr>
        <w:t>A</w:t>
      </w:r>
      <w:r w:rsidRPr="00281D13">
        <w:rPr>
          <w:rFonts w:eastAsiaTheme="minorHAnsi"/>
          <w:lang w:eastAsia="en-US"/>
        </w:rPr>
        <w:t xml:space="preserve">dvance </w:t>
      </w:r>
      <w:r w:rsidR="0008551A">
        <w:rPr>
          <w:rFonts w:eastAsiaTheme="minorHAnsi"/>
          <w:lang w:eastAsia="en-US"/>
        </w:rPr>
        <w:t>D</w:t>
      </w:r>
      <w:r w:rsidRPr="00281D13">
        <w:rPr>
          <w:rFonts w:eastAsiaTheme="minorHAnsi"/>
          <w:lang w:eastAsia="en-US"/>
        </w:rPr>
        <w:t xml:space="preserve">irectives on </w:t>
      </w:r>
      <w:r w:rsidR="0008551A">
        <w:rPr>
          <w:rFonts w:eastAsiaTheme="minorHAnsi"/>
          <w:lang w:eastAsia="en-US"/>
        </w:rPr>
        <w:t>H</w:t>
      </w:r>
      <w:r w:rsidRPr="00281D13">
        <w:rPr>
          <w:rFonts w:eastAsiaTheme="minorHAnsi"/>
          <w:lang w:eastAsia="en-US"/>
        </w:rPr>
        <w:t xml:space="preserve">ospital-free </w:t>
      </w:r>
      <w:r w:rsidR="0008551A">
        <w:rPr>
          <w:rFonts w:eastAsiaTheme="minorHAnsi"/>
          <w:lang w:eastAsia="en-US"/>
        </w:rPr>
        <w:t>D</w:t>
      </w:r>
      <w:r w:rsidRPr="00281D13">
        <w:rPr>
          <w:rFonts w:eastAsiaTheme="minorHAnsi"/>
          <w:lang w:eastAsia="en-US"/>
        </w:rPr>
        <w:t xml:space="preserve">ays and </w:t>
      </w:r>
      <w:r w:rsidR="0008551A">
        <w:rPr>
          <w:rFonts w:eastAsiaTheme="minorHAnsi"/>
          <w:lang w:eastAsia="en-US"/>
        </w:rPr>
        <w:t>C</w:t>
      </w:r>
      <w:r w:rsidRPr="00281D13">
        <w:rPr>
          <w:rFonts w:eastAsiaTheme="minorHAnsi"/>
          <w:lang w:eastAsia="en-US"/>
        </w:rPr>
        <w:t xml:space="preserve">are </w:t>
      </w:r>
      <w:r w:rsidR="0008551A">
        <w:rPr>
          <w:rFonts w:eastAsiaTheme="minorHAnsi"/>
          <w:lang w:eastAsia="en-US"/>
        </w:rPr>
        <w:t>C</w:t>
      </w:r>
      <w:r w:rsidRPr="00281D13">
        <w:rPr>
          <w:rFonts w:eastAsiaTheme="minorHAnsi"/>
          <w:lang w:eastAsia="en-US"/>
        </w:rPr>
        <w:t xml:space="preserve">hoices among </w:t>
      </w:r>
      <w:r w:rsidR="0008551A">
        <w:rPr>
          <w:rFonts w:eastAsiaTheme="minorHAnsi"/>
          <w:lang w:eastAsia="en-US"/>
        </w:rPr>
        <w:t>S</w:t>
      </w:r>
      <w:r w:rsidRPr="00281D13">
        <w:rPr>
          <w:rFonts w:eastAsiaTheme="minorHAnsi"/>
          <w:lang w:eastAsia="en-US"/>
        </w:rPr>
        <w:t xml:space="preserve">eriously </w:t>
      </w:r>
      <w:r w:rsidR="0008551A">
        <w:rPr>
          <w:rFonts w:eastAsiaTheme="minorHAnsi"/>
          <w:lang w:eastAsia="en-US"/>
        </w:rPr>
        <w:t>I</w:t>
      </w:r>
      <w:r w:rsidRPr="00281D13">
        <w:rPr>
          <w:rFonts w:eastAsiaTheme="minorHAnsi"/>
          <w:lang w:eastAsia="en-US"/>
        </w:rPr>
        <w:t xml:space="preserve">ll </w:t>
      </w:r>
      <w:r w:rsidR="0008551A">
        <w:rPr>
          <w:rFonts w:eastAsiaTheme="minorHAnsi"/>
          <w:lang w:eastAsia="en-US"/>
        </w:rPr>
        <w:t>P</w:t>
      </w:r>
      <w:r w:rsidRPr="00281D13">
        <w:rPr>
          <w:rFonts w:eastAsiaTheme="minorHAnsi"/>
          <w:lang w:eastAsia="en-US"/>
        </w:rPr>
        <w:t xml:space="preserve">atients: </w:t>
      </w:r>
      <w:r w:rsidR="0008551A">
        <w:rPr>
          <w:rFonts w:eastAsiaTheme="minorHAnsi"/>
          <w:lang w:eastAsia="en-US"/>
        </w:rPr>
        <w:t>A</w:t>
      </w:r>
      <w:r w:rsidRPr="00281D13">
        <w:rPr>
          <w:rFonts w:eastAsiaTheme="minorHAnsi"/>
          <w:lang w:eastAsia="en-US"/>
        </w:rPr>
        <w:t xml:space="preserve"> </w:t>
      </w:r>
      <w:r w:rsidR="0008551A">
        <w:rPr>
          <w:rFonts w:eastAsiaTheme="minorHAnsi"/>
          <w:lang w:eastAsia="en-US"/>
        </w:rPr>
        <w:t>R</w:t>
      </w:r>
      <w:r w:rsidRPr="00281D13">
        <w:rPr>
          <w:rFonts w:eastAsiaTheme="minorHAnsi"/>
          <w:lang w:eastAsia="en-US"/>
        </w:rPr>
        <w:t xml:space="preserve">andomized </w:t>
      </w:r>
      <w:r w:rsidR="0008551A">
        <w:rPr>
          <w:rFonts w:eastAsiaTheme="minorHAnsi"/>
          <w:lang w:eastAsia="en-US"/>
        </w:rPr>
        <w:t>C</w:t>
      </w:r>
      <w:r w:rsidRPr="00281D13">
        <w:rPr>
          <w:rFonts w:eastAsiaTheme="minorHAnsi"/>
          <w:lang w:eastAsia="en-US"/>
        </w:rPr>
        <w:t xml:space="preserve">linical </w:t>
      </w:r>
      <w:r w:rsidR="0008551A">
        <w:rPr>
          <w:rFonts w:eastAsiaTheme="minorHAnsi"/>
          <w:lang w:eastAsia="en-US"/>
        </w:rPr>
        <w:t>T</w:t>
      </w:r>
      <w:r w:rsidRPr="00281D13">
        <w:rPr>
          <w:rFonts w:eastAsiaTheme="minorHAnsi"/>
          <w:lang w:eastAsia="en-US"/>
        </w:rPr>
        <w:t>rial</w:t>
      </w:r>
      <w:r>
        <w:rPr>
          <w:rFonts w:eastAsiaTheme="minorHAnsi"/>
          <w:lang w:eastAsia="en-US"/>
        </w:rPr>
        <w:t>,”</w:t>
      </w:r>
      <w:r w:rsidRPr="00281D13">
        <w:rPr>
          <w:rFonts w:eastAsiaTheme="minorHAnsi"/>
          <w:lang w:eastAsia="en-US"/>
        </w:rPr>
        <w:t xml:space="preserve"> </w:t>
      </w:r>
      <w:r w:rsidRPr="000105DA">
        <w:rPr>
          <w:rFonts w:eastAsiaTheme="minorHAnsi"/>
          <w:i/>
          <w:iCs/>
          <w:lang w:eastAsia="en-US"/>
        </w:rPr>
        <w:t>JAMA Network Open</w:t>
      </w:r>
      <w:r>
        <w:rPr>
          <w:rFonts w:eastAsiaTheme="minorHAnsi"/>
          <w:lang w:eastAsia="en-US"/>
        </w:rPr>
        <w:t>,</w:t>
      </w:r>
      <w:r w:rsidRPr="00281D13">
        <w:rPr>
          <w:rFonts w:eastAsiaTheme="minorHAnsi"/>
          <w:lang w:eastAsia="en-US"/>
        </w:rPr>
        <w:t xml:space="preserve"> 3</w:t>
      </w:r>
      <w:r>
        <w:rPr>
          <w:rFonts w:eastAsiaTheme="minorHAnsi"/>
          <w:lang w:eastAsia="en-US"/>
        </w:rPr>
        <w:t xml:space="preserve"> (</w:t>
      </w:r>
      <w:r w:rsidRPr="00281D13">
        <w:rPr>
          <w:rFonts w:eastAsiaTheme="minorHAnsi"/>
          <w:lang w:eastAsia="en-US"/>
        </w:rPr>
        <w:t>3</w:t>
      </w:r>
      <w:r>
        <w:rPr>
          <w:rFonts w:eastAsiaTheme="minorHAnsi"/>
          <w:lang w:eastAsia="en-US"/>
        </w:rPr>
        <w:t>),</w:t>
      </w:r>
      <w:r w:rsidRPr="00281D13">
        <w:rPr>
          <w:rFonts w:eastAsiaTheme="minorHAnsi"/>
          <w:lang w:eastAsia="en-US"/>
        </w:rPr>
        <w:t xml:space="preserve"> e201742-e201742.</w:t>
      </w:r>
    </w:p>
    <w:p w14:paraId="1443F503" w14:textId="3019A4D4" w:rsidR="008C58E1" w:rsidRPr="00E42B26"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Hawkins, Nikki Ayers, Peter H. Ditto, Joseph H. Danks, and William D. Smucker (2005), “Micromanaging Death: Process Preferences, Values, and Goals in End-of-Life Medical Decision Making,” </w:t>
      </w:r>
      <w:r w:rsidRPr="00E42B26">
        <w:rPr>
          <w:rFonts w:eastAsiaTheme="minorHAnsi"/>
          <w:i/>
          <w:iCs/>
          <w:lang w:eastAsia="en-US"/>
        </w:rPr>
        <w:t>The Gerontologist</w:t>
      </w:r>
      <w:r w:rsidRPr="00E42B26">
        <w:rPr>
          <w:rFonts w:eastAsiaTheme="minorHAnsi"/>
          <w:lang w:eastAsia="en-US"/>
        </w:rPr>
        <w:t>, 45</w:t>
      </w:r>
      <w:r w:rsidR="00EB5D57" w:rsidRPr="00E42B26">
        <w:rPr>
          <w:rFonts w:eastAsiaTheme="minorHAnsi"/>
          <w:lang w:eastAsia="en-US"/>
        </w:rPr>
        <w:t xml:space="preserve"> </w:t>
      </w:r>
      <w:r w:rsidRPr="00E42B26">
        <w:rPr>
          <w:rFonts w:eastAsiaTheme="minorHAnsi"/>
          <w:lang w:eastAsia="en-US"/>
        </w:rPr>
        <w:t>(1), 107–17.</w:t>
      </w:r>
    </w:p>
    <w:p w14:paraId="04AAD866" w14:textId="667306AC" w:rsidR="00CE1837" w:rsidRPr="00E42B26" w:rsidRDefault="00CE1837" w:rsidP="00CE1837">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Johnson, Eric J. and Daniel Goldstein (2003), “Do Defaults Save Lives?” </w:t>
      </w:r>
      <w:r w:rsidRPr="00E42B26">
        <w:rPr>
          <w:rFonts w:eastAsiaTheme="minorHAnsi"/>
          <w:i/>
          <w:iCs/>
          <w:lang w:eastAsia="en-US"/>
        </w:rPr>
        <w:t>Science</w:t>
      </w:r>
      <w:r w:rsidRPr="00E42B26">
        <w:rPr>
          <w:rFonts w:eastAsiaTheme="minorHAnsi"/>
          <w:lang w:eastAsia="en-US"/>
        </w:rPr>
        <w:t>, 302 (5649), 1338–39.</w:t>
      </w:r>
    </w:p>
    <w:p w14:paraId="65D3F2D0" w14:textId="37ED1327" w:rsidR="00041868" w:rsidRPr="00E42B26" w:rsidRDefault="00041868" w:rsidP="00041868">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Kahneman, Daniel and Dale T. Miller (1986), “Norm Theory: Comparing Reality to Its Alternatives,” </w:t>
      </w:r>
      <w:r w:rsidRPr="00E42B26">
        <w:rPr>
          <w:rFonts w:eastAsiaTheme="minorHAnsi"/>
          <w:i/>
          <w:iCs/>
          <w:lang w:eastAsia="en-US"/>
        </w:rPr>
        <w:t>Psychological Review</w:t>
      </w:r>
      <w:r w:rsidRPr="00E42B26">
        <w:rPr>
          <w:rFonts w:eastAsiaTheme="minorHAnsi"/>
          <w:lang w:eastAsia="en-US"/>
        </w:rPr>
        <w:t>, 93(2), 136–53.</w:t>
      </w:r>
    </w:p>
    <w:p w14:paraId="098C3BD7" w14:textId="21B0AE15" w:rsidR="008C58E1" w:rsidRPr="00E42B26" w:rsidRDefault="00CE1837" w:rsidP="00FE596E">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Li, </w:t>
      </w:r>
      <w:proofErr w:type="spellStart"/>
      <w:r w:rsidRPr="00E42B26">
        <w:rPr>
          <w:rFonts w:eastAsiaTheme="minorHAnsi"/>
          <w:lang w:eastAsia="en-US"/>
        </w:rPr>
        <w:t>Danyang</w:t>
      </w:r>
      <w:proofErr w:type="spellEnd"/>
      <w:r w:rsidRPr="00E42B26">
        <w:rPr>
          <w:rFonts w:eastAsiaTheme="minorHAnsi"/>
          <w:lang w:eastAsia="en-US"/>
        </w:rPr>
        <w:t xml:space="preserve">, Zackary Hawley, and Kurt Schnier (2013), “Increasing Organ Donation via Changes in the Default Choice or Allocation Rule,” </w:t>
      </w:r>
      <w:r w:rsidRPr="00E42B26">
        <w:rPr>
          <w:rFonts w:eastAsiaTheme="minorHAnsi"/>
          <w:i/>
          <w:iCs/>
          <w:lang w:eastAsia="en-US"/>
        </w:rPr>
        <w:t>Journal of Health Economics</w:t>
      </w:r>
      <w:r w:rsidRPr="00E42B26">
        <w:rPr>
          <w:rFonts w:eastAsiaTheme="minorHAnsi"/>
          <w:lang w:eastAsia="en-US"/>
        </w:rPr>
        <w:t>, 32 (6), 1117–29.</w:t>
      </w:r>
    </w:p>
    <w:p w14:paraId="63E067D7" w14:textId="33256DB1" w:rsidR="008C58E1" w:rsidRPr="00E42B26"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lastRenderedPageBreak/>
        <w:t xml:space="preserve">Matsuyama, Robin, </w:t>
      </w:r>
      <w:proofErr w:type="spellStart"/>
      <w:r w:rsidRPr="00E42B26">
        <w:rPr>
          <w:rFonts w:eastAsiaTheme="minorHAnsi"/>
          <w:lang w:eastAsia="en-US"/>
        </w:rPr>
        <w:t>Sashidhar</w:t>
      </w:r>
      <w:proofErr w:type="spellEnd"/>
      <w:r w:rsidRPr="00E42B26">
        <w:rPr>
          <w:rFonts w:eastAsiaTheme="minorHAnsi"/>
          <w:lang w:eastAsia="en-US"/>
        </w:rPr>
        <w:t xml:space="preserve"> Reddy, and Thomas J. Smith</w:t>
      </w:r>
      <w:r w:rsidR="00057142" w:rsidRPr="00E42B26">
        <w:rPr>
          <w:rFonts w:eastAsiaTheme="minorHAnsi"/>
          <w:lang w:eastAsia="en-US"/>
        </w:rPr>
        <w:t xml:space="preserve"> (2006),</w:t>
      </w:r>
      <w:r w:rsidRPr="00E42B26">
        <w:rPr>
          <w:rFonts w:eastAsiaTheme="minorHAnsi"/>
          <w:lang w:eastAsia="en-US"/>
        </w:rPr>
        <w:t xml:space="preserve"> “Why Do Patients Choose Chemotherapy Near the End of Life? A Review of the Perspective of Those Facing Death </w:t>
      </w:r>
      <w:proofErr w:type="gramStart"/>
      <w:r w:rsidRPr="00E42B26">
        <w:rPr>
          <w:rFonts w:eastAsiaTheme="minorHAnsi"/>
          <w:lang w:eastAsia="en-US"/>
        </w:rPr>
        <w:t>From</w:t>
      </w:r>
      <w:proofErr w:type="gramEnd"/>
      <w:r w:rsidRPr="00E42B26">
        <w:rPr>
          <w:rFonts w:eastAsiaTheme="minorHAnsi"/>
          <w:lang w:eastAsia="en-US"/>
        </w:rPr>
        <w:t xml:space="preserve"> Cancer,” </w:t>
      </w:r>
      <w:r w:rsidRPr="00E42B26">
        <w:rPr>
          <w:rFonts w:eastAsiaTheme="minorHAnsi"/>
          <w:i/>
          <w:iCs/>
          <w:lang w:eastAsia="en-US"/>
        </w:rPr>
        <w:t>Journal of Clinical Oncology</w:t>
      </w:r>
      <w:r w:rsidRPr="00E42B26">
        <w:rPr>
          <w:rFonts w:eastAsiaTheme="minorHAnsi"/>
          <w:lang w:eastAsia="en-US"/>
        </w:rPr>
        <w:t>, 24</w:t>
      </w:r>
      <w:r w:rsidR="00EB5D57" w:rsidRPr="00E42B26">
        <w:rPr>
          <w:rFonts w:eastAsiaTheme="minorHAnsi"/>
          <w:lang w:eastAsia="en-US"/>
        </w:rPr>
        <w:t xml:space="preserve"> </w:t>
      </w:r>
      <w:r w:rsidRPr="00E42B26">
        <w:rPr>
          <w:rFonts w:eastAsiaTheme="minorHAnsi"/>
          <w:lang w:eastAsia="en-US"/>
        </w:rPr>
        <w:t>(21), 3490–96.</w:t>
      </w:r>
    </w:p>
    <w:p w14:paraId="32FCA0E9" w14:textId="4C9D7D09" w:rsidR="008C58E1" w:rsidRPr="00E42B26"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Molloy, D. William, Gordon H. </w:t>
      </w:r>
      <w:proofErr w:type="spellStart"/>
      <w:r w:rsidRPr="00E42B26">
        <w:rPr>
          <w:rFonts w:eastAsiaTheme="minorHAnsi"/>
          <w:lang w:eastAsia="en-US"/>
        </w:rPr>
        <w:t>Guyatt</w:t>
      </w:r>
      <w:proofErr w:type="spellEnd"/>
      <w:r w:rsidRPr="00E42B26">
        <w:rPr>
          <w:rFonts w:eastAsiaTheme="minorHAnsi"/>
          <w:lang w:eastAsia="en-US"/>
        </w:rPr>
        <w:t xml:space="preserve">, Rosalie Russo, Ron </w:t>
      </w:r>
      <w:proofErr w:type="spellStart"/>
      <w:r w:rsidRPr="00E42B26">
        <w:rPr>
          <w:rFonts w:eastAsiaTheme="minorHAnsi"/>
          <w:lang w:eastAsia="en-US"/>
        </w:rPr>
        <w:t>Goeree</w:t>
      </w:r>
      <w:proofErr w:type="spellEnd"/>
      <w:r w:rsidRPr="00E42B26">
        <w:rPr>
          <w:rFonts w:eastAsiaTheme="minorHAnsi"/>
          <w:lang w:eastAsia="en-US"/>
        </w:rPr>
        <w:t xml:space="preserve">, Bernie J. O’Brien, Michel </w:t>
      </w:r>
      <w:proofErr w:type="spellStart"/>
      <w:r w:rsidRPr="00E42B26">
        <w:rPr>
          <w:rFonts w:eastAsiaTheme="minorHAnsi"/>
          <w:lang w:eastAsia="en-US"/>
        </w:rPr>
        <w:t>Bédard</w:t>
      </w:r>
      <w:proofErr w:type="spellEnd"/>
      <w:r w:rsidRPr="00E42B26">
        <w:rPr>
          <w:rFonts w:eastAsiaTheme="minorHAnsi"/>
          <w:lang w:eastAsia="en-US"/>
        </w:rPr>
        <w:t xml:space="preserve">, Andy Willan, Jan Watson, Christine Patterson, Christine Harrison, Tim Standish, David Strang, </w:t>
      </w:r>
      <w:proofErr w:type="spellStart"/>
      <w:r w:rsidRPr="00E42B26">
        <w:rPr>
          <w:rFonts w:eastAsiaTheme="minorHAnsi"/>
          <w:lang w:eastAsia="en-US"/>
        </w:rPr>
        <w:t>Peteris</w:t>
      </w:r>
      <w:proofErr w:type="spellEnd"/>
      <w:r w:rsidRPr="00E42B26">
        <w:rPr>
          <w:rFonts w:eastAsiaTheme="minorHAnsi"/>
          <w:lang w:eastAsia="en-US"/>
        </w:rPr>
        <w:t xml:space="preserve"> J. </w:t>
      </w:r>
      <w:proofErr w:type="spellStart"/>
      <w:r w:rsidRPr="00E42B26">
        <w:rPr>
          <w:rFonts w:eastAsiaTheme="minorHAnsi"/>
          <w:lang w:eastAsia="en-US"/>
        </w:rPr>
        <w:t>Darzins</w:t>
      </w:r>
      <w:proofErr w:type="spellEnd"/>
      <w:r w:rsidRPr="00E42B26">
        <w:rPr>
          <w:rFonts w:eastAsiaTheme="minorHAnsi"/>
          <w:lang w:eastAsia="en-US"/>
        </w:rPr>
        <w:t xml:space="preserve">, Stephanie Smith, and Sacha Dubois (2000), “Systematic Implementation of an Advance Directive Program in Nursing </w:t>
      </w:r>
      <w:proofErr w:type="spellStart"/>
      <w:r w:rsidRPr="00E42B26">
        <w:rPr>
          <w:rFonts w:eastAsiaTheme="minorHAnsi"/>
          <w:lang w:eastAsia="en-US"/>
        </w:rPr>
        <w:t>HomesA</w:t>
      </w:r>
      <w:proofErr w:type="spellEnd"/>
      <w:r w:rsidRPr="00E42B26">
        <w:rPr>
          <w:rFonts w:eastAsiaTheme="minorHAnsi"/>
          <w:lang w:eastAsia="en-US"/>
        </w:rPr>
        <w:t xml:space="preserve"> Randomized Controlled Trial,” </w:t>
      </w:r>
      <w:r w:rsidRPr="00E42B26">
        <w:rPr>
          <w:rFonts w:eastAsiaTheme="minorHAnsi"/>
          <w:i/>
          <w:iCs/>
          <w:lang w:eastAsia="en-US"/>
        </w:rPr>
        <w:t>JAMA</w:t>
      </w:r>
      <w:r w:rsidRPr="00E42B26">
        <w:rPr>
          <w:rFonts w:eastAsiaTheme="minorHAnsi"/>
          <w:lang w:eastAsia="en-US"/>
        </w:rPr>
        <w:t>, 283</w:t>
      </w:r>
      <w:r w:rsidR="00EB5D57" w:rsidRPr="00E42B26">
        <w:rPr>
          <w:rFonts w:eastAsiaTheme="minorHAnsi"/>
          <w:lang w:eastAsia="en-US"/>
        </w:rPr>
        <w:t xml:space="preserve"> </w:t>
      </w:r>
      <w:r w:rsidRPr="00E42B26">
        <w:rPr>
          <w:rFonts w:eastAsiaTheme="minorHAnsi"/>
          <w:lang w:eastAsia="en-US"/>
        </w:rPr>
        <w:t>(11), 1437–44.</w:t>
      </w:r>
    </w:p>
    <w:p w14:paraId="50D2AE51" w14:textId="59ADD2DD" w:rsidR="00D0705D" w:rsidRPr="00E42B26" w:rsidRDefault="00D0705D" w:rsidP="00D0705D">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Morrison, R. Sean (2020), "Advance Directives/Care Planning: Clear, Simple, and Wrong," </w:t>
      </w:r>
      <w:r w:rsidRPr="00E42B26">
        <w:rPr>
          <w:rFonts w:eastAsiaTheme="minorHAnsi"/>
          <w:i/>
          <w:iCs/>
          <w:lang w:eastAsia="en-US"/>
        </w:rPr>
        <w:t>Journal of Palliative Medicine</w:t>
      </w:r>
      <w:r w:rsidRPr="00E42B26">
        <w:rPr>
          <w:rFonts w:eastAsiaTheme="minorHAnsi"/>
          <w:lang w:eastAsia="en-US"/>
        </w:rPr>
        <w:t>, 23 (7), 878–879.</w:t>
      </w:r>
    </w:p>
    <w:p w14:paraId="496AB232" w14:textId="2547462B" w:rsidR="00D43317" w:rsidRPr="00E42B26" w:rsidRDefault="00D43317"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NIH (2020), “Advance Care Palling: Healthcare Directives,” (accessed December 27, 2020), https://www.nia.nih.gov/health/advance-care-planning-healthcare-directives</w:t>
      </w:r>
    </w:p>
    <w:p w14:paraId="55E0FF02" w14:textId="0567205C" w:rsidR="00B062F6" w:rsidRPr="00E42B26" w:rsidRDefault="008C58E1" w:rsidP="00C65EC8">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Oppenheimer, Daniel M., Tom </w:t>
      </w:r>
      <w:proofErr w:type="spellStart"/>
      <w:r w:rsidRPr="00E42B26">
        <w:rPr>
          <w:rFonts w:eastAsiaTheme="minorHAnsi"/>
          <w:lang w:eastAsia="en-US"/>
        </w:rPr>
        <w:t>Meyvis</w:t>
      </w:r>
      <w:proofErr w:type="spellEnd"/>
      <w:r w:rsidRPr="00E42B26">
        <w:rPr>
          <w:rFonts w:eastAsiaTheme="minorHAnsi"/>
          <w:lang w:eastAsia="en-US"/>
        </w:rPr>
        <w:t xml:space="preserve">, and Nicolas </w:t>
      </w:r>
      <w:proofErr w:type="spellStart"/>
      <w:r w:rsidRPr="00E42B26">
        <w:rPr>
          <w:rFonts w:eastAsiaTheme="minorHAnsi"/>
          <w:lang w:eastAsia="en-US"/>
        </w:rPr>
        <w:t>Davidenko</w:t>
      </w:r>
      <w:proofErr w:type="spellEnd"/>
      <w:r w:rsidRPr="00E42B26">
        <w:rPr>
          <w:rFonts w:eastAsiaTheme="minorHAnsi"/>
          <w:lang w:eastAsia="en-US"/>
        </w:rPr>
        <w:t xml:space="preserve"> (2009), “Instructional Manipulation Checks: Detecting Satisficing to Increase Statistical Power,” </w:t>
      </w:r>
      <w:r w:rsidRPr="00E42B26">
        <w:rPr>
          <w:rFonts w:eastAsiaTheme="minorHAnsi"/>
          <w:i/>
          <w:iCs/>
          <w:lang w:eastAsia="en-US"/>
        </w:rPr>
        <w:t>Journal of Experimental Social Psychology</w:t>
      </w:r>
      <w:r w:rsidRPr="00E42B26">
        <w:rPr>
          <w:rFonts w:eastAsiaTheme="minorHAnsi"/>
          <w:lang w:eastAsia="en-US"/>
        </w:rPr>
        <w:t>, 45</w:t>
      </w:r>
      <w:r w:rsidR="00EB5D57" w:rsidRPr="00E42B26">
        <w:rPr>
          <w:rFonts w:eastAsiaTheme="minorHAnsi"/>
          <w:lang w:eastAsia="en-US"/>
        </w:rPr>
        <w:t xml:space="preserve"> </w:t>
      </w:r>
      <w:r w:rsidRPr="00E42B26">
        <w:rPr>
          <w:rFonts w:eastAsiaTheme="minorHAnsi"/>
          <w:lang w:eastAsia="en-US"/>
        </w:rPr>
        <w:t>(4), 867–72.</w:t>
      </w:r>
    </w:p>
    <w:p w14:paraId="019A947C" w14:textId="2CE7DB9E" w:rsidR="0017040C" w:rsidRPr="00E42B26" w:rsidRDefault="0017040C" w:rsidP="0017040C">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Paluck, Elizabeth Levy, Roni Porat, Chelsey S. Clark, and Donald P. Green (2021), “Prejudice Reduction: Progress and Challenges,” </w:t>
      </w:r>
      <w:r w:rsidRPr="00E42B26">
        <w:rPr>
          <w:rFonts w:eastAsiaTheme="minorHAnsi"/>
          <w:i/>
          <w:iCs/>
          <w:lang w:eastAsia="en-US"/>
        </w:rPr>
        <w:t>Annual Review of Psychology</w:t>
      </w:r>
      <w:r w:rsidRPr="00E42B26">
        <w:rPr>
          <w:rFonts w:eastAsiaTheme="minorHAnsi"/>
          <w:lang w:eastAsia="en-US"/>
        </w:rPr>
        <w:t>, 72(1), 533–60.</w:t>
      </w:r>
    </w:p>
    <w:p w14:paraId="073D9B36" w14:textId="31510081" w:rsidR="00837C05" w:rsidRPr="00E42B26" w:rsidRDefault="00837C05" w:rsidP="00C314B2">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Peterson, Jennifer L., </w:t>
      </w:r>
      <w:proofErr w:type="spellStart"/>
      <w:r w:rsidRPr="00E42B26">
        <w:rPr>
          <w:rFonts w:eastAsiaTheme="minorHAnsi"/>
          <w:lang w:eastAsia="en-US"/>
        </w:rPr>
        <w:t>Malynnda</w:t>
      </w:r>
      <w:proofErr w:type="spellEnd"/>
      <w:r w:rsidRPr="00E42B26">
        <w:rPr>
          <w:rFonts w:eastAsiaTheme="minorHAnsi"/>
          <w:lang w:eastAsia="en-US"/>
        </w:rPr>
        <w:t xml:space="preserve"> A. Johnson, Bonnie Halvorsen, Lisa </w:t>
      </w:r>
      <w:proofErr w:type="spellStart"/>
      <w:r w:rsidRPr="00E42B26">
        <w:rPr>
          <w:rFonts w:eastAsiaTheme="minorHAnsi"/>
          <w:lang w:eastAsia="en-US"/>
        </w:rPr>
        <w:t>Apmann</w:t>
      </w:r>
      <w:proofErr w:type="spellEnd"/>
      <w:r w:rsidRPr="00E42B26">
        <w:rPr>
          <w:rFonts w:eastAsiaTheme="minorHAnsi"/>
          <w:lang w:eastAsia="en-US"/>
        </w:rPr>
        <w:t xml:space="preserve">, Pi-Ching Chang, Stephanie </w:t>
      </w:r>
      <w:proofErr w:type="spellStart"/>
      <w:r w:rsidRPr="00E42B26">
        <w:rPr>
          <w:rFonts w:eastAsiaTheme="minorHAnsi"/>
          <w:lang w:eastAsia="en-US"/>
        </w:rPr>
        <w:t>Kershek</w:t>
      </w:r>
      <w:proofErr w:type="spellEnd"/>
      <w:r w:rsidRPr="00E42B26">
        <w:rPr>
          <w:rFonts w:eastAsiaTheme="minorHAnsi"/>
          <w:lang w:eastAsia="en-US"/>
        </w:rPr>
        <w:t xml:space="preserve">, Courtney Scherr, Matthew </w:t>
      </w:r>
      <w:proofErr w:type="spellStart"/>
      <w:r w:rsidRPr="00E42B26">
        <w:rPr>
          <w:rFonts w:eastAsiaTheme="minorHAnsi"/>
          <w:lang w:eastAsia="en-US"/>
        </w:rPr>
        <w:t>Ogi</w:t>
      </w:r>
      <w:proofErr w:type="spellEnd"/>
      <w:r w:rsidRPr="00E42B26">
        <w:rPr>
          <w:rFonts w:eastAsiaTheme="minorHAnsi"/>
          <w:lang w:eastAsia="en-US"/>
        </w:rPr>
        <w:t xml:space="preserve">, and Deborah </w:t>
      </w:r>
      <w:proofErr w:type="spellStart"/>
      <w:r w:rsidRPr="00E42B26">
        <w:rPr>
          <w:rFonts w:eastAsiaTheme="minorHAnsi"/>
          <w:lang w:eastAsia="en-US"/>
        </w:rPr>
        <w:t>Pincon</w:t>
      </w:r>
      <w:proofErr w:type="spellEnd"/>
      <w:r w:rsidRPr="00E42B26">
        <w:rPr>
          <w:rFonts w:eastAsiaTheme="minorHAnsi"/>
          <w:lang w:eastAsia="en-US"/>
        </w:rPr>
        <w:t xml:space="preserve"> (2010), “What is it so Stressful about Caring for a Dying Patient? A Qualitative Study of Nurses’ Experiences,” </w:t>
      </w:r>
      <w:r w:rsidRPr="00E42B26">
        <w:rPr>
          <w:rFonts w:eastAsiaTheme="minorHAnsi"/>
          <w:i/>
          <w:lang w:eastAsia="en-US"/>
        </w:rPr>
        <w:t>International Journal of Palliative Nursing</w:t>
      </w:r>
      <w:r w:rsidRPr="00E42B26">
        <w:rPr>
          <w:rFonts w:eastAsiaTheme="minorHAnsi"/>
          <w:lang w:eastAsia="en-US"/>
        </w:rPr>
        <w:t>, 16 (4), 181-187.</w:t>
      </w:r>
    </w:p>
    <w:p w14:paraId="19451DA8" w14:textId="52D3179C" w:rsidR="008C58E1" w:rsidRPr="00E42B26"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Pope, Thaddeus Mason (2020), </w:t>
      </w:r>
      <w:r w:rsidRPr="00E42B26">
        <w:rPr>
          <w:rFonts w:eastAsiaTheme="minorHAnsi"/>
          <w:i/>
          <w:iCs/>
          <w:lang w:eastAsia="en-US"/>
        </w:rPr>
        <w:t xml:space="preserve">Video Advance Directives: Growth and Benefits of </w:t>
      </w:r>
      <w:proofErr w:type="spellStart"/>
      <w:r w:rsidRPr="00E42B26">
        <w:rPr>
          <w:rFonts w:eastAsiaTheme="minorHAnsi"/>
          <w:i/>
          <w:iCs/>
          <w:lang w:eastAsia="en-US"/>
        </w:rPr>
        <w:t>Audiovisual</w:t>
      </w:r>
      <w:proofErr w:type="spellEnd"/>
      <w:r w:rsidRPr="00E42B26">
        <w:rPr>
          <w:rFonts w:eastAsiaTheme="minorHAnsi"/>
          <w:i/>
          <w:iCs/>
          <w:lang w:eastAsia="en-US"/>
        </w:rPr>
        <w:t xml:space="preserve"> Recording</w:t>
      </w:r>
      <w:r w:rsidRPr="00E42B26">
        <w:rPr>
          <w:rFonts w:eastAsiaTheme="minorHAnsi"/>
          <w:lang w:eastAsia="en-US"/>
        </w:rPr>
        <w:t>, SSRN Scholarly Paper ID 3539210, Rochester, NY: Social Science Research Network.</w:t>
      </w:r>
    </w:p>
    <w:p w14:paraId="0B8F7F64" w14:textId="2C862983" w:rsidR="008C58E1" w:rsidRPr="00E42B26" w:rsidRDefault="008C58E1" w:rsidP="008C58E1">
      <w:pPr>
        <w:autoSpaceDE w:val="0"/>
        <w:autoSpaceDN w:val="0"/>
        <w:adjustRightInd w:val="0"/>
        <w:spacing w:after="240" w:line="360" w:lineRule="auto"/>
        <w:ind w:left="720" w:hanging="720"/>
        <w:rPr>
          <w:rFonts w:eastAsiaTheme="minorHAnsi"/>
          <w:lang w:eastAsia="en-US"/>
        </w:rPr>
      </w:pPr>
      <w:proofErr w:type="spellStart"/>
      <w:r w:rsidRPr="00E42B26">
        <w:rPr>
          <w:rFonts w:eastAsiaTheme="minorHAnsi"/>
          <w:lang w:eastAsia="en-US"/>
        </w:rPr>
        <w:t>Puchalski</w:t>
      </w:r>
      <w:proofErr w:type="spellEnd"/>
      <w:r w:rsidRPr="00E42B26">
        <w:rPr>
          <w:rFonts w:eastAsiaTheme="minorHAnsi"/>
          <w:lang w:eastAsia="en-US"/>
        </w:rPr>
        <w:t xml:space="preserve">, Christina M., </w:t>
      </w:r>
      <w:proofErr w:type="spellStart"/>
      <w:r w:rsidRPr="00E42B26">
        <w:rPr>
          <w:rFonts w:eastAsiaTheme="minorHAnsi"/>
          <w:lang w:eastAsia="en-US"/>
        </w:rPr>
        <w:t>Zhensbao</w:t>
      </w:r>
      <w:proofErr w:type="spellEnd"/>
      <w:r w:rsidRPr="00E42B26">
        <w:rPr>
          <w:rFonts w:eastAsiaTheme="minorHAnsi"/>
          <w:lang w:eastAsia="en-US"/>
        </w:rPr>
        <w:t xml:space="preserve"> Zhong, Michelle M. Jacobs, Ellen Fox, Joanne Lynn, Joan Harrold, Anthony Galanos, Russell S. Phillips, Robert </w:t>
      </w:r>
      <w:proofErr w:type="spellStart"/>
      <w:r w:rsidRPr="00E42B26">
        <w:rPr>
          <w:rFonts w:eastAsiaTheme="minorHAnsi"/>
          <w:lang w:eastAsia="en-US"/>
        </w:rPr>
        <w:t>Califf</w:t>
      </w:r>
      <w:proofErr w:type="spellEnd"/>
      <w:r w:rsidRPr="00E42B26">
        <w:rPr>
          <w:rFonts w:eastAsiaTheme="minorHAnsi"/>
          <w:lang w:eastAsia="en-US"/>
        </w:rPr>
        <w:t xml:space="preserve">, and Joan M. </w:t>
      </w:r>
      <w:proofErr w:type="spellStart"/>
      <w:r w:rsidRPr="00E42B26">
        <w:rPr>
          <w:rFonts w:eastAsiaTheme="minorHAnsi"/>
          <w:lang w:eastAsia="en-US"/>
        </w:rPr>
        <w:t>Teno</w:t>
      </w:r>
      <w:proofErr w:type="spellEnd"/>
      <w:r w:rsidRPr="00E42B26">
        <w:rPr>
          <w:rFonts w:eastAsiaTheme="minorHAnsi"/>
          <w:lang w:eastAsia="en-US"/>
        </w:rPr>
        <w:t xml:space="preserve"> (2000), “Patients Who Want Their Family and Physician to Make Resuscitation Decisions for </w:t>
      </w:r>
      <w:r w:rsidRPr="00E42B26">
        <w:rPr>
          <w:rFonts w:eastAsiaTheme="minorHAnsi"/>
          <w:lang w:eastAsia="en-US"/>
        </w:rPr>
        <w:lastRenderedPageBreak/>
        <w:t xml:space="preserve">Them: Observations from SUPPORT and HELP,” </w:t>
      </w:r>
      <w:r w:rsidRPr="00E42B26">
        <w:rPr>
          <w:rFonts w:eastAsiaTheme="minorHAnsi"/>
          <w:i/>
          <w:iCs/>
          <w:lang w:eastAsia="en-US"/>
        </w:rPr>
        <w:t>Journal of the American Geriatrics Society</w:t>
      </w:r>
      <w:r w:rsidRPr="00E42B26">
        <w:rPr>
          <w:rFonts w:eastAsiaTheme="minorHAnsi"/>
          <w:lang w:eastAsia="en-US"/>
        </w:rPr>
        <w:t>, 48</w:t>
      </w:r>
      <w:r w:rsidR="00EB5D57" w:rsidRPr="00E42B26">
        <w:rPr>
          <w:rFonts w:eastAsiaTheme="minorHAnsi"/>
          <w:lang w:eastAsia="en-US"/>
        </w:rPr>
        <w:t xml:space="preserve"> </w:t>
      </w:r>
      <w:r w:rsidRPr="00E42B26">
        <w:rPr>
          <w:rFonts w:eastAsiaTheme="minorHAnsi"/>
          <w:lang w:eastAsia="en-US"/>
        </w:rPr>
        <w:t>(S1), S84–90.</w:t>
      </w:r>
    </w:p>
    <w:p w14:paraId="1B16CC23" w14:textId="31F342E9" w:rsidR="008C58E1" w:rsidRPr="00E42B26" w:rsidRDefault="008C58E1" w:rsidP="008C58E1">
      <w:pPr>
        <w:autoSpaceDE w:val="0"/>
        <w:autoSpaceDN w:val="0"/>
        <w:adjustRightInd w:val="0"/>
        <w:spacing w:after="240" w:line="360" w:lineRule="auto"/>
        <w:ind w:left="720" w:hanging="720"/>
        <w:rPr>
          <w:rFonts w:eastAsiaTheme="minorHAnsi"/>
          <w:lang w:eastAsia="en-US"/>
        </w:rPr>
      </w:pPr>
      <w:proofErr w:type="spellStart"/>
      <w:r w:rsidRPr="00E42B26">
        <w:rPr>
          <w:rFonts w:eastAsiaTheme="minorHAnsi"/>
          <w:lang w:eastAsia="en-US"/>
        </w:rPr>
        <w:t>Punj</w:t>
      </w:r>
      <w:proofErr w:type="spellEnd"/>
      <w:r w:rsidRPr="00E42B26">
        <w:rPr>
          <w:rFonts w:eastAsiaTheme="minorHAnsi"/>
          <w:lang w:eastAsia="en-US"/>
        </w:rPr>
        <w:t xml:space="preserve">, Girish and David W. Stewart (1983), “Cluster Analysis in Marketing Research: Review and Suggestions for Application,” </w:t>
      </w:r>
      <w:r w:rsidRPr="00E42B26">
        <w:rPr>
          <w:rFonts w:eastAsiaTheme="minorHAnsi"/>
          <w:i/>
          <w:iCs/>
          <w:lang w:eastAsia="en-US"/>
        </w:rPr>
        <w:t>Journal of Marketing Research</w:t>
      </w:r>
      <w:r w:rsidRPr="00E42B26">
        <w:rPr>
          <w:rFonts w:eastAsiaTheme="minorHAnsi"/>
          <w:lang w:eastAsia="en-US"/>
        </w:rPr>
        <w:t>, 20</w:t>
      </w:r>
      <w:r w:rsidR="00EB5D57" w:rsidRPr="00E42B26">
        <w:rPr>
          <w:rFonts w:eastAsiaTheme="minorHAnsi"/>
          <w:lang w:eastAsia="en-US"/>
        </w:rPr>
        <w:t xml:space="preserve"> </w:t>
      </w:r>
      <w:r w:rsidRPr="00E42B26">
        <w:rPr>
          <w:rFonts w:eastAsiaTheme="minorHAnsi"/>
          <w:lang w:eastAsia="en-US"/>
        </w:rPr>
        <w:t>(2), 134–48.</w:t>
      </w:r>
    </w:p>
    <w:p w14:paraId="32C720B9" w14:textId="77777777" w:rsidR="00DB0C3C" w:rsidRDefault="008C58E1" w:rsidP="00DB0C3C">
      <w:pPr>
        <w:autoSpaceDE w:val="0"/>
        <w:autoSpaceDN w:val="0"/>
        <w:adjustRightInd w:val="0"/>
        <w:spacing w:after="240" w:line="360" w:lineRule="auto"/>
        <w:ind w:left="720" w:hanging="720"/>
        <w:rPr>
          <w:rFonts w:eastAsiaTheme="minorHAnsi"/>
          <w:lang w:eastAsia="en-US"/>
        </w:rPr>
      </w:pPr>
      <w:r w:rsidRPr="00E42B26">
        <w:t>Rinaldo, Francesca, Myra Altman, and Kendell Cannon (2020, August 21), “Slowing Medicare Spending by Optimizing Late-Life Needs,” Webinar, (accessed December 2, 2020),</w:t>
      </w:r>
      <w:r w:rsidR="00AC7F57" w:rsidRPr="00E42B26">
        <w:t xml:space="preserve"> </w:t>
      </w:r>
      <w:hyperlink r:id="rId12" w:history="1">
        <w:r w:rsidR="00B226CF" w:rsidRPr="00E42B26">
          <w:rPr>
            <w:rStyle w:val="Hyperlink"/>
          </w:rPr>
          <w:t>https://bit.ly/39Azw3q</w:t>
        </w:r>
      </w:hyperlink>
      <w:r w:rsidRPr="00E42B26">
        <w:t>.</w:t>
      </w:r>
      <w:r w:rsidR="00DB0C3C" w:rsidRPr="00DB0C3C">
        <w:rPr>
          <w:rFonts w:eastAsiaTheme="minorHAnsi"/>
          <w:lang w:eastAsia="en-US"/>
        </w:rPr>
        <w:t xml:space="preserve"> </w:t>
      </w:r>
    </w:p>
    <w:p w14:paraId="1EC602FE" w14:textId="61DE09B4" w:rsidR="008C58E1" w:rsidRPr="00E42B26"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Scheunemann, Leslie P., Robert M. Arnold, and Douglas B. White (2012), “The Facilitated Values History: Helping Surrogates Make Authentic Decisions for Incapacitated Patients with Advanced Illness,” </w:t>
      </w:r>
      <w:r w:rsidRPr="00E42B26">
        <w:rPr>
          <w:rFonts w:eastAsiaTheme="minorHAnsi"/>
          <w:i/>
          <w:iCs/>
          <w:lang w:eastAsia="en-US"/>
        </w:rPr>
        <w:t>American Journal of Respiratory and Critical Care Medicine</w:t>
      </w:r>
      <w:r w:rsidRPr="00E42B26">
        <w:rPr>
          <w:rFonts w:eastAsiaTheme="minorHAnsi"/>
          <w:lang w:eastAsia="en-US"/>
        </w:rPr>
        <w:t>, 186</w:t>
      </w:r>
      <w:r w:rsidR="00EB5D57" w:rsidRPr="00E42B26">
        <w:rPr>
          <w:rFonts w:eastAsiaTheme="minorHAnsi"/>
          <w:lang w:eastAsia="en-US"/>
        </w:rPr>
        <w:t xml:space="preserve"> </w:t>
      </w:r>
      <w:r w:rsidRPr="00E42B26">
        <w:rPr>
          <w:rFonts w:eastAsiaTheme="minorHAnsi"/>
          <w:lang w:eastAsia="en-US"/>
        </w:rPr>
        <w:t>(6), 480–86.</w:t>
      </w:r>
    </w:p>
    <w:p w14:paraId="0A3149BD" w14:textId="485890E0" w:rsidR="00296DF9" w:rsidRPr="00E42B26"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Scheunemann, Leslie P., Thomas V. Cunningham, Robert M. Arnold, </w:t>
      </w:r>
      <w:proofErr w:type="spellStart"/>
      <w:r w:rsidRPr="00E42B26">
        <w:rPr>
          <w:rFonts w:eastAsiaTheme="minorHAnsi"/>
          <w:lang w:eastAsia="en-US"/>
        </w:rPr>
        <w:t>Praewpannarai</w:t>
      </w:r>
      <w:proofErr w:type="spellEnd"/>
      <w:r w:rsidRPr="00E42B26">
        <w:rPr>
          <w:rFonts w:eastAsiaTheme="minorHAnsi"/>
          <w:lang w:eastAsia="en-US"/>
        </w:rPr>
        <w:t xml:space="preserve"> </w:t>
      </w:r>
      <w:proofErr w:type="spellStart"/>
      <w:r w:rsidRPr="00E42B26">
        <w:rPr>
          <w:rFonts w:eastAsiaTheme="minorHAnsi"/>
          <w:lang w:eastAsia="en-US"/>
        </w:rPr>
        <w:t>Buddadhumaruk</w:t>
      </w:r>
      <w:proofErr w:type="spellEnd"/>
      <w:r w:rsidRPr="00E42B26">
        <w:rPr>
          <w:rFonts w:eastAsiaTheme="minorHAnsi"/>
          <w:lang w:eastAsia="en-US"/>
        </w:rPr>
        <w:t xml:space="preserve">, and Douglas B. White (2015), “How Clinicians Discuss Critically Ill Patients’ Preferences and Values with Surrogates: An Empirical Analysis,” </w:t>
      </w:r>
      <w:r w:rsidRPr="00E42B26">
        <w:rPr>
          <w:rFonts w:eastAsiaTheme="minorHAnsi"/>
          <w:i/>
          <w:iCs/>
          <w:lang w:eastAsia="en-US"/>
        </w:rPr>
        <w:t>Critical care medicine</w:t>
      </w:r>
      <w:r w:rsidRPr="00E42B26">
        <w:rPr>
          <w:rFonts w:eastAsiaTheme="minorHAnsi"/>
          <w:lang w:eastAsia="en-US"/>
        </w:rPr>
        <w:t>, 43</w:t>
      </w:r>
      <w:r w:rsidR="00EB5D57" w:rsidRPr="00E42B26">
        <w:rPr>
          <w:rFonts w:eastAsiaTheme="minorHAnsi"/>
          <w:lang w:eastAsia="en-US"/>
        </w:rPr>
        <w:t xml:space="preserve"> </w:t>
      </w:r>
      <w:r w:rsidRPr="00E42B26">
        <w:rPr>
          <w:rFonts w:eastAsiaTheme="minorHAnsi"/>
          <w:lang w:eastAsia="en-US"/>
        </w:rPr>
        <w:t>(4), 757–64.</w:t>
      </w:r>
    </w:p>
    <w:p w14:paraId="22D62EE6" w14:textId="435B1E16" w:rsidR="007B3FE8" w:rsidRPr="00E42B26" w:rsidRDefault="007B3FE8" w:rsidP="007B3FE8">
      <w:pPr>
        <w:autoSpaceDE w:val="0"/>
        <w:autoSpaceDN w:val="0"/>
        <w:adjustRightInd w:val="0"/>
        <w:spacing w:after="240" w:line="360" w:lineRule="auto"/>
        <w:ind w:left="720" w:hanging="720"/>
        <w:rPr>
          <w:rFonts w:eastAsiaTheme="minorHAnsi"/>
          <w:lang w:eastAsia="en-US"/>
        </w:rPr>
      </w:pPr>
      <w:r w:rsidRPr="007B3FE8">
        <w:rPr>
          <w:rFonts w:eastAsiaTheme="minorHAnsi"/>
          <w:lang w:eastAsia="en-US"/>
        </w:rPr>
        <w:t>Schroeder, S. A. (2011)</w:t>
      </w:r>
      <w:r w:rsidR="001F1EBC">
        <w:rPr>
          <w:rFonts w:eastAsiaTheme="minorHAnsi"/>
          <w:lang w:eastAsia="en-US"/>
        </w:rPr>
        <w:t>,</w:t>
      </w:r>
      <w:r w:rsidRPr="007B3FE8">
        <w:rPr>
          <w:rFonts w:eastAsiaTheme="minorHAnsi"/>
          <w:lang w:eastAsia="en-US"/>
        </w:rPr>
        <w:t xml:space="preserve"> </w:t>
      </w:r>
      <w:r w:rsidR="001F1EBC">
        <w:rPr>
          <w:rFonts w:eastAsiaTheme="minorHAnsi"/>
          <w:lang w:eastAsia="en-US"/>
        </w:rPr>
        <w:t>“</w:t>
      </w:r>
      <w:r w:rsidRPr="007B3FE8">
        <w:rPr>
          <w:rFonts w:eastAsiaTheme="minorHAnsi"/>
          <w:lang w:eastAsia="en-US"/>
        </w:rPr>
        <w:t xml:space="preserve">Personal </w:t>
      </w:r>
      <w:r w:rsidR="001F1EBC">
        <w:rPr>
          <w:rFonts w:eastAsiaTheme="minorHAnsi"/>
          <w:lang w:eastAsia="en-US"/>
        </w:rPr>
        <w:t>R</w:t>
      </w:r>
      <w:r w:rsidRPr="007B3FE8">
        <w:rPr>
          <w:rFonts w:eastAsiaTheme="minorHAnsi"/>
          <w:lang w:eastAsia="en-US"/>
        </w:rPr>
        <w:t xml:space="preserve">eflections on the </w:t>
      </w:r>
      <w:r w:rsidR="001F1EBC">
        <w:rPr>
          <w:rFonts w:eastAsiaTheme="minorHAnsi"/>
          <w:lang w:eastAsia="en-US"/>
        </w:rPr>
        <w:t>H</w:t>
      </w:r>
      <w:r w:rsidRPr="007B3FE8">
        <w:rPr>
          <w:rFonts w:eastAsiaTheme="minorHAnsi"/>
          <w:lang w:eastAsia="en-US"/>
        </w:rPr>
        <w:t xml:space="preserve">igh </w:t>
      </w:r>
      <w:r w:rsidR="001F1EBC">
        <w:rPr>
          <w:rFonts w:eastAsiaTheme="minorHAnsi"/>
          <w:lang w:eastAsia="en-US"/>
        </w:rPr>
        <w:t>C</w:t>
      </w:r>
      <w:r w:rsidRPr="007B3FE8">
        <w:rPr>
          <w:rFonts w:eastAsiaTheme="minorHAnsi"/>
          <w:lang w:eastAsia="en-US"/>
        </w:rPr>
        <w:t xml:space="preserve">ost of American </w:t>
      </w:r>
      <w:r w:rsidR="001F1EBC">
        <w:rPr>
          <w:rFonts w:eastAsiaTheme="minorHAnsi"/>
          <w:lang w:eastAsia="en-US"/>
        </w:rPr>
        <w:t>M</w:t>
      </w:r>
      <w:r w:rsidRPr="007B3FE8">
        <w:rPr>
          <w:rFonts w:eastAsiaTheme="minorHAnsi"/>
          <w:lang w:eastAsia="en-US"/>
        </w:rPr>
        <w:t xml:space="preserve">edical </w:t>
      </w:r>
      <w:r w:rsidR="001F1EBC">
        <w:rPr>
          <w:rFonts w:eastAsiaTheme="minorHAnsi"/>
          <w:lang w:eastAsia="en-US"/>
        </w:rPr>
        <w:t>C</w:t>
      </w:r>
      <w:r w:rsidRPr="007B3FE8">
        <w:rPr>
          <w:rFonts w:eastAsiaTheme="minorHAnsi"/>
          <w:lang w:eastAsia="en-US"/>
        </w:rPr>
        <w:t xml:space="preserve">are: </w:t>
      </w:r>
      <w:r w:rsidR="001F1EBC">
        <w:rPr>
          <w:rFonts w:eastAsiaTheme="minorHAnsi"/>
          <w:lang w:eastAsia="en-US"/>
        </w:rPr>
        <w:t>M</w:t>
      </w:r>
      <w:r w:rsidRPr="007B3FE8">
        <w:rPr>
          <w:rFonts w:eastAsiaTheme="minorHAnsi"/>
          <w:lang w:eastAsia="en-US"/>
        </w:rPr>
        <w:t xml:space="preserve">any </w:t>
      </w:r>
      <w:r w:rsidR="001F1EBC">
        <w:rPr>
          <w:rFonts w:eastAsiaTheme="minorHAnsi"/>
          <w:lang w:eastAsia="en-US"/>
        </w:rPr>
        <w:t>C</w:t>
      </w:r>
      <w:r w:rsidRPr="007B3FE8">
        <w:rPr>
          <w:rFonts w:eastAsiaTheme="minorHAnsi"/>
          <w:lang w:eastAsia="en-US"/>
        </w:rPr>
        <w:t xml:space="preserve">auses </w:t>
      </w:r>
      <w:r w:rsidR="001F1EBC">
        <w:rPr>
          <w:rFonts w:eastAsiaTheme="minorHAnsi"/>
          <w:lang w:eastAsia="en-US"/>
        </w:rPr>
        <w:t>b</w:t>
      </w:r>
      <w:r w:rsidRPr="007B3FE8">
        <w:rPr>
          <w:rFonts w:eastAsiaTheme="minorHAnsi"/>
          <w:lang w:eastAsia="en-US"/>
        </w:rPr>
        <w:t xml:space="preserve">ut </w:t>
      </w:r>
      <w:r w:rsidR="001F1EBC">
        <w:rPr>
          <w:rFonts w:eastAsiaTheme="minorHAnsi"/>
          <w:lang w:eastAsia="en-US"/>
        </w:rPr>
        <w:t>F</w:t>
      </w:r>
      <w:r w:rsidRPr="007B3FE8">
        <w:rPr>
          <w:rFonts w:eastAsiaTheme="minorHAnsi"/>
          <w:lang w:eastAsia="en-US"/>
        </w:rPr>
        <w:t xml:space="preserve">ew </w:t>
      </w:r>
      <w:r w:rsidR="001F1EBC">
        <w:rPr>
          <w:rFonts w:eastAsiaTheme="minorHAnsi"/>
          <w:lang w:eastAsia="en-US"/>
        </w:rPr>
        <w:t>P</w:t>
      </w:r>
      <w:r w:rsidRPr="007B3FE8">
        <w:rPr>
          <w:rFonts w:eastAsiaTheme="minorHAnsi"/>
          <w:lang w:eastAsia="en-US"/>
        </w:rPr>
        <w:t xml:space="preserve">olitically </w:t>
      </w:r>
      <w:r w:rsidR="001F1EBC">
        <w:rPr>
          <w:rFonts w:eastAsiaTheme="minorHAnsi"/>
          <w:lang w:eastAsia="en-US"/>
        </w:rPr>
        <w:t>S</w:t>
      </w:r>
      <w:r w:rsidRPr="007B3FE8">
        <w:rPr>
          <w:rFonts w:eastAsiaTheme="minorHAnsi"/>
          <w:lang w:eastAsia="en-US"/>
        </w:rPr>
        <w:t xml:space="preserve">ustainable </w:t>
      </w:r>
      <w:r w:rsidR="001F1EBC">
        <w:rPr>
          <w:rFonts w:eastAsiaTheme="minorHAnsi"/>
          <w:lang w:eastAsia="en-US"/>
        </w:rPr>
        <w:t>S</w:t>
      </w:r>
      <w:r w:rsidRPr="007B3FE8">
        <w:rPr>
          <w:rFonts w:eastAsiaTheme="minorHAnsi"/>
          <w:lang w:eastAsia="en-US"/>
        </w:rPr>
        <w:t>olutions</w:t>
      </w:r>
      <w:r w:rsidR="001F1EBC">
        <w:rPr>
          <w:rFonts w:eastAsiaTheme="minorHAnsi"/>
          <w:lang w:eastAsia="en-US"/>
        </w:rPr>
        <w:t>,”</w:t>
      </w:r>
      <w:r w:rsidRPr="007B3FE8">
        <w:rPr>
          <w:rFonts w:eastAsiaTheme="minorHAnsi"/>
          <w:lang w:eastAsia="en-US"/>
        </w:rPr>
        <w:t> </w:t>
      </w:r>
      <w:r w:rsidRPr="007B3FE8">
        <w:rPr>
          <w:rFonts w:eastAsiaTheme="minorHAnsi"/>
          <w:i/>
          <w:iCs/>
          <w:lang w:eastAsia="en-US"/>
        </w:rPr>
        <w:t xml:space="preserve">Archives of </w:t>
      </w:r>
      <w:r w:rsidR="001F1EBC">
        <w:rPr>
          <w:rFonts w:eastAsiaTheme="minorHAnsi"/>
          <w:i/>
          <w:iCs/>
          <w:lang w:eastAsia="en-US"/>
        </w:rPr>
        <w:t>I</w:t>
      </w:r>
      <w:r w:rsidRPr="007B3FE8">
        <w:rPr>
          <w:rFonts w:eastAsiaTheme="minorHAnsi"/>
          <w:i/>
          <w:iCs/>
          <w:lang w:eastAsia="en-US"/>
        </w:rPr>
        <w:t xml:space="preserve">nternal </w:t>
      </w:r>
      <w:r w:rsidR="001F1EBC">
        <w:rPr>
          <w:rFonts w:eastAsiaTheme="minorHAnsi"/>
          <w:i/>
          <w:iCs/>
          <w:lang w:eastAsia="en-US"/>
        </w:rPr>
        <w:t>M</w:t>
      </w:r>
      <w:r w:rsidRPr="007B3FE8">
        <w:rPr>
          <w:rFonts w:eastAsiaTheme="minorHAnsi"/>
          <w:i/>
          <w:iCs/>
          <w:lang w:eastAsia="en-US"/>
        </w:rPr>
        <w:t>edicine</w:t>
      </w:r>
      <w:r w:rsidRPr="007B3FE8">
        <w:rPr>
          <w:rFonts w:eastAsiaTheme="minorHAnsi"/>
          <w:lang w:eastAsia="en-US"/>
        </w:rPr>
        <w:t>, </w:t>
      </w:r>
      <w:r w:rsidRPr="00ED7622">
        <w:rPr>
          <w:rFonts w:eastAsiaTheme="minorHAnsi"/>
          <w:lang w:eastAsia="en-US"/>
        </w:rPr>
        <w:t>171</w:t>
      </w:r>
      <w:r w:rsidR="001F1EBC">
        <w:rPr>
          <w:rFonts w:eastAsiaTheme="minorHAnsi"/>
          <w:i/>
          <w:iCs/>
          <w:lang w:eastAsia="en-US"/>
        </w:rPr>
        <w:t xml:space="preserve"> </w:t>
      </w:r>
      <w:r w:rsidRPr="007B3FE8">
        <w:rPr>
          <w:rFonts w:eastAsiaTheme="minorHAnsi"/>
          <w:lang w:eastAsia="en-US"/>
        </w:rPr>
        <w:t>(8), 722</w:t>
      </w:r>
      <w:r w:rsidR="001F1EBC" w:rsidRPr="00E42B26">
        <w:rPr>
          <w:rFonts w:eastAsiaTheme="minorHAnsi"/>
          <w:lang w:eastAsia="en-US"/>
        </w:rPr>
        <w:t>–</w:t>
      </w:r>
      <w:r w:rsidRPr="007B3FE8">
        <w:rPr>
          <w:rFonts w:eastAsiaTheme="minorHAnsi"/>
          <w:lang w:eastAsia="en-US"/>
        </w:rPr>
        <w:t>727.</w:t>
      </w:r>
    </w:p>
    <w:p w14:paraId="0159F919" w14:textId="77777777" w:rsidR="00080102" w:rsidRPr="00080102" w:rsidRDefault="00080102" w:rsidP="00080102">
      <w:pPr>
        <w:autoSpaceDE w:val="0"/>
        <w:autoSpaceDN w:val="0"/>
        <w:adjustRightInd w:val="0"/>
        <w:spacing w:after="240" w:line="360" w:lineRule="auto"/>
        <w:ind w:left="720" w:hanging="720"/>
        <w:rPr>
          <w:rFonts w:eastAsiaTheme="minorHAnsi"/>
          <w:lang w:eastAsia="en-US"/>
        </w:rPr>
      </w:pPr>
      <w:proofErr w:type="spellStart"/>
      <w:r w:rsidRPr="00080102">
        <w:rPr>
          <w:rFonts w:eastAsiaTheme="minorHAnsi"/>
          <w:lang w:eastAsia="en-US"/>
        </w:rPr>
        <w:t>Shalowitz</w:t>
      </w:r>
      <w:proofErr w:type="spellEnd"/>
      <w:r w:rsidRPr="00080102">
        <w:rPr>
          <w:rFonts w:eastAsiaTheme="minorHAnsi"/>
          <w:lang w:eastAsia="en-US"/>
        </w:rPr>
        <w:t xml:space="preserve">, David I., Elizabeth Garrett-Mayer, and David Wendler (2006), “The Accuracy of Surrogate Decision Makers: A Systematic Review,” </w:t>
      </w:r>
      <w:r w:rsidRPr="00080102">
        <w:rPr>
          <w:rFonts w:eastAsiaTheme="minorHAnsi"/>
          <w:i/>
          <w:iCs/>
          <w:lang w:eastAsia="en-US"/>
        </w:rPr>
        <w:t>Archives of Internal Medicine</w:t>
      </w:r>
      <w:r w:rsidRPr="00080102">
        <w:rPr>
          <w:rFonts w:eastAsiaTheme="minorHAnsi"/>
          <w:lang w:eastAsia="en-US"/>
        </w:rPr>
        <w:t>, 166 (5), 493–97.</w:t>
      </w:r>
    </w:p>
    <w:p w14:paraId="52989CF7" w14:textId="0284CA84" w:rsidR="008C58E1" w:rsidRPr="00E42B26"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Snyder, Lois (2012), “American College of Physicians Ethics Manual,” </w:t>
      </w:r>
      <w:r w:rsidRPr="00E42B26">
        <w:rPr>
          <w:rFonts w:eastAsiaTheme="minorHAnsi"/>
          <w:i/>
          <w:iCs/>
          <w:lang w:eastAsia="en-US"/>
        </w:rPr>
        <w:t>Annals of Internal Medicine</w:t>
      </w:r>
      <w:r w:rsidRPr="00E42B26">
        <w:rPr>
          <w:rFonts w:eastAsiaTheme="minorHAnsi"/>
          <w:lang w:eastAsia="en-US"/>
        </w:rPr>
        <w:t>, 156(1_Part_2), 73–104.</w:t>
      </w:r>
    </w:p>
    <w:p w14:paraId="43CA890C" w14:textId="2A433D53" w:rsidR="008C58E1" w:rsidRPr="00E42B26" w:rsidRDefault="008C58E1" w:rsidP="008C58E1">
      <w:pPr>
        <w:autoSpaceDE w:val="0"/>
        <w:autoSpaceDN w:val="0"/>
        <w:adjustRightInd w:val="0"/>
        <w:spacing w:after="240" w:line="360" w:lineRule="auto"/>
        <w:ind w:left="720" w:hanging="720"/>
        <w:rPr>
          <w:rFonts w:eastAsiaTheme="minorHAnsi"/>
          <w:lang w:eastAsia="en-US"/>
        </w:rPr>
      </w:pPr>
      <w:proofErr w:type="spellStart"/>
      <w:r w:rsidRPr="00E42B26">
        <w:rPr>
          <w:rFonts w:eastAsiaTheme="minorHAnsi"/>
          <w:lang w:eastAsia="en-US"/>
        </w:rPr>
        <w:t>Sulmasy</w:t>
      </w:r>
      <w:proofErr w:type="spellEnd"/>
      <w:r w:rsidRPr="00E42B26">
        <w:rPr>
          <w:rFonts w:eastAsiaTheme="minorHAnsi"/>
          <w:lang w:eastAsia="en-US"/>
        </w:rPr>
        <w:t xml:space="preserve">, Daniel P. and Lois Snyder (2010), “Substituted Interests and Best Judgments: An Integrated Model of Surrogate Decision Making,” </w:t>
      </w:r>
      <w:r w:rsidRPr="00E42B26">
        <w:rPr>
          <w:rFonts w:eastAsiaTheme="minorHAnsi"/>
          <w:i/>
          <w:iCs/>
          <w:lang w:eastAsia="en-US"/>
        </w:rPr>
        <w:t>JAMA</w:t>
      </w:r>
      <w:r w:rsidRPr="00E42B26">
        <w:rPr>
          <w:rFonts w:eastAsiaTheme="minorHAnsi"/>
          <w:lang w:eastAsia="en-US"/>
        </w:rPr>
        <w:t>, 304</w:t>
      </w:r>
      <w:r w:rsidR="00EB5D57" w:rsidRPr="00E42B26">
        <w:rPr>
          <w:rFonts w:eastAsiaTheme="minorHAnsi"/>
          <w:lang w:eastAsia="en-US"/>
        </w:rPr>
        <w:t xml:space="preserve"> </w:t>
      </w:r>
      <w:r w:rsidRPr="00E42B26">
        <w:rPr>
          <w:rFonts w:eastAsiaTheme="minorHAnsi"/>
          <w:lang w:eastAsia="en-US"/>
        </w:rPr>
        <w:t>(17), 1946–47.</w:t>
      </w:r>
    </w:p>
    <w:p w14:paraId="709456BE" w14:textId="4B64DA63" w:rsidR="00CE1837" w:rsidRPr="00E42B26" w:rsidRDefault="00CE1837"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lastRenderedPageBreak/>
        <w:t xml:space="preserve">Thaler, Richard H. and Shlomo Benartzi (2004), “Save More </w:t>
      </w:r>
      <w:proofErr w:type="spellStart"/>
      <w:r w:rsidRPr="00E42B26">
        <w:rPr>
          <w:rFonts w:eastAsiaTheme="minorHAnsi"/>
          <w:lang w:eastAsia="en-US"/>
        </w:rPr>
        <w:t>Tomorrow</w:t>
      </w:r>
      <w:r w:rsidRPr="00E42B26">
        <w:rPr>
          <w:rFonts w:eastAsiaTheme="minorHAnsi"/>
          <w:vertAlign w:val="superscript"/>
          <w:lang w:eastAsia="en-US"/>
        </w:rPr>
        <w:t>TM</w:t>
      </w:r>
      <w:proofErr w:type="spellEnd"/>
      <w:r w:rsidRPr="00E42B26">
        <w:rPr>
          <w:rFonts w:eastAsiaTheme="minorHAnsi"/>
          <w:lang w:eastAsia="en-US"/>
        </w:rPr>
        <w:t xml:space="preserve">: Using </w:t>
      </w:r>
      <w:proofErr w:type="spellStart"/>
      <w:r w:rsidRPr="00E42B26">
        <w:rPr>
          <w:rFonts w:eastAsiaTheme="minorHAnsi"/>
          <w:lang w:eastAsia="en-US"/>
        </w:rPr>
        <w:t>Behavioral</w:t>
      </w:r>
      <w:proofErr w:type="spellEnd"/>
      <w:r w:rsidRPr="00E42B26">
        <w:rPr>
          <w:rFonts w:eastAsiaTheme="minorHAnsi"/>
          <w:lang w:eastAsia="en-US"/>
        </w:rPr>
        <w:t xml:space="preserve"> Economics to Increase Employee Saving,” </w:t>
      </w:r>
      <w:r w:rsidRPr="00E42B26">
        <w:rPr>
          <w:rFonts w:eastAsiaTheme="minorHAnsi"/>
          <w:i/>
          <w:iCs/>
          <w:lang w:eastAsia="en-US"/>
        </w:rPr>
        <w:t>Journal of Political Economy</w:t>
      </w:r>
      <w:r w:rsidRPr="00E42B26">
        <w:rPr>
          <w:rFonts w:eastAsiaTheme="minorHAnsi"/>
          <w:lang w:eastAsia="en-US"/>
        </w:rPr>
        <w:t>, 112 (S1), S164–87.</w:t>
      </w:r>
    </w:p>
    <w:p w14:paraId="771AE9AB" w14:textId="6CD60B8B" w:rsidR="00FE596E" w:rsidRPr="00E42B26" w:rsidRDefault="00FE596E" w:rsidP="00FE596E">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The Aspen Institute </w:t>
      </w:r>
      <w:r w:rsidR="0095346D" w:rsidRPr="00E42B26">
        <w:t>Health Strategy Group</w:t>
      </w:r>
      <w:r w:rsidR="0095346D" w:rsidRPr="00E42B26">
        <w:rPr>
          <w:rFonts w:eastAsiaTheme="minorHAnsi"/>
          <w:lang w:eastAsia="en-US"/>
        </w:rPr>
        <w:t xml:space="preserve"> </w:t>
      </w:r>
      <w:r w:rsidRPr="00E42B26">
        <w:rPr>
          <w:rFonts w:eastAsiaTheme="minorHAnsi"/>
          <w:lang w:eastAsia="en-US"/>
        </w:rPr>
        <w:t>(2016),</w:t>
      </w:r>
      <w:r w:rsidRPr="00E42B26">
        <w:rPr>
          <w:rFonts w:eastAsiaTheme="minorHAnsi"/>
          <w:i/>
          <w:iCs/>
          <w:lang w:eastAsia="en-US"/>
        </w:rPr>
        <w:t xml:space="preserve"> Improving Care at The End of Life: A Report of the Aspen Institute Health Strategy Group</w:t>
      </w:r>
      <w:r w:rsidRPr="00E42B26">
        <w:rPr>
          <w:rFonts w:eastAsiaTheme="minorHAnsi"/>
          <w:lang w:eastAsia="en-US"/>
        </w:rPr>
        <w:t>, https://assets.aspeninstitute.org/content/uploads/2017/02/AHSG-Report-Improving-Care-at-the-End-of-Life.pdf?_ga=2.103485696.1017576699.1607099470-207094241.1606995378.</w:t>
      </w:r>
    </w:p>
    <w:p w14:paraId="2376397D" w14:textId="4F33A8E7" w:rsidR="00D928DF" w:rsidRPr="00E42B26" w:rsidRDefault="00D928DF"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Third Way (2015), “A Better End of Life,” September 29, 2015, (accessed December 22, 2020), https://www.thirdway.org/report/a-better-end-of-life.</w:t>
      </w:r>
    </w:p>
    <w:p w14:paraId="08DBCA09" w14:textId="1E779E6C" w:rsidR="008C58E1" w:rsidRPr="00E42B26"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Weems, Kerry and David W. Johnson (2020), </w:t>
      </w:r>
      <w:r w:rsidRPr="00E42B26">
        <w:rPr>
          <w:rFonts w:eastAsiaTheme="minorHAnsi"/>
          <w:i/>
          <w:iCs/>
          <w:lang w:eastAsia="en-US"/>
        </w:rPr>
        <w:t>Advancing Advance Care Plans through Medicare: It’s Time to Move</w:t>
      </w:r>
      <w:r w:rsidRPr="00E42B26">
        <w:rPr>
          <w:rFonts w:eastAsiaTheme="minorHAnsi"/>
          <w:lang w:eastAsia="en-US"/>
        </w:rPr>
        <w:t xml:space="preserve">, </w:t>
      </w:r>
      <w:r w:rsidR="00AC7F57" w:rsidRPr="00E42B26">
        <w:t>(accessed December 2, 2020)</w:t>
      </w:r>
      <w:r w:rsidRPr="00E42B26">
        <w:rPr>
          <w:rFonts w:eastAsiaTheme="minorHAnsi"/>
          <w:lang w:eastAsia="en-US"/>
        </w:rPr>
        <w:t>, https://www.4sighthealth.com/advancing-advance-care-plans-through-medicare-its-time-to-move/.</w:t>
      </w:r>
    </w:p>
    <w:p w14:paraId="72E2794F" w14:textId="6E055A77" w:rsidR="008C58E1" w:rsidRPr="00E42B26"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Wilkinson, Anne, Neil Wenger, and Lisa R. </w:t>
      </w:r>
      <w:proofErr w:type="spellStart"/>
      <w:r w:rsidRPr="00E42B26">
        <w:rPr>
          <w:rFonts w:eastAsiaTheme="minorHAnsi"/>
          <w:lang w:eastAsia="en-US"/>
        </w:rPr>
        <w:t>Shugarman</w:t>
      </w:r>
      <w:proofErr w:type="spellEnd"/>
      <w:r w:rsidRPr="00E42B26">
        <w:rPr>
          <w:rFonts w:eastAsiaTheme="minorHAnsi"/>
          <w:lang w:eastAsia="en-US"/>
        </w:rPr>
        <w:t xml:space="preserve"> (2007), “Literature Review on Advance Directives,” U.S. Department of Health and Human Services.</w:t>
      </w:r>
    </w:p>
    <w:p w14:paraId="4DA9D67F" w14:textId="7FD43B1F" w:rsidR="008C58E1" w:rsidRPr="008C58E1" w:rsidRDefault="008C58E1" w:rsidP="008C58E1">
      <w:pPr>
        <w:autoSpaceDE w:val="0"/>
        <w:autoSpaceDN w:val="0"/>
        <w:adjustRightInd w:val="0"/>
        <w:spacing w:after="240" w:line="360" w:lineRule="auto"/>
        <w:ind w:left="720" w:hanging="720"/>
        <w:rPr>
          <w:rFonts w:eastAsiaTheme="minorHAnsi"/>
          <w:lang w:eastAsia="en-US"/>
        </w:rPr>
      </w:pPr>
      <w:r w:rsidRPr="00E42B26">
        <w:rPr>
          <w:rFonts w:eastAsiaTheme="minorHAnsi"/>
          <w:lang w:eastAsia="en-US"/>
        </w:rPr>
        <w:t xml:space="preserve">Zhang, </w:t>
      </w:r>
      <w:proofErr w:type="spellStart"/>
      <w:r w:rsidRPr="00E42B26">
        <w:rPr>
          <w:rFonts w:eastAsiaTheme="minorHAnsi"/>
          <w:lang w:eastAsia="en-US"/>
        </w:rPr>
        <w:t>Baohui</w:t>
      </w:r>
      <w:proofErr w:type="spellEnd"/>
      <w:r w:rsidRPr="00E42B26">
        <w:rPr>
          <w:rFonts w:eastAsiaTheme="minorHAnsi"/>
          <w:lang w:eastAsia="en-US"/>
        </w:rPr>
        <w:t xml:space="preserve">, Alexi A. Wright, Haiden A. </w:t>
      </w:r>
      <w:proofErr w:type="spellStart"/>
      <w:r w:rsidRPr="00E42B26">
        <w:rPr>
          <w:rFonts w:eastAsiaTheme="minorHAnsi"/>
          <w:lang w:eastAsia="en-US"/>
        </w:rPr>
        <w:t>Huskamp</w:t>
      </w:r>
      <w:proofErr w:type="spellEnd"/>
      <w:r w:rsidRPr="00E42B26">
        <w:rPr>
          <w:rFonts w:eastAsiaTheme="minorHAnsi"/>
          <w:lang w:eastAsia="en-US"/>
        </w:rPr>
        <w:t xml:space="preserve">, Matthew E. Nilsson, Matthew L. </w:t>
      </w:r>
      <w:proofErr w:type="spellStart"/>
      <w:r w:rsidRPr="00E42B26">
        <w:rPr>
          <w:rFonts w:eastAsiaTheme="minorHAnsi"/>
          <w:lang w:eastAsia="en-US"/>
        </w:rPr>
        <w:t>Maciejewski</w:t>
      </w:r>
      <w:proofErr w:type="spellEnd"/>
      <w:r w:rsidRPr="00E42B26">
        <w:rPr>
          <w:rFonts w:eastAsiaTheme="minorHAnsi"/>
          <w:lang w:eastAsia="en-US"/>
        </w:rPr>
        <w:t xml:space="preserve">, Craig C. Earle, Susan D. Block, Paul K. </w:t>
      </w:r>
      <w:proofErr w:type="spellStart"/>
      <w:r w:rsidRPr="00E42B26">
        <w:rPr>
          <w:rFonts w:eastAsiaTheme="minorHAnsi"/>
          <w:lang w:eastAsia="en-US"/>
        </w:rPr>
        <w:t>Maciejewski</w:t>
      </w:r>
      <w:proofErr w:type="spellEnd"/>
      <w:r w:rsidRPr="00E42B26">
        <w:rPr>
          <w:rFonts w:eastAsiaTheme="minorHAnsi"/>
          <w:lang w:eastAsia="en-US"/>
        </w:rPr>
        <w:t xml:space="preserve">, and Holly G. </w:t>
      </w:r>
      <w:proofErr w:type="spellStart"/>
      <w:r w:rsidRPr="00E42B26">
        <w:rPr>
          <w:rFonts w:eastAsiaTheme="minorHAnsi"/>
          <w:lang w:eastAsia="en-US"/>
        </w:rPr>
        <w:t>Prigerson</w:t>
      </w:r>
      <w:proofErr w:type="spellEnd"/>
      <w:r w:rsidRPr="00E42B26">
        <w:rPr>
          <w:rFonts w:eastAsiaTheme="minorHAnsi"/>
          <w:lang w:eastAsia="en-US"/>
        </w:rPr>
        <w:t xml:space="preserve"> (2009), “Health Care Costs in the Last Week of Life: Associations With End-of-Life Conversations,” </w:t>
      </w:r>
      <w:r w:rsidRPr="00E42B26">
        <w:rPr>
          <w:rFonts w:eastAsiaTheme="minorHAnsi"/>
          <w:i/>
          <w:iCs/>
          <w:lang w:eastAsia="en-US"/>
        </w:rPr>
        <w:t>Archives of Internal Medicine</w:t>
      </w:r>
      <w:r w:rsidRPr="00E42B26">
        <w:rPr>
          <w:rFonts w:eastAsiaTheme="minorHAnsi"/>
          <w:lang w:eastAsia="en-US"/>
        </w:rPr>
        <w:t>, 169</w:t>
      </w:r>
      <w:r w:rsidR="00EB5D57" w:rsidRPr="00E42B26">
        <w:rPr>
          <w:rFonts w:eastAsiaTheme="minorHAnsi"/>
          <w:lang w:eastAsia="en-US"/>
        </w:rPr>
        <w:t xml:space="preserve"> </w:t>
      </w:r>
      <w:r w:rsidRPr="00E42B26">
        <w:rPr>
          <w:rFonts w:eastAsiaTheme="minorHAnsi"/>
          <w:lang w:eastAsia="en-US"/>
        </w:rPr>
        <w:t>(5), 480–88.</w:t>
      </w:r>
    </w:p>
    <w:p w14:paraId="2CB3C135" w14:textId="77777777" w:rsidR="00832ABB" w:rsidRPr="00832ABB" w:rsidRDefault="00832ABB" w:rsidP="008C58E1">
      <w:pPr>
        <w:spacing w:line="360" w:lineRule="auto"/>
      </w:pPr>
    </w:p>
    <w:p w14:paraId="71056244" w14:textId="77777777" w:rsidR="00695791" w:rsidRDefault="00695791" w:rsidP="0006708F">
      <w:pPr>
        <w:spacing w:line="360" w:lineRule="auto"/>
        <w:ind w:firstLine="709"/>
      </w:pPr>
    </w:p>
    <w:p w14:paraId="14667DB5" w14:textId="77777777" w:rsidR="00687DA8" w:rsidRDefault="00687DA8" w:rsidP="0075776B">
      <w:pPr>
        <w:spacing w:line="360" w:lineRule="auto"/>
        <w:ind w:firstLine="709"/>
      </w:pPr>
    </w:p>
    <w:p w14:paraId="1CEB58E9" w14:textId="0EEE9FE3" w:rsidR="00C44047" w:rsidRDefault="00C44047" w:rsidP="00DD67A9">
      <w:pPr>
        <w:spacing w:line="360" w:lineRule="auto"/>
      </w:pPr>
    </w:p>
    <w:p w14:paraId="502F4B47" w14:textId="7378928A" w:rsidR="00DD67A9" w:rsidRDefault="00DD67A9" w:rsidP="00DD67A9">
      <w:pPr>
        <w:spacing w:line="360" w:lineRule="auto"/>
      </w:pPr>
    </w:p>
    <w:p w14:paraId="282FC10A" w14:textId="739AB87B" w:rsidR="00DD67A9" w:rsidRDefault="00DD67A9" w:rsidP="00DD67A9">
      <w:pPr>
        <w:spacing w:line="360" w:lineRule="auto"/>
      </w:pPr>
    </w:p>
    <w:sectPr w:rsidR="00DD67A9" w:rsidSect="008F18C6">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78B28" w14:textId="77777777" w:rsidR="00571EEB" w:rsidRDefault="00571EEB" w:rsidP="007B7193">
      <w:r>
        <w:separator/>
      </w:r>
    </w:p>
  </w:endnote>
  <w:endnote w:type="continuationSeparator" w:id="0">
    <w:p w14:paraId="0DA161E0" w14:textId="77777777" w:rsidR="00571EEB" w:rsidRDefault="00571EEB" w:rsidP="007B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2DA72" w14:textId="77777777" w:rsidR="00571EEB" w:rsidRDefault="00571EEB" w:rsidP="007B7193">
      <w:r>
        <w:separator/>
      </w:r>
    </w:p>
  </w:footnote>
  <w:footnote w:type="continuationSeparator" w:id="0">
    <w:p w14:paraId="61DD22A4" w14:textId="77777777" w:rsidR="00571EEB" w:rsidRDefault="00571EEB" w:rsidP="007B7193">
      <w:r>
        <w:continuationSeparator/>
      </w:r>
    </w:p>
  </w:footnote>
  <w:footnote w:id="1">
    <w:p w14:paraId="34A714E9" w14:textId="58777E07" w:rsidR="003D5277" w:rsidRDefault="003D5277">
      <w:pPr>
        <w:pStyle w:val="FootnoteText"/>
      </w:pPr>
      <w:r>
        <w:rPr>
          <w:rStyle w:val="FootnoteReference"/>
        </w:rPr>
        <w:footnoteRef/>
      </w:r>
      <w:r>
        <w:t xml:space="preserve"> For exploratory purposes we also measured construal level, self-construal, locus of control, satisfaction with life, future time perspective, preference for paternalistic versus autonomous decision-making, death avoidance, fear of personal death, belief in afterlife, religiosity, and political orientation.</w:t>
      </w:r>
    </w:p>
  </w:footnote>
  <w:footnote w:id="2">
    <w:p w14:paraId="023FB827" w14:textId="1734A19B" w:rsidR="003D5277" w:rsidRPr="00000AB6" w:rsidRDefault="003D5277" w:rsidP="00F230D7">
      <w:pPr>
        <w:pStyle w:val="FootnoteText"/>
      </w:pPr>
      <w:r>
        <w:rPr>
          <w:rStyle w:val="FootnoteReference"/>
        </w:rPr>
        <w:footnoteRef/>
      </w:r>
      <w:r>
        <w:t xml:space="preserve"> I</w:t>
      </w:r>
      <w:r w:rsidRPr="00000AB6">
        <w:t xml:space="preserve">n the stimuli </w:t>
      </w:r>
      <w:r>
        <w:t>we used the term</w:t>
      </w:r>
      <w:r w:rsidRPr="00000AB6">
        <w:t xml:space="preserve"> </w:t>
      </w:r>
      <w:r>
        <w:t>“advance health directive”</w:t>
      </w:r>
      <w:r w:rsidRPr="00000AB6">
        <w:t xml:space="preserve"> </w:t>
      </w:r>
      <w:r>
        <w:t xml:space="preserve">rather than “advance care plan” </w:t>
      </w:r>
      <w:r w:rsidRPr="00000AB6">
        <w:t xml:space="preserve">since we were informed by experts at the time that </w:t>
      </w:r>
      <w:r>
        <w:t xml:space="preserve">the former term </w:t>
      </w:r>
      <w:r w:rsidRPr="00000AB6">
        <w:t>was more common.</w:t>
      </w:r>
    </w:p>
    <w:p w14:paraId="61886152" w14:textId="77777777" w:rsidR="003D5277" w:rsidRDefault="003D5277" w:rsidP="00F230D7">
      <w:pPr>
        <w:pStyle w:val="FootnoteText"/>
      </w:pPr>
    </w:p>
  </w:footnote>
  <w:footnote w:id="3">
    <w:p w14:paraId="42BD7C35" w14:textId="77777777" w:rsidR="003D5277" w:rsidRDefault="003D5277" w:rsidP="008425BA">
      <w:pPr>
        <w:pStyle w:val="FootnoteText"/>
      </w:pPr>
      <w:r>
        <w:rPr>
          <w:rStyle w:val="FootnoteReference"/>
        </w:rPr>
        <w:footnoteRef/>
      </w:r>
      <w:r>
        <w:t xml:space="preserve"> Details about these studies can be obtained from the authors.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734850"/>
      <w:docPartObj>
        <w:docPartGallery w:val="Page Numbers (Top of Page)"/>
        <w:docPartUnique/>
      </w:docPartObj>
    </w:sdtPr>
    <w:sdtEndPr>
      <w:rPr>
        <w:noProof/>
      </w:rPr>
    </w:sdtEndPr>
    <w:sdtContent>
      <w:p w14:paraId="447D550F" w14:textId="148CBE08" w:rsidR="003D5277" w:rsidRPr="007B7193" w:rsidRDefault="003D5277">
        <w:pPr>
          <w:pStyle w:val="Header"/>
          <w:jc w:val="right"/>
        </w:pPr>
        <w:r w:rsidRPr="007B7193">
          <w:fldChar w:fldCharType="begin"/>
        </w:r>
        <w:r w:rsidRPr="007B7193">
          <w:instrText xml:space="preserve"> PAGE   \* MERGEFORMAT </w:instrText>
        </w:r>
        <w:r w:rsidRPr="007B7193">
          <w:fldChar w:fldCharType="separate"/>
        </w:r>
        <w:r>
          <w:rPr>
            <w:noProof/>
          </w:rPr>
          <w:t>20</w:t>
        </w:r>
        <w:r w:rsidRPr="007B7193">
          <w:rPr>
            <w:noProof/>
          </w:rPr>
          <w:fldChar w:fldCharType="end"/>
        </w:r>
      </w:p>
    </w:sdtContent>
  </w:sdt>
  <w:p w14:paraId="1B2BA660" w14:textId="77777777" w:rsidR="003D5277" w:rsidRDefault="003D5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37045"/>
    <w:multiLevelType w:val="hybridMultilevel"/>
    <w:tmpl w:val="7A940B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8E"/>
    <w:rsid w:val="000008D9"/>
    <w:rsid w:val="00002382"/>
    <w:rsid w:val="000026B6"/>
    <w:rsid w:val="00003411"/>
    <w:rsid w:val="00006AF7"/>
    <w:rsid w:val="00006C3A"/>
    <w:rsid w:val="000072F5"/>
    <w:rsid w:val="000101C0"/>
    <w:rsid w:val="000105DA"/>
    <w:rsid w:val="00013532"/>
    <w:rsid w:val="00015AF2"/>
    <w:rsid w:val="00017A7E"/>
    <w:rsid w:val="00021323"/>
    <w:rsid w:val="00024283"/>
    <w:rsid w:val="000246D6"/>
    <w:rsid w:val="00024AC0"/>
    <w:rsid w:val="000251B8"/>
    <w:rsid w:val="0002704C"/>
    <w:rsid w:val="00027B39"/>
    <w:rsid w:val="00031FA1"/>
    <w:rsid w:val="00037BD3"/>
    <w:rsid w:val="00040B87"/>
    <w:rsid w:val="00040DCC"/>
    <w:rsid w:val="00041868"/>
    <w:rsid w:val="0004243D"/>
    <w:rsid w:val="00042CCD"/>
    <w:rsid w:val="0004325F"/>
    <w:rsid w:val="00043B73"/>
    <w:rsid w:val="00043DB1"/>
    <w:rsid w:val="00043FCF"/>
    <w:rsid w:val="00043FF7"/>
    <w:rsid w:val="0004536A"/>
    <w:rsid w:val="00046793"/>
    <w:rsid w:val="00050708"/>
    <w:rsid w:val="000514CB"/>
    <w:rsid w:val="00053FF0"/>
    <w:rsid w:val="000541C8"/>
    <w:rsid w:val="00057142"/>
    <w:rsid w:val="000642C7"/>
    <w:rsid w:val="00065374"/>
    <w:rsid w:val="00066146"/>
    <w:rsid w:val="0006708F"/>
    <w:rsid w:val="000700DB"/>
    <w:rsid w:val="000714BE"/>
    <w:rsid w:val="00071EC0"/>
    <w:rsid w:val="000725A4"/>
    <w:rsid w:val="0007333A"/>
    <w:rsid w:val="000741A7"/>
    <w:rsid w:val="0007513E"/>
    <w:rsid w:val="000764FE"/>
    <w:rsid w:val="00080102"/>
    <w:rsid w:val="00080C78"/>
    <w:rsid w:val="0008144E"/>
    <w:rsid w:val="000825DC"/>
    <w:rsid w:val="000827E3"/>
    <w:rsid w:val="00082D6D"/>
    <w:rsid w:val="00083016"/>
    <w:rsid w:val="0008551A"/>
    <w:rsid w:val="00087427"/>
    <w:rsid w:val="00090AF0"/>
    <w:rsid w:val="00090B6A"/>
    <w:rsid w:val="00092C27"/>
    <w:rsid w:val="00092CDA"/>
    <w:rsid w:val="00093CB6"/>
    <w:rsid w:val="000941CD"/>
    <w:rsid w:val="00094833"/>
    <w:rsid w:val="0009513B"/>
    <w:rsid w:val="00096425"/>
    <w:rsid w:val="00096790"/>
    <w:rsid w:val="000971DC"/>
    <w:rsid w:val="00097273"/>
    <w:rsid w:val="000A089B"/>
    <w:rsid w:val="000A1D04"/>
    <w:rsid w:val="000A413A"/>
    <w:rsid w:val="000A4FFC"/>
    <w:rsid w:val="000A587D"/>
    <w:rsid w:val="000A5B79"/>
    <w:rsid w:val="000A5EC4"/>
    <w:rsid w:val="000A5F99"/>
    <w:rsid w:val="000A75F0"/>
    <w:rsid w:val="000B0093"/>
    <w:rsid w:val="000B0D77"/>
    <w:rsid w:val="000B1591"/>
    <w:rsid w:val="000B3BB1"/>
    <w:rsid w:val="000B66AA"/>
    <w:rsid w:val="000C08C6"/>
    <w:rsid w:val="000C2C36"/>
    <w:rsid w:val="000C332D"/>
    <w:rsid w:val="000C3FD7"/>
    <w:rsid w:val="000C63FD"/>
    <w:rsid w:val="000D11CC"/>
    <w:rsid w:val="000D130B"/>
    <w:rsid w:val="000D2640"/>
    <w:rsid w:val="000D2CB2"/>
    <w:rsid w:val="000D324F"/>
    <w:rsid w:val="000D6E27"/>
    <w:rsid w:val="000E0A34"/>
    <w:rsid w:val="000E0CD5"/>
    <w:rsid w:val="000E3A3F"/>
    <w:rsid w:val="000E5EB6"/>
    <w:rsid w:val="000E7BDF"/>
    <w:rsid w:val="000E7F12"/>
    <w:rsid w:val="000F5FD9"/>
    <w:rsid w:val="000F7054"/>
    <w:rsid w:val="00100672"/>
    <w:rsid w:val="00100D30"/>
    <w:rsid w:val="00100D91"/>
    <w:rsid w:val="001019A2"/>
    <w:rsid w:val="00103229"/>
    <w:rsid w:val="0010356F"/>
    <w:rsid w:val="00106021"/>
    <w:rsid w:val="00106FFF"/>
    <w:rsid w:val="001072BA"/>
    <w:rsid w:val="00110140"/>
    <w:rsid w:val="0011039C"/>
    <w:rsid w:val="00110B60"/>
    <w:rsid w:val="00110B7F"/>
    <w:rsid w:val="00114019"/>
    <w:rsid w:val="0011440B"/>
    <w:rsid w:val="00114ACD"/>
    <w:rsid w:val="00115213"/>
    <w:rsid w:val="00116C06"/>
    <w:rsid w:val="00117F05"/>
    <w:rsid w:val="00121F05"/>
    <w:rsid w:val="00122ACE"/>
    <w:rsid w:val="00122D83"/>
    <w:rsid w:val="00125DB4"/>
    <w:rsid w:val="001274C8"/>
    <w:rsid w:val="00132114"/>
    <w:rsid w:val="001325EC"/>
    <w:rsid w:val="00132E00"/>
    <w:rsid w:val="00134122"/>
    <w:rsid w:val="00134879"/>
    <w:rsid w:val="00134F1A"/>
    <w:rsid w:val="00135F83"/>
    <w:rsid w:val="00137763"/>
    <w:rsid w:val="00140FF3"/>
    <w:rsid w:val="001418A3"/>
    <w:rsid w:val="00145271"/>
    <w:rsid w:val="0014694F"/>
    <w:rsid w:val="0015037B"/>
    <w:rsid w:val="00151CD4"/>
    <w:rsid w:val="00151DEC"/>
    <w:rsid w:val="001526B3"/>
    <w:rsid w:val="00153033"/>
    <w:rsid w:val="00153ECF"/>
    <w:rsid w:val="00155008"/>
    <w:rsid w:val="00155390"/>
    <w:rsid w:val="0015547B"/>
    <w:rsid w:val="0015681E"/>
    <w:rsid w:val="001579CE"/>
    <w:rsid w:val="00160451"/>
    <w:rsid w:val="00161431"/>
    <w:rsid w:val="001619BF"/>
    <w:rsid w:val="00163C14"/>
    <w:rsid w:val="0016474A"/>
    <w:rsid w:val="00165F8C"/>
    <w:rsid w:val="00167B21"/>
    <w:rsid w:val="0017040C"/>
    <w:rsid w:val="00171259"/>
    <w:rsid w:val="0017234E"/>
    <w:rsid w:val="00172827"/>
    <w:rsid w:val="00176BA5"/>
    <w:rsid w:val="001779F1"/>
    <w:rsid w:val="001802DC"/>
    <w:rsid w:val="001814DE"/>
    <w:rsid w:val="00181A5D"/>
    <w:rsid w:val="00184DA5"/>
    <w:rsid w:val="001851AC"/>
    <w:rsid w:val="00185B51"/>
    <w:rsid w:val="00187614"/>
    <w:rsid w:val="001911A1"/>
    <w:rsid w:val="001914EB"/>
    <w:rsid w:val="0019243A"/>
    <w:rsid w:val="00192ED0"/>
    <w:rsid w:val="00195E6C"/>
    <w:rsid w:val="00195EA5"/>
    <w:rsid w:val="001965FC"/>
    <w:rsid w:val="00197BFA"/>
    <w:rsid w:val="001A0D30"/>
    <w:rsid w:val="001A122C"/>
    <w:rsid w:val="001A20ED"/>
    <w:rsid w:val="001A2951"/>
    <w:rsid w:val="001A3F75"/>
    <w:rsid w:val="001A5CBD"/>
    <w:rsid w:val="001A7C1A"/>
    <w:rsid w:val="001B0242"/>
    <w:rsid w:val="001B27A0"/>
    <w:rsid w:val="001B338D"/>
    <w:rsid w:val="001B4F08"/>
    <w:rsid w:val="001B5F5B"/>
    <w:rsid w:val="001B68DF"/>
    <w:rsid w:val="001B7C1C"/>
    <w:rsid w:val="001C07E6"/>
    <w:rsid w:val="001C1F38"/>
    <w:rsid w:val="001C2B12"/>
    <w:rsid w:val="001C2F2C"/>
    <w:rsid w:val="001C2FF6"/>
    <w:rsid w:val="001C346B"/>
    <w:rsid w:val="001C66BB"/>
    <w:rsid w:val="001C7B54"/>
    <w:rsid w:val="001D067A"/>
    <w:rsid w:val="001D171B"/>
    <w:rsid w:val="001D2FBD"/>
    <w:rsid w:val="001D3628"/>
    <w:rsid w:val="001D4AA1"/>
    <w:rsid w:val="001D4D24"/>
    <w:rsid w:val="001D5C3D"/>
    <w:rsid w:val="001E07DC"/>
    <w:rsid w:val="001E07E6"/>
    <w:rsid w:val="001E1591"/>
    <w:rsid w:val="001E2245"/>
    <w:rsid w:val="001E41C6"/>
    <w:rsid w:val="001E4366"/>
    <w:rsid w:val="001E4F08"/>
    <w:rsid w:val="001E603D"/>
    <w:rsid w:val="001E67F6"/>
    <w:rsid w:val="001E735C"/>
    <w:rsid w:val="001E7C89"/>
    <w:rsid w:val="001F179A"/>
    <w:rsid w:val="001F1B9C"/>
    <w:rsid w:val="001F1EBC"/>
    <w:rsid w:val="001F2C87"/>
    <w:rsid w:val="001F2FBE"/>
    <w:rsid w:val="001F4E9B"/>
    <w:rsid w:val="001F7E32"/>
    <w:rsid w:val="002000E2"/>
    <w:rsid w:val="002010F9"/>
    <w:rsid w:val="002015C2"/>
    <w:rsid w:val="00201B44"/>
    <w:rsid w:val="00202FE8"/>
    <w:rsid w:val="00206D77"/>
    <w:rsid w:val="002102BF"/>
    <w:rsid w:val="0021141A"/>
    <w:rsid w:val="00211DD4"/>
    <w:rsid w:val="00212322"/>
    <w:rsid w:val="00213FA1"/>
    <w:rsid w:val="00215063"/>
    <w:rsid w:val="00215B81"/>
    <w:rsid w:val="0021681E"/>
    <w:rsid w:val="00216C02"/>
    <w:rsid w:val="00217287"/>
    <w:rsid w:val="0021745A"/>
    <w:rsid w:val="00217A46"/>
    <w:rsid w:val="00217C41"/>
    <w:rsid w:val="00217E71"/>
    <w:rsid w:val="0022164D"/>
    <w:rsid w:val="00222484"/>
    <w:rsid w:val="00226922"/>
    <w:rsid w:val="00227E49"/>
    <w:rsid w:val="00227F8B"/>
    <w:rsid w:val="00230100"/>
    <w:rsid w:val="00230785"/>
    <w:rsid w:val="002310BD"/>
    <w:rsid w:val="00232CB5"/>
    <w:rsid w:val="00236BCA"/>
    <w:rsid w:val="002418AE"/>
    <w:rsid w:val="002436E9"/>
    <w:rsid w:val="00243D93"/>
    <w:rsid w:val="00245907"/>
    <w:rsid w:val="00246B50"/>
    <w:rsid w:val="00247581"/>
    <w:rsid w:val="002475CE"/>
    <w:rsid w:val="00250063"/>
    <w:rsid w:val="002506E6"/>
    <w:rsid w:val="00251294"/>
    <w:rsid w:val="00251B63"/>
    <w:rsid w:val="0025219D"/>
    <w:rsid w:val="002524C3"/>
    <w:rsid w:val="002529CF"/>
    <w:rsid w:val="002531DB"/>
    <w:rsid w:val="0025406B"/>
    <w:rsid w:val="0025599B"/>
    <w:rsid w:val="0025689F"/>
    <w:rsid w:val="002570A7"/>
    <w:rsid w:val="002572AC"/>
    <w:rsid w:val="00257409"/>
    <w:rsid w:val="00260350"/>
    <w:rsid w:val="0026091F"/>
    <w:rsid w:val="00263A0D"/>
    <w:rsid w:val="00263B2C"/>
    <w:rsid w:val="002650DB"/>
    <w:rsid w:val="00265494"/>
    <w:rsid w:val="00267D17"/>
    <w:rsid w:val="00267FDA"/>
    <w:rsid w:val="0027115A"/>
    <w:rsid w:val="0027364D"/>
    <w:rsid w:val="00275E21"/>
    <w:rsid w:val="002772CE"/>
    <w:rsid w:val="00280223"/>
    <w:rsid w:val="00281554"/>
    <w:rsid w:val="00281D13"/>
    <w:rsid w:val="00282F29"/>
    <w:rsid w:val="00283A31"/>
    <w:rsid w:val="00285DD8"/>
    <w:rsid w:val="002868C2"/>
    <w:rsid w:val="00287BCF"/>
    <w:rsid w:val="0029301D"/>
    <w:rsid w:val="0029477B"/>
    <w:rsid w:val="002950CF"/>
    <w:rsid w:val="00296DF9"/>
    <w:rsid w:val="00296EC9"/>
    <w:rsid w:val="00297BF3"/>
    <w:rsid w:val="002A01CE"/>
    <w:rsid w:val="002A1BA5"/>
    <w:rsid w:val="002A4726"/>
    <w:rsid w:val="002A5DAA"/>
    <w:rsid w:val="002A7E86"/>
    <w:rsid w:val="002A7F33"/>
    <w:rsid w:val="002B0E1F"/>
    <w:rsid w:val="002B35E4"/>
    <w:rsid w:val="002B59EE"/>
    <w:rsid w:val="002B6BA3"/>
    <w:rsid w:val="002B6D13"/>
    <w:rsid w:val="002C0A27"/>
    <w:rsid w:val="002C507A"/>
    <w:rsid w:val="002C5BFD"/>
    <w:rsid w:val="002D19B8"/>
    <w:rsid w:val="002D236F"/>
    <w:rsid w:val="002D3269"/>
    <w:rsid w:val="002D4592"/>
    <w:rsid w:val="002D580C"/>
    <w:rsid w:val="002D584E"/>
    <w:rsid w:val="002D5A98"/>
    <w:rsid w:val="002D7047"/>
    <w:rsid w:val="002E0388"/>
    <w:rsid w:val="002E2B22"/>
    <w:rsid w:val="002E3968"/>
    <w:rsid w:val="002E5CE8"/>
    <w:rsid w:val="002E5D72"/>
    <w:rsid w:val="002F1347"/>
    <w:rsid w:val="002F143F"/>
    <w:rsid w:val="002F166C"/>
    <w:rsid w:val="002F521E"/>
    <w:rsid w:val="002F54B5"/>
    <w:rsid w:val="00300CA8"/>
    <w:rsid w:val="003043A0"/>
    <w:rsid w:val="00304C38"/>
    <w:rsid w:val="0030708B"/>
    <w:rsid w:val="00310551"/>
    <w:rsid w:val="003134AC"/>
    <w:rsid w:val="00314485"/>
    <w:rsid w:val="00314B49"/>
    <w:rsid w:val="0031553C"/>
    <w:rsid w:val="00315D41"/>
    <w:rsid w:val="00316892"/>
    <w:rsid w:val="003207B8"/>
    <w:rsid w:val="00321305"/>
    <w:rsid w:val="00322BA7"/>
    <w:rsid w:val="003265E7"/>
    <w:rsid w:val="00326853"/>
    <w:rsid w:val="00326F16"/>
    <w:rsid w:val="00327624"/>
    <w:rsid w:val="0032771B"/>
    <w:rsid w:val="00327CE7"/>
    <w:rsid w:val="00327E32"/>
    <w:rsid w:val="00330F59"/>
    <w:rsid w:val="00331718"/>
    <w:rsid w:val="00332B4C"/>
    <w:rsid w:val="00333D11"/>
    <w:rsid w:val="00334923"/>
    <w:rsid w:val="00334EEC"/>
    <w:rsid w:val="00335C09"/>
    <w:rsid w:val="00336749"/>
    <w:rsid w:val="00337DED"/>
    <w:rsid w:val="00340653"/>
    <w:rsid w:val="00340A7B"/>
    <w:rsid w:val="003436F3"/>
    <w:rsid w:val="003441F1"/>
    <w:rsid w:val="003453C4"/>
    <w:rsid w:val="00346554"/>
    <w:rsid w:val="003476F3"/>
    <w:rsid w:val="0035117A"/>
    <w:rsid w:val="003520AF"/>
    <w:rsid w:val="00352924"/>
    <w:rsid w:val="00355CFA"/>
    <w:rsid w:val="00356FE8"/>
    <w:rsid w:val="00357DD2"/>
    <w:rsid w:val="00362552"/>
    <w:rsid w:val="00364364"/>
    <w:rsid w:val="003664A5"/>
    <w:rsid w:val="00367811"/>
    <w:rsid w:val="003700F7"/>
    <w:rsid w:val="003724B6"/>
    <w:rsid w:val="00372628"/>
    <w:rsid w:val="00372712"/>
    <w:rsid w:val="00374763"/>
    <w:rsid w:val="00375F3A"/>
    <w:rsid w:val="00376F7D"/>
    <w:rsid w:val="00377869"/>
    <w:rsid w:val="0038002E"/>
    <w:rsid w:val="00381186"/>
    <w:rsid w:val="00383455"/>
    <w:rsid w:val="00384EE6"/>
    <w:rsid w:val="00387480"/>
    <w:rsid w:val="0038775C"/>
    <w:rsid w:val="003932AE"/>
    <w:rsid w:val="00394A4D"/>
    <w:rsid w:val="00394D0A"/>
    <w:rsid w:val="00396DEC"/>
    <w:rsid w:val="0039717A"/>
    <w:rsid w:val="003A0C15"/>
    <w:rsid w:val="003A2699"/>
    <w:rsid w:val="003A2F90"/>
    <w:rsid w:val="003A4907"/>
    <w:rsid w:val="003A4A63"/>
    <w:rsid w:val="003A55B7"/>
    <w:rsid w:val="003A5C2C"/>
    <w:rsid w:val="003A65D1"/>
    <w:rsid w:val="003A71DC"/>
    <w:rsid w:val="003B3895"/>
    <w:rsid w:val="003B4BFD"/>
    <w:rsid w:val="003B6261"/>
    <w:rsid w:val="003C0130"/>
    <w:rsid w:val="003C0BD5"/>
    <w:rsid w:val="003C1034"/>
    <w:rsid w:val="003C1EB2"/>
    <w:rsid w:val="003C2B6E"/>
    <w:rsid w:val="003C3292"/>
    <w:rsid w:val="003C4CF2"/>
    <w:rsid w:val="003C661D"/>
    <w:rsid w:val="003C7330"/>
    <w:rsid w:val="003C78CF"/>
    <w:rsid w:val="003D187C"/>
    <w:rsid w:val="003D1F4E"/>
    <w:rsid w:val="003D338E"/>
    <w:rsid w:val="003D5277"/>
    <w:rsid w:val="003E1A53"/>
    <w:rsid w:val="003E317F"/>
    <w:rsid w:val="003E38DB"/>
    <w:rsid w:val="003E499A"/>
    <w:rsid w:val="003E66F3"/>
    <w:rsid w:val="003E6AA2"/>
    <w:rsid w:val="003E739B"/>
    <w:rsid w:val="003E7DA0"/>
    <w:rsid w:val="003F0D1F"/>
    <w:rsid w:val="003F19C7"/>
    <w:rsid w:val="003F3F3E"/>
    <w:rsid w:val="003F578F"/>
    <w:rsid w:val="003F74B9"/>
    <w:rsid w:val="00401D1F"/>
    <w:rsid w:val="00401DF3"/>
    <w:rsid w:val="004032AE"/>
    <w:rsid w:val="0040339F"/>
    <w:rsid w:val="00403CB7"/>
    <w:rsid w:val="00410677"/>
    <w:rsid w:val="00410C21"/>
    <w:rsid w:val="004110DF"/>
    <w:rsid w:val="004116D9"/>
    <w:rsid w:val="00411943"/>
    <w:rsid w:val="00411B95"/>
    <w:rsid w:val="004123CD"/>
    <w:rsid w:val="004125EF"/>
    <w:rsid w:val="00412E01"/>
    <w:rsid w:val="00416CE3"/>
    <w:rsid w:val="004179E3"/>
    <w:rsid w:val="00417DB6"/>
    <w:rsid w:val="00421115"/>
    <w:rsid w:val="004211DC"/>
    <w:rsid w:val="00421663"/>
    <w:rsid w:val="00422813"/>
    <w:rsid w:val="00423561"/>
    <w:rsid w:val="0042583F"/>
    <w:rsid w:val="00426351"/>
    <w:rsid w:val="004272D9"/>
    <w:rsid w:val="0043220C"/>
    <w:rsid w:val="004336FC"/>
    <w:rsid w:val="00436845"/>
    <w:rsid w:val="00437087"/>
    <w:rsid w:val="00442535"/>
    <w:rsid w:val="00442BFB"/>
    <w:rsid w:val="00444E68"/>
    <w:rsid w:val="0044765B"/>
    <w:rsid w:val="00447A7F"/>
    <w:rsid w:val="00451625"/>
    <w:rsid w:val="00452BFF"/>
    <w:rsid w:val="00453C61"/>
    <w:rsid w:val="00453CCE"/>
    <w:rsid w:val="00455886"/>
    <w:rsid w:val="004567BB"/>
    <w:rsid w:val="00457E8E"/>
    <w:rsid w:val="00460DA9"/>
    <w:rsid w:val="00462499"/>
    <w:rsid w:val="004630FD"/>
    <w:rsid w:val="00464333"/>
    <w:rsid w:val="004648EC"/>
    <w:rsid w:val="0046595D"/>
    <w:rsid w:val="0046632F"/>
    <w:rsid w:val="0046748A"/>
    <w:rsid w:val="00470A08"/>
    <w:rsid w:val="004711C3"/>
    <w:rsid w:val="0047187F"/>
    <w:rsid w:val="00471C95"/>
    <w:rsid w:val="004733C6"/>
    <w:rsid w:val="00474A01"/>
    <w:rsid w:val="00474CC9"/>
    <w:rsid w:val="0047756C"/>
    <w:rsid w:val="004802F7"/>
    <w:rsid w:val="0048394C"/>
    <w:rsid w:val="0048395B"/>
    <w:rsid w:val="004847B2"/>
    <w:rsid w:val="00484AF7"/>
    <w:rsid w:val="0049177A"/>
    <w:rsid w:val="00491813"/>
    <w:rsid w:val="00491DD8"/>
    <w:rsid w:val="004A019E"/>
    <w:rsid w:val="004A1C96"/>
    <w:rsid w:val="004A1FCE"/>
    <w:rsid w:val="004A2093"/>
    <w:rsid w:val="004A279A"/>
    <w:rsid w:val="004A3D70"/>
    <w:rsid w:val="004A420E"/>
    <w:rsid w:val="004A6F65"/>
    <w:rsid w:val="004A718C"/>
    <w:rsid w:val="004B2BF3"/>
    <w:rsid w:val="004B432C"/>
    <w:rsid w:val="004B47D2"/>
    <w:rsid w:val="004B52D3"/>
    <w:rsid w:val="004B736A"/>
    <w:rsid w:val="004C3B1D"/>
    <w:rsid w:val="004C4C5C"/>
    <w:rsid w:val="004D3B25"/>
    <w:rsid w:val="004D4DB4"/>
    <w:rsid w:val="004D512B"/>
    <w:rsid w:val="004D536E"/>
    <w:rsid w:val="004D7811"/>
    <w:rsid w:val="004E185C"/>
    <w:rsid w:val="004E6F37"/>
    <w:rsid w:val="004E6F4B"/>
    <w:rsid w:val="004E7994"/>
    <w:rsid w:val="004F0491"/>
    <w:rsid w:val="004F0E29"/>
    <w:rsid w:val="004F1E45"/>
    <w:rsid w:val="004F3337"/>
    <w:rsid w:val="004F3BD5"/>
    <w:rsid w:val="004F4AF8"/>
    <w:rsid w:val="004F4FB6"/>
    <w:rsid w:val="004F5512"/>
    <w:rsid w:val="004F57FC"/>
    <w:rsid w:val="00500B97"/>
    <w:rsid w:val="00502145"/>
    <w:rsid w:val="0050313A"/>
    <w:rsid w:val="00503699"/>
    <w:rsid w:val="0050572C"/>
    <w:rsid w:val="00505895"/>
    <w:rsid w:val="00506DA0"/>
    <w:rsid w:val="0051051C"/>
    <w:rsid w:val="00510D4D"/>
    <w:rsid w:val="00510EB3"/>
    <w:rsid w:val="00511C7B"/>
    <w:rsid w:val="005132DE"/>
    <w:rsid w:val="00514C65"/>
    <w:rsid w:val="0052224D"/>
    <w:rsid w:val="00522551"/>
    <w:rsid w:val="0052350E"/>
    <w:rsid w:val="0052481A"/>
    <w:rsid w:val="00524916"/>
    <w:rsid w:val="00524CF7"/>
    <w:rsid w:val="00527916"/>
    <w:rsid w:val="00531D84"/>
    <w:rsid w:val="00534294"/>
    <w:rsid w:val="005357AB"/>
    <w:rsid w:val="00535D5F"/>
    <w:rsid w:val="0053647C"/>
    <w:rsid w:val="00536B9B"/>
    <w:rsid w:val="00536D14"/>
    <w:rsid w:val="0053759E"/>
    <w:rsid w:val="00540D7F"/>
    <w:rsid w:val="00541077"/>
    <w:rsid w:val="0054218B"/>
    <w:rsid w:val="00543105"/>
    <w:rsid w:val="00546304"/>
    <w:rsid w:val="00551A64"/>
    <w:rsid w:val="005542F8"/>
    <w:rsid w:val="0055440E"/>
    <w:rsid w:val="0055503D"/>
    <w:rsid w:val="00555875"/>
    <w:rsid w:val="00556910"/>
    <w:rsid w:val="00557277"/>
    <w:rsid w:val="0055772B"/>
    <w:rsid w:val="0056218E"/>
    <w:rsid w:val="00564F05"/>
    <w:rsid w:val="00567927"/>
    <w:rsid w:val="00570A10"/>
    <w:rsid w:val="00571EEB"/>
    <w:rsid w:val="00576543"/>
    <w:rsid w:val="005801FE"/>
    <w:rsid w:val="00580542"/>
    <w:rsid w:val="0058428C"/>
    <w:rsid w:val="00584DBA"/>
    <w:rsid w:val="005859C1"/>
    <w:rsid w:val="00585FD2"/>
    <w:rsid w:val="00586844"/>
    <w:rsid w:val="00590127"/>
    <w:rsid w:val="00590FE1"/>
    <w:rsid w:val="00591C5B"/>
    <w:rsid w:val="005974D6"/>
    <w:rsid w:val="005A06A8"/>
    <w:rsid w:val="005A1FDB"/>
    <w:rsid w:val="005A3159"/>
    <w:rsid w:val="005A32DA"/>
    <w:rsid w:val="005A342B"/>
    <w:rsid w:val="005A35F8"/>
    <w:rsid w:val="005A36E7"/>
    <w:rsid w:val="005A4E18"/>
    <w:rsid w:val="005A7A6D"/>
    <w:rsid w:val="005B0032"/>
    <w:rsid w:val="005B0DD0"/>
    <w:rsid w:val="005B537A"/>
    <w:rsid w:val="005B5BFC"/>
    <w:rsid w:val="005B626C"/>
    <w:rsid w:val="005B67E1"/>
    <w:rsid w:val="005B6B29"/>
    <w:rsid w:val="005C04B9"/>
    <w:rsid w:val="005C38BF"/>
    <w:rsid w:val="005C3A08"/>
    <w:rsid w:val="005C45A7"/>
    <w:rsid w:val="005D0608"/>
    <w:rsid w:val="005D14EB"/>
    <w:rsid w:val="005D2E31"/>
    <w:rsid w:val="005D400C"/>
    <w:rsid w:val="005D642A"/>
    <w:rsid w:val="005E0CE3"/>
    <w:rsid w:val="005E2420"/>
    <w:rsid w:val="005E4167"/>
    <w:rsid w:val="005E61FB"/>
    <w:rsid w:val="005F1F5B"/>
    <w:rsid w:val="005F2241"/>
    <w:rsid w:val="005F2D7D"/>
    <w:rsid w:val="005F32DF"/>
    <w:rsid w:val="005F364F"/>
    <w:rsid w:val="005F416B"/>
    <w:rsid w:val="005F603B"/>
    <w:rsid w:val="005F6B84"/>
    <w:rsid w:val="006000A3"/>
    <w:rsid w:val="006000A6"/>
    <w:rsid w:val="006013AD"/>
    <w:rsid w:val="00601E52"/>
    <w:rsid w:val="006027F5"/>
    <w:rsid w:val="0060452D"/>
    <w:rsid w:val="00605728"/>
    <w:rsid w:val="0061026B"/>
    <w:rsid w:val="0061348F"/>
    <w:rsid w:val="00617612"/>
    <w:rsid w:val="0062077F"/>
    <w:rsid w:val="00622BBD"/>
    <w:rsid w:val="00625288"/>
    <w:rsid w:val="00625A50"/>
    <w:rsid w:val="0062651C"/>
    <w:rsid w:val="00626529"/>
    <w:rsid w:val="00630947"/>
    <w:rsid w:val="00630AD1"/>
    <w:rsid w:val="00631499"/>
    <w:rsid w:val="006346FB"/>
    <w:rsid w:val="006355EF"/>
    <w:rsid w:val="00635858"/>
    <w:rsid w:val="00636616"/>
    <w:rsid w:val="00640858"/>
    <w:rsid w:val="0064185B"/>
    <w:rsid w:val="00642A94"/>
    <w:rsid w:val="006432E1"/>
    <w:rsid w:val="00643309"/>
    <w:rsid w:val="0065083C"/>
    <w:rsid w:val="0065290F"/>
    <w:rsid w:val="0065328F"/>
    <w:rsid w:val="0065382F"/>
    <w:rsid w:val="006539F4"/>
    <w:rsid w:val="00657F1F"/>
    <w:rsid w:val="00660300"/>
    <w:rsid w:val="006606EF"/>
    <w:rsid w:val="00660F93"/>
    <w:rsid w:val="0066215A"/>
    <w:rsid w:val="00662238"/>
    <w:rsid w:val="006657B7"/>
    <w:rsid w:val="00665BE3"/>
    <w:rsid w:val="00666798"/>
    <w:rsid w:val="00670143"/>
    <w:rsid w:val="00675E9C"/>
    <w:rsid w:val="00676314"/>
    <w:rsid w:val="006765D7"/>
    <w:rsid w:val="0067685D"/>
    <w:rsid w:val="00680A08"/>
    <w:rsid w:val="006839CF"/>
    <w:rsid w:val="0068561C"/>
    <w:rsid w:val="00685678"/>
    <w:rsid w:val="00686C3D"/>
    <w:rsid w:val="00687D75"/>
    <w:rsid w:val="00687DA8"/>
    <w:rsid w:val="00690E6E"/>
    <w:rsid w:val="00691A53"/>
    <w:rsid w:val="00695695"/>
    <w:rsid w:val="00695791"/>
    <w:rsid w:val="0069777A"/>
    <w:rsid w:val="00697A73"/>
    <w:rsid w:val="006A06FB"/>
    <w:rsid w:val="006A3AFE"/>
    <w:rsid w:val="006A3C84"/>
    <w:rsid w:val="006A43F5"/>
    <w:rsid w:val="006A60D7"/>
    <w:rsid w:val="006A6418"/>
    <w:rsid w:val="006B52F2"/>
    <w:rsid w:val="006B6257"/>
    <w:rsid w:val="006B68D4"/>
    <w:rsid w:val="006C18B7"/>
    <w:rsid w:val="006C2135"/>
    <w:rsid w:val="006C2585"/>
    <w:rsid w:val="006C38CB"/>
    <w:rsid w:val="006C449A"/>
    <w:rsid w:val="006C5F47"/>
    <w:rsid w:val="006C6114"/>
    <w:rsid w:val="006C73D5"/>
    <w:rsid w:val="006C7834"/>
    <w:rsid w:val="006D1459"/>
    <w:rsid w:val="006D1B43"/>
    <w:rsid w:val="006D1DC0"/>
    <w:rsid w:val="006D3AE7"/>
    <w:rsid w:val="006D4CC8"/>
    <w:rsid w:val="006D525B"/>
    <w:rsid w:val="006E0D3B"/>
    <w:rsid w:val="006E0D9E"/>
    <w:rsid w:val="006E0DF0"/>
    <w:rsid w:val="006E1F7B"/>
    <w:rsid w:val="006E4CF5"/>
    <w:rsid w:val="006E5E7B"/>
    <w:rsid w:val="006E6D9D"/>
    <w:rsid w:val="006E7F76"/>
    <w:rsid w:val="006F074B"/>
    <w:rsid w:val="006F16B0"/>
    <w:rsid w:val="006F1855"/>
    <w:rsid w:val="006F3135"/>
    <w:rsid w:val="006F3CE4"/>
    <w:rsid w:val="006F7249"/>
    <w:rsid w:val="00701AE2"/>
    <w:rsid w:val="007040A0"/>
    <w:rsid w:val="00705848"/>
    <w:rsid w:val="00707010"/>
    <w:rsid w:val="00712153"/>
    <w:rsid w:val="00712DB8"/>
    <w:rsid w:val="00713A6D"/>
    <w:rsid w:val="00713ED5"/>
    <w:rsid w:val="00716080"/>
    <w:rsid w:val="007165DF"/>
    <w:rsid w:val="00716FDE"/>
    <w:rsid w:val="00717665"/>
    <w:rsid w:val="00720151"/>
    <w:rsid w:val="007248D5"/>
    <w:rsid w:val="00724BED"/>
    <w:rsid w:val="007275B9"/>
    <w:rsid w:val="007279C0"/>
    <w:rsid w:val="00727D83"/>
    <w:rsid w:val="007301B2"/>
    <w:rsid w:val="00731537"/>
    <w:rsid w:val="007318F5"/>
    <w:rsid w:val="00731D20"/>
    <w:rsid w:val="00733A24"/>
    <w:rsid w:val="00734304"/>
    <w:rsid w:val="0073490B"/>
    <w:rsid w:val="00735209"/>
    <w:rsid w:val="00737747"/>
    <w:rsid w:val="00737804"/>
    <w:rsid w:val="00737F62"/>
    <w:rsid w:val="00740050"/>
    <w:rsid w:val="007410BD"/>
    <w:rsid w:val="00741443"/>
    <w:rsid w:val="00742AE7"/>
    <w:rsid w:val="007506B4"/>
    <w:rsid w:val="00750E7B"/>
    <w:rsid w:val="007514A4"/>
    <w:rsid w:val="0075212C"/>
    <w:rsid w:val="007521FD"/>
    <w:rsid w:val="00752465"/>
    <w:rsid w:val="00753DC4"/>
    <w:rsid w:val="007558AC"/>
    <w:rsid w:val="00755DAE"/>
    <w:rsid w:val="00757294"/>
    <w:rsid w:val="0075776B"/>
    <w:rsid w:val="007617DB"/>
    <w:rsid w:val="007618FF"/>
    <w:rsid w:val="00763203"/>
    <w:rsid w:val="007643C9"/>
    <w:rsid w:val="00764D5F"/>
    <w:rsid w:val="00765880"/>
    <w:rsid w:val="0077063C"/>
    <w:rsid w:val="00772D91"/>
    <w:rsid w:val="00773C21"/>
    <w:rsid w:val="00774BF1"/>
    <w:rsid w:val="007750DA"/>
    <w:rsid w:val="007756EA"/>
    <w:rsid w:val="00775D91"/>
    <w:rsid w:val="00776BC4"/>
    <w:rsid w:val="00781411"/>
    <w:rsid w:val="00782C86"/>
    <w:rsid w:val="00783BA5"/>
    <w:rsid w:val="007846FB"/>
    <w:rsid w:val="00784BA7"/>
    <w:rsid w:val="00787784"/>
    <w:rsid w:val="00790DEB"/>
    <w:rsid w:val="00791DAE"/>
    <w:rsid w:val="00792200"/>
    <w:rsid w:val="00792507"/>
    <w:rsid w:val="00795B3C"/>
    <w:rsid w:val="007972E3"/>
    <w:rsid w:val="007A0A0D"/>
    <w:rsid w:val="007A0F18"/>
    <w:rsid w:val="007A1E18"/>
    <w:rsid w:val="007A2E35"/>
    <w:rsid w:val="007A48AA"/>
    <w:rsid w:val="007B009B"/>
    <w:rsid w:val="007B0CC9"/>
    <w:rsid w:val="007B29F5"/>
    <w:rsid w:val="007B3FE8"/>
    <w:rsid w:val="007B5FFC"/>
    <w:rsid w:val="007B7193"/>
    <w:rsid w:val="007B7F6D"/>
    <w:rsid w:val="007C0570"/>
    <w:rsid w:val="007C1371"/>
    <w:rsid w:val="007C1842"/>
    <w:rsid w:val="007C20CE"/>
    <w:rsid w:val="007C3020"/>
    <w:rsid w:val="007C4352"/>
    <w:rsid w:val="007C43AB"/>
    <w:rsid w:val="007C48E5"/>
    <w:rsid w:val="007C5885"/>
    <w:rsid w:val="007C5F76"/>
    <w:rsid w:val="007C798C"/>
    <w:rsid w:val="007C7BB1"/>
    <w:rsid w:val="007C7F0F"/>
    <w:rsid w:val="007D4181"/>
    <w:rsid w:val="007D4E89"/>
    <w:rsid w:val="007D4EF5"/>
    <w:rsid w:val="007D63DA"/>
    <w:rsid w:val="007D6844"/>
    <w:rsid w:val="007E12C3"/>
    <w:rsid w:val="007E1352"/>
    <w:rsid w:val="007E2C8D"/>
    <w:rsid w:val="007E441C"/>
    <w:rsid w:val="007E49C4"/>
    <w:rsid w:val="007E7FBC"/>
    <w:rsid w:val="007F053F"/>
    <w:rsid w:val="007F077A"/>
    <w:rsid w:val="007F0C02"/>
    <w:rsid w:val="007F0FB0"/>
    <w:rsid w:val="007F1EFC"/>
    <w:rsid w:val="007F2E78"/>
    <w:rsid w:val="007F376B"/>
    <w:rsid w:val="007F6050"/>
    <w:rsid w:val="007F6812"/>
    <w:rsid w:val="00800340"/>
    <w:rsid w:val="00802AD6"/>
    <w:rsid w:val="00803EC2"/>
    <w:rsid w:val="00804795"/>
    <w:rsid w:val="00804BBD"/>
    <w:rsid w:val="00804DD5"/>
    <w:rsid w:val="008052C1"/>
    <w:rsid w:val="00806E73"/>
    <w:rsid w:val="00807086"/>
    <w:rsid w:val="00807CC5"/>
    <w:rsid w:val="008104D0"/>
    <w:rsid w:val="0081247B"/>
    <w:rsid w:val="00812CCB"/>
    <w:rsid w:val="00814D5B"/>
    <w:rsid w:val="00816082"/>
    <w:rsid w:val="0081693B"/>
    <w:rsid w:val="00821EA9"/>
    <w:rsid w:val="008234F4"/>
    <w:rsid w:val="008246DA"/>
    <w:rsid w:val="00824EDE"/>
    <w:rsid w:val="00826326"/>
    <w:rsid w:val="00826C8E"/>
    <w:rsid w:val="00830A38"/>
    <w:rsid w:val="00830BD5"/>
    <w:rsid w:val="00832ABB"/>
    <w:rsid w:val="00833663"/>
    <w:rsid w:val="008338D3"/>
    <w:rsid w:val="00835871"/>
    <w:rsid w:val="00835DE6"/>
    <w:rsid w:val="00837C05"/>
    <w:rsid w:val="0084013E"/>
    <w:rsid w:val="0084143B"/>
    <w:rsid w:val="008417F5"/>
    <w:rsid w:val="00841E13"/>
    <w:rsid w:val="008425BA"/>
    <w:rsid w:val="008428A7"/>
    <w:rsid w:val="008438EE"/>
    <w:rsid w:val="0084630C"/>
    <w:rsid w:val="008500E7"/>
    <w:rsid w:val="0085010F"/>
    <w:rsid w:val="0085083A"/>
    <w:rsid w:val="00850B9A"/>
    <w:rsid w:val="00851840"/>
    <w:rsid w:val="00851F46"/>
    <w:rsid w:val="0086099C"/>
    <w:rsid w:val="00861F5E"/>
    <w:rsid w:val="0086312C"/>
    <w:rsid w:val="00864DFE"/>
    <w:rsid w:val="0086764C"/>
    <w:rsid w:val="0087178E"/>
    <w:rsid w:val="008725AB"/>
    <w:rsid w:val="0087422F"/>
    <w:rsid w:val="00874CDB"/>
    <w:rsid w:val="0087574C"/>
    <w:rsid w:val="00877FA9"/>
    <w:rsid w:val="0088015D"/>
    <w:rsid w:val="00880713"/>
    <w:rsid w:val="00881B1A"/>
    <w:rsid w:val="00882D29"/>
    <w:rsid w:val="00884038"/>
    <w:rsid w:val="00884695"/>
    <w:rsid w:val="00884B32"/>
    <w:rsid w:val="00885FAD"/>
    <w:rsid w:val="00887C0E"/>
    <w:rsid w:val="008908F3"/>
    <w:rsid w:val="00894802"/>
    <w:rsid w:val="00895875"/>
    <w:rsid w:val="00896D8B"/>
    <w:rsid w:val="008972D6"/>
    <w:rsid w:val="0089744B"/>
    <w:rsid w:val="008A0BAC"/>
    <w:rsid w:val="008A1876"/>
    <w:rsid w:val="008A1EA4"/>
    <w:rsid w:val="008A28C6"/>
    <w:rsid w:val="008A3653"/>
    <w:rsid w:val="008A3AE9"/>
    <w:rsid w:val="008A42C7"/>
    <w:rsid w:val="008A58C7"/>
    <w:rsid w:val="008A6AB0"/>
    <w:rsid w:val="008A6FD6"/>
    <w:rsid w:val="008A739E"/>
    <w:rsid w:val="008B14BB"/>
    <w:rsid w:val="008B5C44"/>
    <w:rsid w:val="008B739D"/>
    <w:rsid w:val="008C188C"/>
    <w:rsid w:val="008C35D0"/>
    <w:rsid w:val="008C36A6"/>
    <w:rsid w:val="008C58E1"/>
    <w:rsid w:val="008C7775"/>
    <w:rsid w:val="008D06C5"/>
    <w:rsid w:val="008D083A"/>
    <w:rsid w:val="008D1202"/>
    <w:rsid w:val="008D1A12"/>
    <w:rsid w:val="008D2592"/>
    <w:rsid w:val="008D4170"/>
    <w:rsid w:val="008D4B41"/>
    <w:rsid w:val="008D5799"/>
    <w:rsid w:val="008D648E"/>
    <w:rsid w:val="008D7177"/>
    <w:rsid w:val="008E0808"/>
    <w:rsid w:val="008E3214"/>
    <w:rsid w:val="008E4432"/>
    <w:rsid w:val="008E5342"/>
    <w:rsid w:val="008E6E96"/>
    <w:rsid w:val="008E7B40"/>
    <w:rsid w:val="008F1589"/>
    <w:rsid w:val="008F15A9"/>
    <w:rsid w:val="008F18C6"/>
    <w:rsid w:val="008F1C18"/>
    <w:rsid w:val="008F2804"/>
    <w:rsid w:val="008F425E"/>
    <w:rsid w:val="008F5422"/>
    <w:rsid w:val="008F6237"/>
    <w:rsid w:val="008F6CE9"/>
    <w:rsid w:val="008F7958"/>
    <w:rsid w:val="009002EE"/>
    <w:rsid w:val="00901D0F"/>
    <w:rsid w:val="009022F7"/>
    <w:rsid w:val="009042C5"/>
    <w:rsid w:val="00906C34"/>
    <w:rsid w:val="009074C2"/>
    <w:rsid w:val="009117EE"/>
    <w:rsid w:val="00913542"/>
    <w:rsid w:val="009137A5"/>
    <w:rsid w:val="009147E3"/>
    <w:rsid w:val="009156F8"/>
    <w:rsid w:val="00915804"/>
    <w:rsid w:val="00915A50"/>
    <w:rsid w:val="00916DF0"/>
    <w:rsid w:val="0091710A"/>
    <w:rsid w:val="00921670"/>
    <w:rsid w:val="00921D85"/>
    <w:rsid w:val="00921E1B"/>
    <w:rsid w:val="00924E42"/>
    <w:rsid w:val="0092538B"/>
    <w:rsid w:val="00926545"/>
    <w:rsid w:val="009314C8"/>
    <w:rsid w:val="00931789"/>
    <w:rsid w:val="009354E6"/>
    <w:rsid w:val="00937D94"/>
    <w:rsid w:val="00941196"/>
    <w:rsid w:val="00941F76"/>
    <w:rsid w:val="00943257"/>
    <w:rsid w:val="00944681"/>
    <w:rsid w:val="0094489B"/>
    <w:rsid w:val="00947C14"/>
    <w:rsid w:val="00947C90"/>
    <w:rsid w:val="009501B2"/>
    <w:rsid w:val="0095196A"/>
    <w:rsid w:val="00952234"/>
    <w:rsid w:val="009524A1"/>
    <w:rsid w:val="00952575"/>
    <w:rsid w:val="0095346D"/>
    <w:rsid w:val="00955C60"/>
    <w:rsid w:val="00956180"/>
    <w:rsid w:val="00957B81"/>
    <w:rsid w:val="009611FD"/>
    <w:rsid w:val="009619C5"/>
    <w:rsid w:val="009634A4"/>
    <w:rsid w:val="00963ACF"/>
    <w:rsid w:val="00965544"/>
    <w:rsid w:val="00967411"/>
    <w:rsid w:val="00972003"/>
    <w:rsid w:val="009752FD"/>
    <w:rsid w:val="00975FAD"/>
    <w:rsid w:val="0097674D"/>
    <w:rsid w:val="00976FDD"/>
    <w:rsid w:val="0098065C"/>
    <w:rsid w:val="00981084"/>
    <w:rsid w:val="009836D5"/>
    <w:rsid w:val="009842DE"/>
    <w:rsid w:val="00984587"/>
    <w:rsid w:val="00985476"/>
    <w:rsid w:val="0098588B"/>
    <w:rsid w:val="00986938"/>
    <w:rsid w:val="00991941"/>
    <w:rsid w:val="00991B96"/>
    <w:rsid w:val="00994312"/>
    <w:rsid w:val="00994855"/>
    <w:rsid w:val="009953AD"/>
    <w:rsid w:val="00996562"/>
    <w:rsid w:val="00996952"/>
    <w:rsid w:val="00997097"/>
    <w:rsid w:val="00997913"/>
    <w:rsid w:val="009A0E46"/>
    <w:rsid w:val="009A0F03"/>
    <w:rsid w:val="009A1B4C"/>
    <w:rsid w:val="009A2FFA"/>
    <w:rsid w:val="009A3771"/>
    <w:rsid w:val="009A40E9"/>
    <w:rsid w:val="009B2057"/>
    <w:rsid w:val="009B22BC"/>
    <w:rsid w:val="009B24A6"/>
    <w:rsid w:val="009B2566"/>
    <w:rsid w:val="009B3393"/>
    <w:rsid w:val="009B39B3"/>
    <w:rsid w:val="009B4FE8"/>
    <w:rsid w:val="009B60EF"/>
    <w:rsid w:val="009B7AF6"/>
    <w:rsid w:val="009B7C61"/>
    <w:rsid w:val="009C10A9"/>
    <w:rsid w:val="009C1B71"/>
    <w:rsid w:val="009C4430"/>
    <w:rsid w:val="009C46E0"/>
    <w:rsid w:val="009C49FC"/>
    <w:rsid w:val="009C4B68"/>
    <w:rsid w:val="009C4B6F"/>
    <w:rsid w:val="009C5C0E"/>
    <w:rsid w:val="009C6679"/>
    <w:rsid w:val="009C715D"/>
    <w:rsid w:val="009C75C6"/>
    <w:rsid w:val="009C7903"/>
    <w:rsid w:val="009D0F7D"/>
    <w:rsid w:val="009D195F"/>
    <w:rsid w:val="009D623E"/>
    <w:rsid w:val="009D683D"/>
    <w:rsid w:val="009E01C9"/>
    <w:rsid w:val="009E091E"/>
    <w:rsid w:val="009E3011"/>
    <w:rsid w:val="009E4D3E"/>
    <w:rsid w:val="009E6FC7"/>
    <w:rsid w:val="009E7928"/>
    <w:rsid w:val="009F1CFA"/>
    <w:rsid w:val="009F25F8"/>
    <w:rsid w:val="009F2B1C"/>
    <w:rsid w:val="009F3A84"/>
    <w:rsid w:val="009F41DC"/>
    <w:rsid w:val="009F4AAB"/>
    <w:rsid w:val="009F670A"/>
    <w:rsid w:val="00A005C2"/>
    <w:rsid w:val="00A00E68"/>
    <w:rsid w:val="00A024A4"/>
    <w:rsid w:val="00A027FA"/>
    <w:rsid w:val="00A0302E"/>
    <w:rsid w:val="00A03A4E"/>
    <w:rsid w:val="00A05ED5"/>
    <w:rsid w:val="00A06DEE"/>
    <w:rsid w:val="00A06FBA"/>
    <w:rsid w:val="00A1057D"/>
    <w:rsid w:val="00A10912"/>
    <w:rsid w:val="00A128B9"/>
    <w:rsid w:val="00A13D6E"/>
    <w:rsid w:val="00A14099"/>
    <w:rsid w:val="00A14153"/>
    <w:rsid w:val="00A14992"/>
    <w:rsid w:val="00A152A7"/>
    <w:rsid w:val="00A157D7"/>
    <w:rsid w:val="00A158FC"/>
    <w:rsid w:val="00A15E0A"/>
    <w:rsid w:val="00A16ED6"/>
    <w:rsid w:val="00A2048E"/>
    <w:rsid w:val="00A220D5"/>
    <w:rsid w:val="00A2310A"/>
    <w:rsid w:val="00A24F40"/>
    <w:rsid w:val="00A26EEE"/>
    <w:rsid w:val="00A27238"/>
    <w:rsid w:val="00A27598"/>
    <w:rsid w:val="00A327A4"/>
    <w:rsid w:val="00A33A1E"/>
    <w:rsid w:val="00A3562E"/>
    <w:rsid w:val="00A40AFC"/>
    <w:rsid w:val="00A4172D"/>
    <w:rsid w:val="00A4205E"/>
    <w:rsid w:val="00A43C30"/>
    <w:rsid w:val="00A43CB9"/>
    <w:rsid w:val="00A43DCC"/>
    <w:rsid w:val="00A44C41"/>
    <w:rsid w:val="00A44F53"/>
    <w:rsid w:val="00A45257"/>
    <w:rsid w:val="00A46FCD"/>
    <w:rsid w:val="00A47230"/>
    <w:rsid w:val="00A47E74"/>
    <w:rsid w:val="00A5190A"/>
    <w:rsid w:val="00A53334"/>
    <w:rsid w:val="00A54ECB"/>
    <w:rsid w:val="00A561B8"/>
    <w:rsid w:val="00A563B5"/>
    <w:rsid w:val="00A5671E"/>
    <w:rsid w:val="00A60D19"/>
    <w:rsid w:val="00A6102A"/>
    <w:rsid w:val="00A6268A"/>
    <w:rsid w:val="00A63833"/>
    <w:rsid w:val="00A63AA9"/>
    <w:rsid w:val="00A64E24"/>
    <w:rsid w:val="00A67D4F"/>
    <w:rsid w:val="00A71BDF"/>
    <w:rsid w:val="00A7233A"/>
    <w:rsid w:val="00A7380A"/>
    <w:rsid w:val="00A74221"/>
    <w:rsid w:val="00A762F6"/>
    <w:rsid w:val="00A825AD"/>
    <w:rsid w:val="00A83576"/>
    <w:rsid w:val="00A839E9"/>
    <w:rsid w:val="00A85F84"/>
    <w:rsid w:val="00A91825"/>
    <w:rsid w:val="00A9248E"/>
    <w:rsid w:val="00A9558D"/>
    <w:rsid w:val="00A95DB5"/>
    <w:rsid w:val="00A96533"/>
    <w:rsid w:val="00A976CC"/>
    <w:rsid w:val="00AA25CF"/>
    <w:rsid w:val="00AA2EC6"/>
    <w:rsid w:val="00AA333B"/>
    <w:rsid w:val="00AA348E"/>
    <w:rsid w:val="00AA3A8D"/>
    <w:rsid w:val="00AA44A8"/>
    <w:rsid w:val="00AA6533"/>
    <w:rsid w:val="00AA6F35"/>
    <w:rsid w:val="00AA7350"/>
    <w:rsid w:val="00AB2615"/>
    <w:rsid w:val="00AB2E89"/>
    <w:rsid w:val="00AB2F14"/>
    <w:rsid w:val="00AB3331"/>
    <w:rsid w:val="00AB5043"/>
    <w:rsid w:val="00AB6A98"/>
    <w:rsid w:val="00AB6BDB"/>
    <w:rsid w:val="00AC11DC"/>
    <w:rsid w:val="00AC2942"/>
    <w:rsid w:val="00AC44E4"/>
    <w:rsid w:val="00AC5302"/>
    <w:rsid w:val="00AC5552"/>
    <w:rsid w:val="00AC5A3E"/>
    <w:rsid w:val="00AC7F57"/>
    <w:rsid w:val="00AD2984"/>
    <w:rsid w:val="00AD2E63"/>
    <w:rsid w:val="00AD4861"/>
    <w:rsid w:val="00AD7400"/>
    <w:rsid w:val="00AD7760"/>
    <w:rsid w:val="00AD78BB"/>
    <w:rsid w:val="00AE004D"/>
    <w:rsid w:val="00AE0E48"/>
    <w:rsid w:val="00AE314B"/>
    <w:rsid w:val="00AE5622"/>
    <w:rsid w:val="00AE6BE4"/>
    <w:rsid w:val="00AF1D09"/>
    <w:rsid w:val="00AF258A"/>
    <w:rsid w:val="00AF3F34"/>
    <w:rsid w:val="00AF4718"/>
    <w:rsid w:val="00AF5B87"/>
    <w:rsid w:val="00AF68D7"/>
    <w:rsid w:val="00AF6B28"/>
    <w:rsid w:val="00AF6EA7"/>
    <w:rsid w:val="00AF7106"/>
    <w:rsid w:val="00AF76F0"/>
    <w:rsid w:val="00B00AD1"/>
    <w:rsid w:val="00B00F96"/>
    <w:rsid w:val="00B0330E"/>
    <w:rsid w:val="00B062F6"/>
    <w:rsid w:val="00B06C32"/>
    <w:rsid w:val="00B06D8D"/>
    <w:rsid w:val="00B1097F"/>
    <w:rsid w:val="00B11374"/>
    <w:rsid w:val="00B11710"/>
    <w:rsid w:val="00B146ED"/>
    <w:rsid w:val="00B14C8E"/>
    <w:rsid w:val="00B14DE1"/>
    <w:rsid w:val="00B161C5"/>
    <w:rsid w:val="00B16A65"/>
    <w:rsid w:val="00B16C18"/>
    <w:rsid w:val="00B17904"/>
    <w:rsid w:val="00B226CF"/>
    <w:rsid w:val="00B236AF"/>
    <w:rsid w:val="00B237BC"/>
    <w:rsid w:val="00B27684"/>
    <w:rsid w:val="00B27A37"/>
    <w:rsid w:val="00B30576"/>
    <w:rsid w:val="00B33C86"/>
    <w:rsid w:val="00B40264"/>
    <w:rsid w:val="00B4125F"/>
    <w:rsid w:val="00B43152"/>
    <w:rsid w:val="00B43B6E"/>
    <w:rsid w:val="00B444DE"/>
    <w:rsid w:val="00B4537F"/>
    <w:rsid w:val="00B453D2"/>
    <w:rsid w:val="00B4650F"/>
    <w:rsid w:val="00B47762"/>
    <w:rsid w:val="00B479CE"/>
    <w:rsid w:val="00B53874"/>
    <w:rsid w:val="00B538C4"/>
    <w:rsid w:val="00B53CC3"/>
    <w:rsid w:val="00B541E3"/>
    <w:rsid w:val="00B57326"/>
    <w:rsid w:val="00B617BB"/>
    <w:rsid w:val="00B6261B"/>
    <w:rsid w:val="00B62DDF"/>
    <w:rsid w:val="00B63BD5"/>
    <w:rsid w:val="00B654A4"/>
    <w:rsid w:val="00B66796"/>
    <w:rsid w:val="00B6732A"/>
    <w:rsid w:val="00B7321E"/>
    <w:rsid w:val="00B73BBC"/>
    <w:rsid w:val="00B75FC0"/>
    <w:rsid w:val="00B7709A"/>
    <w:rsid w:val="00B80D20"/>
    <w:rsid w:val="00B81C4E"/>
    <w:rsid w:val="00B82855"/>
    <w:rsid w:val="00B85D7D"/>
    <w:rsid w:val="00B85EF3"/>
    <w:rsid w:val="00B903ED"/>
    <w:rsid w:val="00B923E9"/>
    <w:rsid w:val="00B924C7"/>
    <w:rsid w:val="00B926DA"/>
    <w:rsid w:val="00B928CF"/>
    <w:rsid w:val="00B9599F"/>
    <w:rsid w:val="00B966FF"/>
    <w:rsid w:val="00B967E1"/>
    <w:rsid w:val="00B96932"/>
    <w:rsid w:val="00BA06EF"/>
    <w:rsid w:val="00BA0A83"/>
    <w:rsid w:val="00BA117C"/>
    <w:rsid w:val="00BA28D4"/>
    <w:rsid w:val="00BA316B"/>
    <w:rsid w:val="00BA48E8"/>
    <w:rsid w:val="00BA667A"/>
    <w:rsid w:val="00BB14C9"/>
    <w:rsid w:val="00BB3233"/>
    <w:rsid w:val="00BB3257"/>
    <w:rsid w:val="00BB3575"/>
    <w:rsid w:val="00BB3676"/>
    <w:rsid w:val="00BB40E4"/>
    <w:rsid w:val="00BB4630"/>
    <w:rsid w:val="00BB5087"/>
    <w:rsid w:val="00BB562F"/>
    <w:rsid w:val="00BB5800"/>
    <w:rsid w:val="00BC0174"/>
    <w:rsid w:val="00BC704B"/>
    <w:rsid w:val="00BD0CB7"/>
    <w:rsid w:val="00BD24E0"/>
    <w:rsid w:val="00BD37ED"/>
    <w:rsid w:val="00BD4102"/>
    <w:rsid w:val="00BD67AF"/>
    <w:rsid w:val="00BD7228"/>
    <w:rsid w:val="00BD7CD4"/>
    <w:rsid w:val="00BD7F78"/>
    <w:rsid w:val="00BE058C"/>
    <w:rsid w:val="00BE156E"/>
    <w:rsid w:val="00BE2356"/>
    <w:rsid w:val="00BE279F"/>
    <w:rsid w:val="00BE34A5"/>
    <w:rsid w:val="00BE7526"/>
    <w:rsid w:val="00BF03D9"/>
    <w:rsid w:val="00BF046B"/>
    <w:rsid w:val="00BF2C19"/>
    <w:rsid w:val="00BF37E6"/>
    <w:rsid w:val="00BF4417"/>
    <w:rsid w:val="00C00B22"/>
    <w:rsid w:val="00C01FEB"/>
    <w:rsid w:val="00C02547"/>
    <w:rsid w:val="00C03006"/>
    <w:rsid w:val="00C0548D"/>
    <w:rsid w:val="00C0556D"/>
    <w:rsid w:val="00C121FF"/>
    <w:rsid w:val="00C12590"/>
    <w:rsid w:val="00C1261A"/>
    <w:rsid w:val="00C21EF0"/>
    <w:rsid w:val="00C22934"/>
    <w:rsid w:val="00C2510B"/>
    <w:rsid w:val="00C25A24"/>
    <w:rsid w:val="00C2601C"/>
    <w:rsid w:val="00C3037F"/>
    <w:rsid w:val="00C30A73"/>
    <w:rsid w:val="00C30D16"/>
    <w:rsid w:val="00C31301"/>
    <w:rsid w:val="00C31369"/>
    <w:rsid w:val="00C314B2"/>
    <w:rsid w:val="00C34207"/>
    <w:rsid w:val="00C3432F"/>
    <w:rsid w:val="00C4193E"/>
    <w:rsid w:val="00C44047"/>
    <w:rsid w:val="00C44B4A"/>
    <w:rsid w:val="00C44DA0"/>
    <w:rsid w:val="00C476A1"/>
    <w:rsid w:val="00C50D20"/>
    <w:rsid w:val="00C51E46"/>
    <w:rsid w:val="00C522F1"/>
    <w:rsid w:val="00C5279C"/>
    <w:rsid w:val="00C52F69"/>
    <w:rsid w:val="00C539E7"/>
    <w:rsid w:val="00C5444E"/>
    <w:rsid w:val="00C55502"/>
    <w:rsid w:val="00C55AEF"/>
    <w:rsid w:val="00C562B6"/>
    <w:rsid w:val="00C5671C"/>
    <w:rsid w:val="00C602AC"/>
    <w:rsid w:val="00C6195B"/>
    <w:rsid w:val="00C6236E"/>
    <w:rsid w:val="00C632D0"/>
    <w:rsid w:val="00C63842"/>
    <w:rsid w:val="00C641AD"/>
    <w:rsid w:val="00C6512F"/>
    <w:rsid w:val="00C65EC8"/>
    <w:rsid w:val="00C674A9"/>
    <w:rsid w:val="00C71CF8"/>
    <w:rsid w:val="00C72DCD"/>
    <w:rsid w:val="00C742CB"/>
    <w:rsid w:val="00C74D8F"/>
    <w:rsid w:val="00C7515A"/>
    <w:rsid w:val="00C7581D"/>
    <w:rsid w:val="00C76458"/>
    <w:rsid w:val="00C76BD0"/>
    <w:rsid w:val="00C771D7"/>
    <w:rsid w:val="00C80A8D"/>
    <w:rsid w:val="00C81502"/>
    <w:rsid w:val="00C82267"/>
    <w:rsid w:val="00C83433"/>
    <w:rsid w:val="00C8568A"/>
    <w:rsid w:val="00C90258"/>
    <w:rsid w:val="00C90407"/>
    <w:rsid w:val="00C919B9"/>
    <w:rsid w:val="00C92575"/>
    <w:rsid w:val="00C932FE"/>
    <w:rsid w:val="00C9738C"/>
    <w:rsid w:val="00CA0139"/>
    <w:rsid w:val="00CA0F8F"/>
    <w:rsid w:val="00CA2714"/>
    <w:rsid w:val="00CA3B4A"/>
    <w:rsid w:val="00CA5E08"/>
    <w:rsid w:val="00CA6586"/>
    <w:rsid w:val="00CB088D"/>
    <w:rsid w:val="00CB1CF2"/>
    <w:rsid w:val="00CB42B8"/>
    <w:rsid w:val="00CB7F7B"/>
    <w:rsid w:val="00CC2D76"/>
    <w:rsid w:val="00CC3498"/>
    <w:rsid w:val="00CC4E0D"/>
    <w:rsid w:val="00CC518F"/>
    <w:rsid w:val="00CC538D"/>
    <w:rsid w:val="00CC5499"/>
    <w:rsid w:val="00CD0FC0"/>
    <w:rsid w:val="00CD1EAB"/>
    <w:rsid w:val="00CD5EAC"/>
    <w:rsid w:val="00CD725B"/>
    <w:rsid w:val="00CE17AE"/>
    <w:rsid w:val="00CE1837"/>
    <w:rsid w:val="00CE219C"/>
    <w:rsid w:val="00CE2960"/>
    <w:rsid w:val="00CE3056"/>
    <w:rsid w:val="00CE38D7"/>
    <w:rsid w:val="00CE4274"/>
    <w:rsid w:val="00CE4840"/>
    <w:rsid w:val="00CE4A03"/>
    <w:rsid w:val="00CE526B"/>
    <w:rsid w:val="00CE6E39"/>
    <w:rsid w:val="00CE7845"/>
    <w:rsid w:val="00CE7AB8"/>
    <w:rsid w:val="00CF2AB3"/>
    <w:rsid w:val="00CF36CD"/>
    <w:rsid w:val="00CF4665"/>
    <w:rsid w:val="00CF4998"/>
    <w:rsid w:val="00D01643"/>
    <w:rsid w:val="00D065CB"/>
    <w:rsid w:val="00D0705D"/>
    <w:rsid w:val="00D0711E"/>
    <w:rsid w:val="00D10A83"/>
    <w:rsid w:val="00D110E5"/>
    <w:rsid w:val="00D12178"/>
    <w:rsid w:val="00D12D2B"/>
    <w:rsid w:val="00D1389D"/>
    <w:rsid w:val="00D151E5"/>
    <w:rsid w:val="00D17336"/>
    <w:rsid w:val="00D17D93"/>
    <w:rsid w:val="00D2044E"/>
    <w:rsid w:val="00D21118"/>
    <w:rsid w:val="00D214E6"/>
    <w:rsid w:val="00D22F62"/>
    <w:rsid w:val="00D26CDD"/>
    <w:rsid w:val="00D27BEC"/>
    <w:rsid w:val="00D30703"/>
    <w:rsid w:val="00D316A4"/>
    <w:rsid w:val="00D31A77"/>
    <w:rsid w:val="00D323A8"/>
    <w:rsid w:val="00D323EB"/>
    <w:rsid w:val="00D3291A"/>
    <w:rsid w:val="00D3609F"/>
    <w:rsid w:val="00D367E9"/>
    <w:rsid w:val="00D4037D"/>
    <w:rsid w:val="00D42CB7"/>
    <w:rsid w:val="00D42D40"/>
    <w:rsid w:val="00D43317"/>
    <w:rsid w:val="00D45F2E"/>
    <w:rsid w:val="00D50866"/>
    <w:rsid w:val="00D5182E"/>
    <w:rsid w:val="00D51BF4"/>
    <w:rsid w:val="00D5318B"/>
    <w:rsid w:val="00D540F4"/>
    <w:rsid w:val="00D556C2"/>
    <w:rsid w:val="00D55F2A"/>
    <w:rsid w:val="00D565B8"/>
    <w:rsid w:val="00D57944"/>
    <w:rsid w:val="00D613D2"/>
    <w:rsid w:val="00D623ED"/>
    <w:rsid w:val="00D636E9"/>
    <w:rsid w:val="00D664B7"/>
    <w:rsid w:val="00D70BE7"/>
    <w:rsid w:val="00D71221"/>
    <w:rsid w:val="00D72F6E"/>
    <w:rsid w:val="00D7571D"/>
    <w:rsid w:val="00D80745"/>
    <w:rsid w:val="00D8093D"/>
    <w:rsid w:val="00D80F7E"/>
    <w:rsid w:val="00D8154B"/>
    <w:rsid w:val="00D83C61"/>
    <w:rsid w:val="00D84963"/>
    <w:rsid w:val="00D859D1"/>
    <w:rsid w:val="00D928DF"/>
    <w:rsid w:val="00D93217"/>
    <w:rsid w:val="00D954B0"/>
    <w:rsid w:val="00D97A14"/>
    <w:rsid w:val="00DA1A44"/>
    <w:rsid w:val="00DA21D3"/>
    <w:rsid w:val="00DA2D6D"/>
    <w:rsid w:val="00DA39FF"/>
    <w:rsid w:val="00DA46B2"/>
    <w:rsid w:val="00DA5BF6"/>
    <w:rsid w:val="00DA671D"/>
    <w:rsid w:val="00DA76B6"/>
    <w:rsid w:val="00DA7913"/>
    <w:rsid w:val="00DB00EB"/>
    <w:rsid w:val="00DB04C8"/>
    <w:rsid w:val="00DB0C3C"/>
    <w:rsid w:val="00DB0E27"/>
    <w:rsid w:val="00DB1F19"/>
    <w:rsid w:val="00DB201B"/>
    <w:rsid w:val="00DB29EB"/>
    <w:rsid w:val="00DB4DD5"/>
    <w:rsid w:val="00DB6DE3"/>
    <w:rsid w:val="00DB6E32"/>
    <w:rsid w:val="00DC075B"/>
    <w:rsid w:val="00DC5A82"/>
    <w:rsid w:val="00DC6773"/>
    <w:rsid w:val="00DC75F0"/>
    <w:rsid w:val="00DD028B"/>
    <w:rsid w:val="00DD08D5"/>
    <w:rsid w:val="00DD0979"/>
    <w:rsid w:val="00DD256D"/>
    <w:rsid w:val="00DD42CD"/>
    <w:rsid w:val="00DD4A7C"/>
    <w:rsid w:val="00DD6342"/>
    <w:rsid w:val="00DD6621"/>
    <w:rsid w:val="00DD67A9"/>
    <w:rsid w:val="00DE0150"/>
    <w:rsid w:val="00DE2479"/>
    <w:rsid w:val="00DE3017"/>
    <w:rsid w:val="00DE4162"/>
    <w:rsid w:val="00DE562E"/>
    <w:rsid w:val="00DF0257"/>
    <w:rsid w:val="00DF0EC5"/>
    <w:rsid w:val="00DF108E"/>
    <w:rsid w:val="00DF21A2"/>
    <w:rsid w:val="00DF2860"/>
    <w:rsid w:val="00DF445C"/>
    <w:rsid w:val="00DF5891"/>
    <w:rsid w:val="00E03915"/>
    <w:rsid w:val="00E04289"/>
    <w:rsid w:val="00E0642F"/>
    <w:rsid w:val="00E07471"/>
    <w:rsid w:val="00E11D34"/>
    <w:rsid w:val="00E12300"/>
    <w:rsid w:val="00E13112"/>
    <w:rsid w:val="00E13A1B"/>
    <w:rsid w:val="00E13FAB"/>
    <w:rsid w:val="00E15FF7"/>
    <w:rsid w:val="00E17F49"/>
    <w:rsid w:val="00E20FED"/>
    <w:rsid w:val="00E22ADE"/>
    <w:rsid w:val="00E232B2"/>
    <w:rsid w:val="00E26E47"/>
    <w:rsid w:val="00E30A0D"/>
    <w:rsid w:val="00E30C6A"/>
    <w:rsid w:val="00E30FF8"/>
    <w:rsid w:val="00E32DD5"/>
    <w:rsid w:val="00E338BA"/>
    <w:rsid w:val="00E33B74"/>
    <w:rsid w:val="00E3487A"/>
    <w:rsid w:val="00E36DCB"/>
    <w:rsid w:val="00E42B26"/>
    <w:rsid w:val="00E42D31"/>
    <w:rsid w:val="00E437B4"/>
    <w:rsid w:val="00E43A64"/>
    <w:rsid w:val="00E474FE"/>
    <w:rsid w:val="00E47E73"/>
    <w:rsid w:val="00E505F1"/>
    <w:rsid w:val="00E51B27"/>
    <w:rsid w:val="00E5397D"/>
    <w:rsid w:val="00E53D9C"/>
    <w:rsid w:val="00E5429F"/>
    <w:rsid w:val="00E54562"/>
    <w:rsid w:val="00E55D88"/>
    <w:rsid w:val="00E55F4C"/>
    <w:rsid w:val="00E569ED"/>
    <w:rsid w:val="00E56D63"/>
    <w:rsid w:val="00E57787"/>
    <w:rsid w:val="00E62D56"/>
    <w:rsid w:val="00E634B0"/>
    <w:rsid w:val="00E6519E"/>
    <w:rsid w:val="00E70E0E"/>
    <w:rsid w:val="00E72C9C"/>
    <w:rsid w:val="00E72F68"/>
    <w:rsid w:val="00E75A11"/>
    <w:rsid w:val="00E76DC7"/>
    <w:rsid w:val="00E76F64"/>
    <w:rsid w:val="00E7753E"/>
    <w:rsid w:val="00E80A14"/>
    <w:rsid w:val="00E815AE"/>
    <w:rsid w:val="00E820A6"/>
    <w:rsid w:val="00E83500"/>
    <w:rsid w:val="00E867B8"/>
    <w:rsid w:val="00E86D75"/>
    <w:rsid w:val="00E87DBA"/>
    <w:rsid w:val="00E91ADD"/>
    <w:rsid w:val="00E93E81"/>
    <w:rsid w:val="00E95FAF"/>
    <w:rsid w:val="00EA6034"/>
    <w:rsid w:val="00EA6439"/>
    <w:rsid w:val="00EA7FB3"/>
    <w:rsid w:val="00EB3535"/>
    <w:rsid w:val="00EB400B"/>
    <w:rsid w:val="00EB5D57"/>
    <w:rsid w:val="00EC05DC"/>
    <w:rsid w:val="00EC0F4A"/>
    <w:rsid w:val="00EC362E"/>
    <w:rsid w:val="00EC4DD0"/>
    <w:rsid w:val="00ED42D9"/>
    <w:rsid w:val="00ED4C7F"/>
    <w:rsid w:val="00ED4D25"/>
    <w:rsid w:val="00ED4E55"/>
    <w:rsid w:val="00ED7622"/>
    <w:rsid w:val="00EE0302"/>
    <w:rsid w:val="00EE070F"/>
    <w:rsid w:val="00EE300F"/>
    <w:rsid w:val="00EE30F1"/>
    <w:rsid w:val="00EE33AD"/>
    <w:rsid w:val="00EE35A1"/>
    <w:rsid w:val="00EE5B59"/>
    <w:rsid w:val="00EF0F39"/>
    <w:rsid w:val="00EF1CC8"/>
    <w:rsid w:val="00EF3991"/>
    <w:rsid w:val="00EF4898"/>
    <w:rsid w:val="00EF6EFE"/>
    <w:rsid w:val="00EF7ADE"/>
    <w:rsid w:val="00F01FC5"/>
    <w:rsid w:val="00F0576C"/>
    <w:rsid w:val="00F0692E"/>
    <w:rsid w:val="00F07609"/>
    <w:rsid w:val="00F1033B"/>
    <w:rsid w:val="00F12C39"/>
    <w:rsid w:val="00F15905"/>
    <w:rsid w:val="00F16E6F"/>
    <w:rsid w:val="00F177F9"/>
    <w:rsid w:val="00F20BC9"/>
    <w:rsid w:val="00F22B42"/>
    <w:rsid w:val="00F230D7"/>
    <w:rsid w:val="00F23449"/>
    <w:rsid w:val="00F25C65"/>
    <w:rsid w:val="00F2640E"/>
    <w:rsid w:val="00F26663"/>
    <w:rsid w:val="00F279D9"/>
    <w:rsid w:val="00F32241"/>
    <w:rsid w:val="00F33332"/>
    <w:rsid w:val="00F354D4"/>
    <w:rsid w:val="00F368A4"/>
    <w:rsid w:val="00F36C5A"/>
    <w:rsid w:val="00F40090"/>
    <w:rsid w:val="00F41E67"/>
    <w:rsid w:val="00F42740"/>
    <w:rsid w:val="00F42E1C"/>
    <w:rsid w:val="00F42FB2"/>
    <w:rsid w:val="00F4473B"/>
    <w:rsid w:val="00F454DC"/>
    <w:rsid w:val="00F45600"/>
    <w:rsid w:val="00F461FB"/>
    <w:rsid w:val="00F470B6"/>
    <w:rsid w:val="00F50A04"/>
    <w:rsid w:val="00F5186E"/>
    <w:rsid w:val="00F51BDA"/>
    <w:rsid w:val="00F52460"/>
    <w:rsid w:val="00F53091"/>
    <w:rsid w:val="00F5314F"/>
    <w:rsid w:val="00F543A5"/>
    <w:rsid w:val="00F56C0C"/>
    <w:rsid w:val="00F57C44"/>
    <w:rsid w:val="00F61A22"/>
    <w:rsid w:val="00F62B10"/>
    <w:rsid w:val="00F642D9"/>
    <w:rsid w:val="00F64DF5"/>
    <w:rsid w:val="00F66E57"/>
    <w:rsid w:val="00F67670"/>
    <w:rsid w:val="00F7050B"/>
    <w:rsid w:val="00F72265"/>
    <w:rsid w:val="00F72C1C"/>
    <w:rsid w:val="00F746ED"/>
    <w:rsid w:val="00F74D02"/>
    <w:rsid w:val="00F817F8"/>
    <w:rsid w:val="00F8241E"/>
    <w:rsid w:val="00F8323A"/>
    <w:rsid w:val="00F92CB0"/>
    <w:rsid w:val="00F94B2A"/>
    <w:rsid w:val="00F951AC"/>
    <w:rsid w:val="00F9698E"/>
    <w:rsid w:val="00FA215F"/>
    <w:rsid w:val="00FA68BD"/>
    <w:rsid w:val="00FA7476"/>
    <w:rsid w:val="00FA76E7"/>
    <w:rsid w:val="00FA7EFE"/>
    <w:rsid w:val="00FB06CE"/>
    <w:rsid w:val="00FB0972"/>
    <w:rsid w:val="00FB1598"/>
    <w:rsid w:val="00FB2008"/>
    <w:rsid w:val="00FB2743"/>
    <w:rsid w:val="00FB53B9"/>
    <w:rsid w:val="00FB560C"/>
    <w:rsid w:val="00FB7AF1"/>
    <w:rsid w:val="00FC1C16"/>
    <w:rsid w:val="00FC395A"/>
    <w:rsid w:val="00FC5171"/>
    <w:rsid w:val="00FC5814"/>
    <w:rsid w:val="00FD0979"/>
    <w:rsid w:val="00FD1872"/>
    <w:rsid w:val="00FD1966"/>
    <w:rsid w:val="00FD25A7"/>
    <w:rsid w:val="00FD2E5F"/>
    <w:rsid w:val="00FD5509"/>
    <w:rsid w:val="00FD5A67"/>
    <w:rsid w:val="00FE0590"/>
    <w:rsid w:val="00FE0DBA"/>
    <w:rsid w:val="00FE132E"/>
    <w:rsid w:val="00FE14DC"/>
    <w:rsid w:val="00FE1554"/>
    <w:rsid w:val="00FE17CE"/>
    <w:rsid w:val="00FE214E"/>
    <w:rsid w:val="00FE334F"/>
    <w:rsid w:val="00FE3D15"/>
    <w:rsid w:val="00FE596E"/>
    <w:rsid w:val="00FF23CD"/>
    <w:rsid w:val="00FF3829"/>
    <w:rsid w:val="00FF39F8"/>
    <w:rsid w:val="00FF4662"/>
    <w:rsid w:val="00FF4BFE"/>
    <w:rsid w:val="00FF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195C"/>
  <w15:chartTrackingRefBased/>
  <w15:docId w15:val="{595BD4DE-E497-4A0D-BFA1-D9A4B2B7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538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1B4F08"/>
    <w:pPr>
      <w:keepNext/>
      <w:keepLines/>
      <w:spacing w:before="360" w:after="240" w:line="36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B4F08"/>
    <w:pPr>
      <w:keepNext/>
      <w:keepLines/>
      <w:spacing w:before="240" w:line="360" w:lineRule="auto"/>
      <w:outlineLvl w:val="1"/>
    </w:pPr>
    <w:rPr>
      <w:rFonts w:eastAsiaTheme="majorEastAsia" w:cstheme="majorBidi"/>
      <w:b/>
      <w:i/>
      <w:szCs w:val="26"/>
    </w:rPr>
  </w:style>
  <w:style w:type="paragraph" w:styleId="Heading3">
    <w:name w:val="heading 3"/>
    <w:basedOn w:val="Normal"/>
    <w:next w:val="Normal"/>
    <w:link w:val="Heading3Char"/>
    <w:uiPriority w:val="9"/>
    <w:semiHidden/>
    <w:unhideWhenUsed/>
    <w:qFormat/>
    <w:rsid w:val="008E321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48E"/>
    <w:pPr>
      <w:ind w:left="720"/>
      <w:contextualSpacing/>
    </w:pPr>
  </w:style>
  <w:style w:type="paragraph" w:styleId="BalloonText">
    <w:name w:val="Balloon Text"/>
    <w:basedOn w:val="Normal"/>
    <w:link w:val="BalloonTextChar"/>
    <w:uiPriority w:val="99"/>
    <w:semiHidden/>
    <w:unhideWhenUsed/>
    <w:rsid w:val="008A0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BAC"/>
    <w:rPr>
      <w:rFonts w:ascii="Segoe UI" w:hAnsi="Segoe UI" w:cs="Segoe UI"/>
      <w:sz w:val="18"/>
      <w:szCs w:val="18"/>
    </w:rPr>
  </w:style>
  <w:style w:type="character" w:styleId="CommentReference">
    <w:name w:val="annotation reference"/>
    <w:basedOn w:val="DefaultParagraphFont"/>
    <w:uiPriority w:val="99"/>
    <w:semiHidden/>
    <w:unhideWhenUsed/>
    <w:rsid w:val="00394A4D"/>
    <w:rPr>
      <w:sz w:val="16"/>
      <w:szCs w:val="16"/>
    </w:rPr>
  </w:style>
  <w:style w:type="paragraph" w:styleId="CommentText">
    <w:name w:val="annotation text"/>
    <w:basedOn w:val="Normal"/>
    <w:link w:val="CommentTextChar"/>
    <w:uiPriority w:val="99"/>
    <w:unhideWhenUsed/>
    <w:rsid w:val="00394A4D"/>
    <w:rPr>
      <w:sz w:val="20"/>
      <w:szCs w:val="20"/>
    </w:rPr>
  </w:style>
  <w:style w:type="character" w:customStyle="1" w:styleId="CommentTextChar">
    <w:name w:val="Comment Text Char"/>
    <w:basedOn w:val="DefaultParagraphFont"/>
    <w:link w:val="CommentText"/>
    <w:uiPriority w:val="99"/>
    <w:rsid w:val="00394A4D"/>
    <w:rPr>
      <w:sz w:val="20"/>
      <w:szCs w:val="20"/>
    </w:rPr>
  </w:style>
  <w:style w:type="paragraph" w:styleId="CommentSubject">
    <w:name w:val="annotation subject"/>
    <w:basedOn w:val="CommentText"/>
    <w:next w:val="CommentText"/>
    <w:link w:val="CommentSubjectChar"/>
    <w:uiPriority w:val="99"/>
    <w:semiHidden/>
    <w:unhideWhenUsed/>
    <w:rsid w:val="00394A4D"/>
    <w:rPr>
      <w:b/>
      <w:bCs/>
    </w:rPr>
  </w:style>
  <w:style w:type="character" w:customStyle="1" w:styleId="CommentSubjectChar">
    <w:name w:val="Comment Subject Char"/>
    <w:basedOn w:val="CommentTextChar"/>
    <w:link w:val="CommentSubject"/>
    <w:uiPriority w:val="99"/>
    <w:semiHidden/>
    <w:rsid w:val="00394A4D"/>
    <w:rPr>
      <w:b/>
      <w:bCs/>
      <w:sz w:val="20"/>
      <w:szCs w:val="20"/>
    </w:rPr>
  </w:style>
  <w:style w:type="character" w:styleId="Hyperlink">
    <w:name w:val="Hyperlink"/>
    <w:basedOn w:val="DefaultParagraphFont"/>
    <w:uiPriority w:val="99"/>
    <w:unhideWhenUsed/>
    <w:rsid w:val="0004325F"/>
    <w:rPr>
      <w:color w:val="0563C1" w:themeColor="hyperlink"/>
      <w:u w:val="single"/>
    </w:rPr>
  </w:style>
  <w:style w:type="character" w:customStyle="1" w:styleId="UnresolvedMention1">
    <w:name w:val="Unresolved Mention1"/>
    <w:basedOn w:val="DefaultParagraphFont"/>
    <w:uiPriority w:val="99"/>
    <w:semiHidden/>
    <w:unhideWhenUsed/>
    <w:rsid w:val="0004325F"/>
    <w:rPr>
      <w:color w:val="605E5C"/>
      <w:shd w:val="clear" w:color="auto" w:fill="E1DFDD"/>
    </w:rPr>
  </w:style>
  <w:style w:type="paragraph" w:styleId="Header">
    <w:name w:val="header"/>
    <w:basedOn w:val="Normal"/>
    <w:link w:val="HeaderChar"/>
    <w:uiPriority w:val="99"/>
    <w:unhideWhenUsed/>
    <w:rsid w:val="007B7193"/>
    <w:pPr>
      <w:tabs>
        <w:tab w:val="center" w:pos="4680"/>
        <w:tab w:val="right" w:pos="9360"/>
      </w:tabs>
    </w:pPr>
  </w:style>
  <w:style w:type="character" w:customStyle="1" w:styleId="HeaderChar">
    <w:name w:val="Header Char"/>
    <w:basedOn w:val="DefaultParagraphFont"/>
    <w:link w:val="Header"/>
    <w:uiPriority w:val="99"/>
    <w:rsid w:val="007B7193"/>
  </w:style>
  <w:style w:type="paragraph" w:styleId="Footer">
    <w:name w:val="footer"/>
    <w:basedOn w:val="Normal"/>
    <w:link w:val="FooterChar"/>
    <w:uiPriority w:val="99"/>
    <w:unhideWhenUsed/>
    <w:rsid w:val="007B7193"/>
    <w:pPr>
      <w:tabs>
        <w:tab w:val="center" w:pos="4680"/>
        <w:tab w:val="right" w:pos="9360"/>
      </w:tabs>
    </w:pPr>
  </w:style>
  <w:style w:type="character" w:customStyle="1" w:styleId="FooterChar">
    <w:name w:val="Footer Char"/>
    <w:basedOn w:val="DefaultParagraphFont"/>
    <w:link w:val="Footer"/>
    <w:uiPriority w:val="99"/>
    <w:rsid w:val="007B7193"/>
  </w:style>
  <w:style w:type="paragraph" w:customStyle="1" w:styleId="bschriftohneNummer">
    <w:name w:val="Übschrift ohne Nummer"/>
    <w:basedOn w:val="Heading2"/>
    <w:autoRedefine/>
    <w:qFormat/>
    <w:rsid w:val="007B7193"/>
    <w:pPr>
      <w:keepLines w:val="0"/>
      <w:spacing w:before="0" w:line="480" w:lineRule="auto"/>
      <w:jc w:val="center"/>
    </w:pPr>
    <w:rPr>
      <w:rFonts w:eastAsia="Times New Roman" w:cs="Times New Roman"/>
      <w:b w:val="0"/>
      <w:bCs/>
      <w:szCs w:val="24"/>
      <w:lang w:eastAsia="de-DE"/>
    </w:rPr>
  </w:style>
  <w:style w:type="character" w:customStyle="1" w:styleId="Heading2Char">
    <w:name w:val="Heading 2 Char"/>
    <w:basedOn w:val="DefaultParagraphFont"/>
    <w:link w:val="Heading2"/>
    <w:uiPriority w:val="9"/>
    <w:rsid w:val="001B4F08"/>
    <w:rPr>
      <w:rFonts w:ascii="Times New Roman" w:eastAsiaTheme="majorEastAsia" w:hAnsi="Times New Roman" w:cstheme="majorBidi"/>
      <w:b/>
      <w:i/>
      <w:sz w:val="24"/>
      <w:szCs w:val="26"/>
      <w:lang w:val="en-GB" w:eastAsia="en-GB"/>
    </w:rPr>
  </w:style>
  <w:style w:type="table" w:styleId="TableGrid">
    <w:name w:val="Table Grid"/>
    <w:basedOn w:val="TableNormal"/>
    <w:uiPriority w:val="39"/>
    <w:rsid w:val="00A7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91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4F08"/>
    <w:rPr>
      <w:rFonts w:ascii="Times New Roman" w:eastAsiaTheme="majorEastAsia" w:hAnsi="Times New Roman" w:cstheme="majorBidi"/>
      <w:b/>
      <w:sz w:val="24"/>
      <w:szCs w:val="32"/>
      <w:lang w:val="en-GB" w:eastAsia="en-GB"/>
    </w:rPr>
  </w:style>
  <w:style w:type="paragraph" w:styleId="NormalWeb">
    <w:name w:val="Normal (Web)"/>
    <w:basedOn w:val="Normal"/>
    <w:uiPriority w:val="99"/>
    <w:unhideWhenUsed/>
    <w:rsid w:val="00832ABB"/>
  </w:style>
  <w:style w:type="paragraph" w:styleId="Revision">
    <w:name w:val="Revision"/>
    <w:hidden/>
    <w:uiPriority w:val="99"/>
    <w:semiHidden/>
    <w:rsid w:val="00832ABB"/>
    <w:pPr>
      <w:spacing w:after="0" w:line="240" w:lineRule="auto"/>
    </w:pPr>
    <w:rPr>
      <w:rFonts w:ascii="Times New Roman" w:eastAsia="Times New Roman" w:hAnsi="Times New Roman" w:cs="Times New Roman"/>
      <w:sz w:val="24"/>
      <w:szCs w:val="24"/>
      <w:lang w:val="en-GB" w:eastAsia="en-GB"/>
    </w:rPr>
  </w:style>
  <w:style w:type="paragraph" w:customStyle="1" w:styleId="paragraph">
    <w:name w:val="paragraph"/>
    <w:basedOn w:val="Normal"/>
    <w:rsid w:val="00832ABB"/>
    <w:pPr>
      <w:spacing w:before="100" w:beforeAutospacing="1" w:after="100" w:afterAutospacing="1"/>
    </w:pPr>
  </w:style>
  <w:style w:type="character" w:customStyle="1" w:styleId="normaltextrun">
    <w:name w:val="normaltextrun"/>
    <w:basedOn w:val="DefaultParagraphFont"/>
    <w:rsid w:val="00832ABB"/>
  </w:style>
  <w:style w:type="paragraph" w:customStyle="1" w:styleId="Default">
    <w:name w:val="Default"/>
    <w:rsid w:val="00832ABB"/>
    <w:pPr>
      <w:autoSpaceDE w:val="0"/>
      <w:autoSpaceDN w:val="0"/>
      <w:adjustRightInd w:val="0"/>
      <w:spacing w:after="0" w:line="240" w:lineRule="auto"/>
    </w:pPr>
    <w:rPr>
      <w:rFonts w:ascii="Arial" w:hAnsi="Arial" w:cs="Arial"/>
      <w:color w:val="000000"/>
      <w:sz w:val="24"/>
      <w:szCs w:val="24"/>
      <w:lang w:val="en-GB"/>
    </w:rPr>
  </w:style>
  <w:style w:type="character" w:customStyle="1" w:styleId="eop">
    <w:name w:val="eop"/>
    <w:basedOn w:val="DefaultParagraphFont"/>
    <w:rsid w:val="00832ABB"/>
  </w:style>
  <w:style w:type="character" w:styleId="FollowedHyperlink">
    <w:name w:val="FollowedHyperlink"/>
    <w:basedOn w:val="DefaultParagraphFont"/>
    <w:uiPriority w:val="99"/>
    <w:semiHidden/>
    <w:unhideWhenUsed/>
    <w:rsid w:val="006F3135"/>
    <w:rPr>
      <w:color w:val="954F72" w:themeColor="followedHyperlink"/>
      <w:u w:val="single"/>
    </w:rPr>
  </w:style>
  <w:style w:type="character" w:styleId="Emphasis">
    <w:name w:val="Emphasis"/>
    <w:basedOn w:val="DefaultParagraphFont"/>
    <w:uiPriority w:val="20"/>
    <w:qFormat/>
    <w:rsid w:val="006F3135"/>
    <w:rPr>
      <w:i/>
      <w:iCs/>
    </w:rPr>
  </w:style>
  <w:style w:type="character" w:styleId="PlaceholderText">
    <w:name w:val="Placeholder Text"/>
    <w:basedOn w:val="DefaultParagraphFont"/>
    <w:uiPriority w:val="99"/>
    <w:semiHidden/>
    <w:rsid w:val="00B40264"/>
    <w:rPr>
      <w:color w:val="808080"/>
    </w:rPr>
  </w:style>
  <w:style w:type="character" w:customStyle="1" w:styleId="UnresolvedMention2">
    <w:name w:val="Unresolved Mention2"/>
    <w:basedOn w:val="DefaultParagraphFont"/>
    <w:uiPriority w:val="99"/>
    <w:semiHidden/>
    <w:unhideWhenUsed/>
    <w:rsid w:val="00BF03D9"/>
    <w:rPr>
      <w:color w:val="605E5C"/>
      <w:shd w:val="clear" w:color="auto" w:fill="E1DFDD"/>
    </w:rPr>
  </w:style>
  <w:style w:type="character" w:customStyle="1" w:styleId="Heading3Char">
    <w:name w:val="Heading 3 Char"/>
    <w:basedOn w:val="DefaultParagraphFont"/>
    <w:link w:val="Heading3"/>
    <w:uiPriority w:val="9"/>
    <w:semiHidden/>
    <w:rsid w:val="008E3214"/>
    <w:rPr>
      <w:rFonts w:asciiTheme="majorHAnsi" w:eastAsiaTheme="majorEastAsia" w:hAnsiTheme="majorHAnsi" w:cstheme="majorBidi"/>
      <w:color w:val="1F3763" w:themeColor="accent1" w:themeShade="7F"/>
      <w:sz w:val="24"/>
      <w:szCs w:val="24"/>
      <w:lang w:val="en-GB" w:eastAsia="en-GB"/>
    </w:rPr>
  </w:style>
  <w:style w:type="character" w:customStyle="1" w:styleId="articlebreadcrumbs">
    <w:name w:val="article__breadcrumbs"/>
    <w:basedOn w:val="DefaultParagraphFont"/>
    <w:rsid w:val="006C6114"/>
  </w:style>
  <w:style w:type="character" w:customStyle="1" w:styleId="epub-sectionstate">
    <w:name w:val="epub-section__state"/>
    <w:basedOn w:val="DefaultParagraphFont"/>
    <w:rsid w:val="006C6114"/>
  </w:style>
  <w:style w:type="character" w:customStyle="1" w:styleId="epub-sectiondate">
    <w:name w:val="epub-section__date"/>
    <w:basedOn w:val="DefaultParagraphFont"/>
    <w:rsid w:val="006C6114"/>
  </w:style>
  <w:style w:type="paragraph" w:styleId="FootnoteText">
    <w:name w:val="footnote text"/>
    <w:basedOn w:val="Normal"/>
    <w:link w:val="FootnoteTextChar"/>
    <w:uiPriority w:val="99"/>
    <w:semiHidden/>
    <w:unhideWhenUsed/>
    <w:rsid w:val="00F230D7"/>
    <w:rPr>
      <w:sz w:val="20"/>
      <w:szCs w:val="20"/>
    </w:rPr>
  </w:style>
  <w:style w:type="character" w:customStyle="1" w:styleId="FootnoteTextChar">
    <w:name w:val="Footnote Text Char"/>
    <w:basedOn w:val="DefaultParagraphFont"/>
    <w:link w:val="FootnoteText"/>
    <w:uiPriority w:val="99"/>
    <w:semiHidden/>
    <w:rsid w:val="00F230D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F230D7"/>
    <w:rPr>
      <w:vertAlign w:val="superscript"/>
    </w:rPr>
  </w:style>
  <w:style w:type="character" w:customStyle="1" w:styleId="UnresolvedMention3">
    <w:name w:val="Unresolved Mention3"/>
    <w:basedOn w:val="DefaultParagraphFont"/>
    <w:uiPriority w:val="99"/>
    <w:semiHidden/>
    <w:unhideWhenUsed/>
    <w:rsid w:val="00041868"/>
    <w:rPr>
      <w:color w:val="605E5C"/>
      <w:shd w:val="clear" w:color="auto" w:fill="E1DFDD"/>
    </w:rPr>
  </w:style>
  <w:style w:type="character" w:styleId="UnresolvedMention">
    <w:name w:val="Unresolved Mention"/>
    <w:basedOn w:val="DefaultParagraphFont"/>
    <w:uiPriority w:val="99"/>
    <w:semiHidden/>
    <w:unhideWhenUsed/>
    <w:rsid w:val="00E43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3290">
      <w:bodyDiv w:val="1"/>
      <w:marLeft w:val="0"/>
      <w:marRight w:val="0"/>
      <w:marTop w:val="0"/>
      <w:marBottom w:val="0"/>
      <w:divBdr>
        <w:top w:val="none" w:sz="0" w:space="0" w:color="auto"/>
        <w:left w:val="none" w:sz="0" w:space="0" w:color="auto"/>
        <w:bottom w:val="none" w:sz="0" w:space="0" w:color="auto"/>
        <w:right w:val="none" w:sz="0" w:space="0" w:color="auto"/>
      </w:divBdr>
    </w:div>
    <w:div w:id="58597727">
      <w:bodyDiv w:val="1"/>
      <w:marLeft w:val="0"/>
      <w:marRight w:val="0"/>
      <w:marTop w:val="0"/>
      <w:marBottom w:val="0"/>
      <w:divBdr>
        <w:top w:val="none" w:sz="0" w:space="0" w:color="auto"/>
        <w:left w:val="none" w:sz="0" w:space="0" w:color="auto"/>
        <w:bottom w:val="none" w:sz="0" w:space="0" w:color="auto"/>
        <w:right w:val="none" w:sz="0" w:space="0" w:color="auto"/>
      </w:divBdr>
    </w:div>
    <w:div w:id="70545666">
      <w:bodyDiv w:val="1"/>
      <w:marLeft w:val="0"/>
      <w:marRight w:val="0"/>
      <w:marTop w:val="0"/>
      <w:marBottom w:val="0"/>
      <w:divBdr>
        <w:top w:val="none" w:sz="0" w:space="0" w:color="auto"/>
        <w:left w:val="none" w:sz="0" w:space="0" w:color="auto"/>
        <w:bottom w:val="none" w:sz="0" w:space="0" w:color="auto"/>
        <w:right w:val="none" w:sz="0" w:space="0" w:color="auto"/>
      </w:divBdr>
    </w:div>
    <w:div w:id="70854309">
      <w:bodyDiv w:val="1"/>
      <w:marLeft w:val="0"/>
      <w:marRight w:val="0"/>
      <w:marTop w:val="0"/>
      <w:marBottom w:val="0"/>
      <w:divBdr>
        <w:top w:val="none" w:sz="0" w:space="0" w:color="auto"/>
        <w:left w:val="none" w:sz="0" w:space="0" w:color="auto"/>
        <w:bottom w:val="none" w:sz="0" w:space="0" w:color="auto"/>
        <w:right w:val="none" w:sz="0" w:space="0" w:color="auto"/>
      </w:divBdr>
    </w:div>
    <w:div w:id="120736526">
      <w:bodyDiv w:val="1"/>
      <w:marLeft w:val="0"/>
      <w:marRight w:val="0"/>
      <w:marTop w:val="0"/>
      <w:marBottom w:val="0"/>
      <w:divBdr>
        <w:top w:val="none" w:sz="0" w:space="0" w:color="auto"/>
        <w:left w:val="none" w:sz="0" w:space="0" w:color="auto"/>
        <w:bottom w:val="none" w:sz="0" w:space="0" w:color="auto"/>
        <w:right w:val="none" w:sz="0" w:space="0" w:color="auto"/>
      </w:divBdr>
    </w:div>
    <w:div w:id="146016457">
      <w:bodyDiv w:val="1"/>
      <w:marLeft w:val="0"/>
      <w:marRight w:val="0"/>
      <w:marTop w:val="0"/>
      <w:marBottom w:val="0"/>
      <w:divBdr>
        <w:top w:val="none" w:sz="0" w:space="0" w:color="auto"/>
        <w:left w:val="none" w:sz="0" w:space="0" w:color="auto"/>
        <w:bottom w:val="none" w:sz="0" w:space="0" w:color="auto"/>
        <w:right w:val="none" w:sz="0" w:space="0" w:color="auto"/>
      </w:divBdr>
      <w:divsChild>
        <w:div w:id="1739286522">
          <w:marLeft w:val="720"/>
          <w:marRight w:val="0"/>
          <w:marTop w:val="240"/>
          <w:marBottom w:val="0"/>
          <w:divBdr>
            <w:top w:val="none" w:sz="0" w:space="0" w:color="auto"/>
            <w:left w:val="none" w:sz="0" w:space="0" w:color="auto"/>
            <w:bottom w:val="none" w:sz="0" w:space="0" w:color="auto"/>
            <w:right w:val="none" w:sz="0" w:space="0" w:color="auto"/>
          </w:divBdr>
        </w:div>
        <w:div w:id="2010329368">
          <w:marLeft w:val="720"/>
          <w:marRight w:val="0"/>
          <w:marTop w:val="240"/>
          <w:marBottom w:val="0"/>
          <w:divBdr>
            <w:top w:val="none" w:sz="0" w:space="0" w:color="auto"/>
            <w:left w:val="none" w:sz="0" w:space="0" w:color="auto"/>
            <w:bottom w:val="none" w:sz="0" w:space="0" w:color="auto"/>
            <w:right w:val="none" w:sz="0" w:space="0" w:color="auto"/>
          </w:divBdr>
        </w:div>
      </w:divsChild>
    </w:div>
    <w:div w:id="152962493">
      <w:bodyDiv w:val="1"/>
      <w:marLeft w:val="0"/>
      <w:marRight w:val="0"/>
      <w:marTop w:val="0"/>
      <w:marBottom w:val="0"/>
      <w:divBdr>
        <w:top w:val="none" w:sz="0" w:space="0" w:color="auto"/>
        <w:left w:val="none" w:sz="0" w:space="0" w:color="auto"/>
        <w:bottom w:val="none" w:sz="0" w:space="0" w:color="auto"/>
        <w:right w:val="none" w:sz="0" w:space="0" w:color="auto"/>
      </w:divBdr>
      <w:divsChild>
        <w:div w:id="1746106457">
          <w:marLeft w:val="0"/>
          <w:marRight w:val="0"/>
          <w:marTop w:val="0"/>
          <w:marBottom w:val="0"/>
          <w:divBdr>
            <w:top w:val="none" w:sz="0" w:space="0" w:color="auto"/>
            <w:left w:val="none" w:sz="0" w:space="0" w:color="auto"/>
            <w:bottom w:val="none" w:sz="0" w:space="0" w:color="auto"/>
            <w:right w:val="none" w:sz="0" w:space="0" w:color="auto"/>
          </w:divBdr>
        </w:div>
      </w:divsChild>
    </w:div>
    <w:div w:id="171267165">
      <w:bodyDiv w:val="1"/>
      <w:marLeft w:val="0"/>
      <w:marRight w:val="0"/>
      <w:marTop w:val="0"/>
      <w:marBottom w:val="0"/>
      <w:divBdr>
        <w:top w:val="none" w:sz="0" w:space="0" w:color="auto"/>
        <w:left w:val="none" w:sz="0" w:space="0" w:color="auto"/>
        <w:bottom w:val="none" w:sz="0" w:space="0" w:color="auto"/>
        <w:right w:val="none" w:sz="0" w:space="0" w:color="auto"/>
      </w:divBdr>
    </w:div>
    <w:div w:id="225072525">
      <w:bodyDiv w:val="1"/>
      <w:marLeft w:val="0"/>
      <w:marRight w:val="0"/>
      <w:marTop w:val="0"/>
      <w:marBottom w:val="0"/>
      <w:divBdr>
        <w:top w:val="none" w:sz="0" w:space="0" w:color="auto"/>
        <w:left w:val="none" w:sz="0" w:space="0" w:color="auto"/>
        <w:bottom w:val="none" w:sz="0" w:space="0" w:color="auto"/>
        <w:right w:val="none" w:sz="0" w:space="0" w:color="auto"/>
      </w:divBdr>
    </w:div>
    <w:div w:id="244652982">
      <w:bodyDiv w:val="1"/>
      <w:marLeft w:val="0"/>
      <w:marRight w:val="0"/>
      <w:marTop w:val="0"/>
      <w:marBottom w:val="0"/>
      <w:divBdr>
        <w:top w:val="none" w:sz="0" w:space="0" w:color="auto"/>
        <w:left w:val="none" w:sz="0" w:space="0" w:color="auto"/>
        <w:bottom w:val="none" w:sz="0" w:space="0" w:color="auto"/>
        <w:right w:val="none" w:sz="0" w:space="0" w:color="auto"/>
      </w:divBdr>
    </w:div>
    <w:div w:id="274555087">
      <w:bodyDiv w:val="1"/>
      <w:marLeft w:val="0"/>
      <w:marRight w:val="0"/>
      <w:marTop w:val="0"/>
      <w:marBottom w:val="0"/>
      <w:divBdr>
        <w:top w:val="none" w:sz="0" w:space="0" w:color="auto"/>
        <w:left w:val="none" w:sz="0" w:space="0" w:color="auto"/>
        <w:bottom w:val="none" w:sz="0" w:space="0" w:color="auto"/>
        <w:right w:val="none" w:sz="0" w:space="0" w:color="auto"/>
      </w:divBdr>
    </w:div>
    <w:div w:id="281302337">
      <w:bodyDiv w:val="1"/>
      <w:marLeft w:val="0"/>
      <w:marRight w:val="0"/>
      <w:marTop w:val="0"/>
      <w:marBottom w:val="0"/>
      <w:divBdr>
        <w:top w:val="none" w:sz="0" w:space="0" w:color="auto"/>
        <w:left w:val="none" w:sz="0" w:space="0" w:color="auto"/>
        <w:bottom w:val="none" w:sz="0" w:space="0" w:color="auto"/>
        <w:right w:val="none" w:sz="0" w:space="0" w:color="auto"/>
      </w:divBdr>
    </w:div>
    <w:div w:id="305739929">
      <w:bodyDiv w:val="1"/>
      <w:marLeft w:val="0"/>
      <w:marRight w:val="0"/>
      <w:marTop w:val="0"/>
      <w:marBottom w:val="0"/>
      <w:divBdr>
        <w:top w:val="none" w:sz="0" w:space="0" w:color="auto"/>
        <w:left w:val="none" w:sz="0" w:space="0" w:color="auto"/>
        <w:bottom w:val="none" w:sz="0" w:space="0" w:color="auto"/>
        <w:right w:val="none" w:sz="0" w:space="0" w:color="auto"/>
      </w:divBdr>
    </w:div>
    <w:div w:id="340206328">
      <w:bodyDiv w:val="1"/>
      <w:marLeft w:val="0"/>
      <w:marRight w:val="0"/>
      <w:marTop w:val="0"/>
      <w:marBottom w:val="0"/>
      <w:divBdr>
        <w:top w:val="none" w:sz="0" w:space="0" w:color="auto"/>
        <w:left w:val="none" w:sz="0" w:space="0" w:color="auto"/>
        <w:bottom w:val="none" w:sz="0" w:space="0" w:color="auto"/>
        <w:right w:val="none" w:sz="0" w:space="0" w:color="auto"/>
      </w:divBdr>
    </w:div>
    <w:div w:id="365717216">
      <w:bodyDiv w:val="1"/>
      <w:marLeft w:val="0"/>
      <w:marRight w:val="0"/>
      <w:marTop w:val="0"/>
      <w:marBottom w:val="0"/>
      <w:divBdr>
        <w:top w:val="none" w:sz="0" w:space="0" w:color="auto"/>
        <w:left w:val="none" w:sz="0" w:space="0" w:color="auto"/>
        <w:bottom w:val="none" w:sz="0" w:space="0" w:color="auto"/>
        <w:right w:val="none" w:sz="0" w:space="0" w:color="auto"/>
      </w:divBdr>
    </w:div>
    <w:div w:id="410661690">
      <w:bodyDiv w:val="1"/>
      <w:marLeft w:val="0"/>
      <w:marRight w:val="0"/>
      <w:marTop w:val="0"/>
      <w:marBottom w:val="0"/>
      <w:divBdr>
        <w:top w:val="none" w:sz="0" w:space="0" w:color="auto"/>
        <w:left w:val="none" w:sz="0" w:space="0" w:color="auto"/>
        <w:bottom w:val="none" w:sz="0" w:space="0" w:color="auto"/>
        <w:right w:val="none" w:sz="0" w:space="0" w:color="auto"/>
      </w:divBdr>
      <w:divsChild>
        <w:div w:id="214006277">
          <w:marLeft w:val="0"/>
          <w:marRight w:val="0"/>
          <w:marTop w:val="0"/>
          <w:marBottom w:val="0"/>
          <w:divBdr>
            <w:top w:val="none" w:sz="0" w:space="0" w:color="auto"/>
            <w:left w:val="none" w:sz="0" w:space="0" w:color="auto"/>
            <w:bottom w:val="none" w:sz="0" w:space="0" w:color="auto"/>
            <w:right w:val="none" w:sz="0" w:space="0" w:color="auto"/>
          </w:divBdr>
        </w:div>
        <w:div w:id="1242838491">
          <w:marLeft w:val="0"/>
          <w:marRight w:val="0"/>
          <w:marTop w:val="0"/>
          <w:marBottom w:val="0"/>
          <w:divBdr>
            <w:top w:val="none" w:sz="0" w:space="0" w:color="auto"/>
            <w:left w:val="none" w:sz="0" w:space="0" w:color="auto"/>
            <w:bottom w:val="none" w:sz="0" w:space="0" w:color="auto"/>
            <w:right w:val="none" w:sz="0" w:space="0" w:color="auto"/>
          </w:divBdr>
        </w:div>
        <w:div w:id="544295058">
          <w:marLeft w:val="0"/>
          <w:marRight w:val="0"/>
          <w:marTop w:val="0"/>
          <w:marBottom w:val="0"/>
          <w:divBdr>
            <w:top w:val="none" w:sz="0" w:space="0" w:color="auto"/>
            <w:left w:val="none" w:sz="0" w:space="0" w:color="auto"/>
            <w:bottom w:val="none" w:sz="0" w:space="0" w:color="auto"/>
            <w:right w:val="none" w:sz="0" w:space="0" w:color="auto"/>
          </w:divBdr>
        </w:div>
      </w:divsChild>
    </w:div>
    <w:div w:id="436026429">
      <w:bodyDiv w:val="1"/>
      <w:marLeft w:val="0"/>
      <w:marRight w:val="0"/>
      <w:marTop w:val="0"/>
      <w:marBottom w:val="0"/>
      <w:divBdr>
        <w:top w:val="none" w:sz="0" w:space="0" w:color="auto"/>
        <w:left w:val="none" w:sz="0" w:space="0" w:color="auto"/>
        <w:bottom w:val="none" w:sz="0" w:space="0" w:color="auto"/>
        <w:right w:val="none" w:sz="0" w:space="0" w:color="auto"/>
      </w:divBdr>
    </w:div>
    <w:div w:id="460458658">
      <w:bodyDiv w:val="1"/>
      <w:marLeft w:val="0"/>
      <w:marRight w:val="0"/>
      <w:marTop w:val="0"/>
      <w:marBottom w:val="0"/>
      <w:divBdr>
        <w:top w:val="none" w:sz="0" w:space="0" w:color="auto"/>
        <w:left w:val="none" w:sz="0" w:space="0" w:color="auto"/>
        <w:bottom w:val="none" w:sz="0" w:space="0" w:color="auto"/>
        <w:right w:val="none" w:sz="0" w:space="0" w:color="auto"/>
      </w:divBdr>
      <w:divsChild>
        <w:div w:id="740634910">
          <w:marLeft w:val="0"/>
          <w:marRight w:val="0"/>
          <w:marTop w:val="0"/>
          <w:marBottom w:val="0"/>
          <w:divBdr>
            <w:top w:val="none" w:sz="0" w:space="0" w:color="auto"/>
            <w:left w:val="none" w:sz="0" w:space="0" w:color="auto"/>
            <w:bottom w:val="none" w:sz="0" w:space="0" w:color="auto"/>
            <w:right w:val="none" w:sz="0" w:space="0" w:color="auto"/>
          </w:divBdr>
        </w:div>
        <w:div w:id="1865942715">
          <w:marLeft w:val="0"/>
          <w:marRight w:val="0"/>
          <w:marTop w:val="0"/>
          <w:marBottom w:val="0"/>
          <w:divBdr>
            <w:top w:val="none" w:sz="0" w:space="0" w:color="auto"/>
            <w:left w:val="none" w:sz="0" w:space="0" w:color="auto"/>
            <w:bottom w:val="none" w:sz="0" w:space="0" w:color="auto"/>
            <w:right w:val="none" w:sz="0" w:space="0" w:color="auto"/>
          </w:divBdr>
        </w:div>
        <w:div w:id="811024155">
          <w:marLeft w:val="0"/>
          <w:marRight w:val="0"/>
          <w:marTop w:val="0"/>
          <w:marBottom w:val="0"/>
          <w:divBdr>
            <w:top w:val="none" w:sz="0" w:space="0" w:color="auto"/>
            <w:left w:val="none" w:sz="0" w:space="0" w:color="auto"/>
            <w:bottom w:val="none" w:sz="0" w:space="0" w:color="auto"/>
            <w:right w:val="none" w:sz="0" w:space="0" w:color="auto"/>
          </w:divBdr>
        </w:div>
        <w:div w:id="2078815159">
          <w:marLeft w:val="0"/>
          <w:marRight w:val="0"/>
          <w:marTop w:val="0"/>
          <w:marBottom w:val="0"/>
          <w:divBdr>
            <w:top w:val="none" w:sz="0" w:space="0" w:color="auto"/>
            <w:left w:val="none" w:sz="0" w:space="0" w:color="auto"/>
            <w:bottom w:val="none" w:sz="0" w:space="0" w:color="auto"/>
            <w:right w:val="none" w:sz="0" w:space="0" w:color="auto"/>
          </w:divBdr>
        </w:div>
        <w:div w:id="2028409250">
          <w:marLeft w:val="0"/>
          <w:marRight w:val="0"/>
          <w:marTop w:val="0"/>
          <w:marBottom w:val="0"/>
          <w:divBdr>
            <w:top w:val="none" w:sz="0" w:space="0" w:color="auto"/>
            <w:left w:val="none" w:sz="0" w:space="0" w:color="auto"/>
            <w:bottom w:val="none" w:sz="0" w:space="0" w:color="auto"/>
            <w:right w:val="none" w:sz="0" w:space="0" w:color="auto"/>
          </w:divBdr>
        </w:div>
        <w:div w:id="2101178712">
          <w:marLeft w:val="0"/>
          <w:marRight w:val="0"/>
          <w:marTop w:val="0"/>
          <w:marBottom w:val="0"/>
          <w:divBdr>
            <w:top w:val="none" w:sz="0" w:space="0" w:color="auto"/>
            <w:left w:val="none" w:sz="0" w:space="0" w:color="auto"/>
            <w:bottom w:val="none" w:sz="0" w:space="0" w:color="auto"/>
            <w:right w:val="none" w:sz="0" w:space="0" w:color="auto"/>
          </w:divBdr>
        </w:div>
        <w:div w:id="1974362594">
          <w:marLeft w:val="0"/>
          <w:marRight w:val="0"/>
          <w:marTop w:val="0"/>
          <w:marBottom w:val="0"/>
          <w:divBdr>
            <w:top w:val="none" w:sz="0" w:space="0" w:color="auto"/>
            <w:left w:val="none" w:sz="0" w:space="0" w:color="auto"/>
            <w:bottom w:val="none" w:sz="0" w:space="0" w:color="auto"/>
            <w:right w:val="none" w:sz="0" w:space="0" w:color="auto"/>
          </w:divBdr>
        </w:div>
        <w:div w:id="814032676">
          <w:marLeft w:val="0"/>
          <w:marRight w:val="0"/>
          <w:marTop w:val="0"/>
          <w:marBottom w:val="0"/>
          <w:divBdr>
            <w:top w:val="none" w:sz="0" w:space="0" w:color="auto"/>
            <w:left w:val="none" w:sz="0" w:space="0" w:color="auto"/>
            <w:bottom w:val="none" w:sz="0" w:space="0" w:color="auto"/>
            <w:right w:val="none" w:sz="0" w:space="0" w:color="auto"/>
          </w:divBdr>
        </w:div>
        <w:div w:id="362368957">
          <w:marLeft w:val="0"/>
          <w:marRight w:val="0"/>
          <w:marTop w:val="0"/>
          <w:marBottom w:val="0"/>
          <w:divBdr>
            <w:top w:val="none" w:sz="0" w:space="0" w:color="auto"/>
            <w:left w:val="none" w:sz="0" w:space="0" w:color="auto"/>
            <w:bottom w:val="none" w:sz="0" w:space="0" w:color="auto"/>
            <w:right w:val="none" w:sz="0" w:space="0" w:color="auto"/>
          </w:divBdr>
        </w:div>
        <w:div w:id="764115818">
          <w:marLeft w:val="0"/>
          <w:marRight w:val="0"/>
          <w:marTop w:val="0"/>
          <w:marBottom w:val="0"/>
          <w:divBdr>
            <w:top w:val="none" w:sz="0" w:space="0" w:color="auto"/>
            <w:left w:val="none" w:sz="0" w:space="0" w:color="auto"/>
            <w:bottom w:val="none" w:sz="0" w:space="0" w:color="auto"/>
            <w:right w:val="none" w:sz="0" w:space="0" w:color="auto"/>
          </w:divBdr>
        </w:div>
        <w:div w:id="1345787886">
          <w:marLeft w:val="0"/>
          <w:marRight w:val="0"/>
          <w:marTop w:val="0"/>
          <w:marBottom w:val="0"/>
          <w:divBdr>
            <w:top w:val="none" w:sz="0" w:space="0" w:color="auto"/>
            <w:left w:val="none" w:sz="0" w:space="0" w:color="auto"/>
            <w:bottom w:val="none" w:sz="0" w:space="0" w:color="auto"/>
            <w:right w:val="none" w:sz="0" w:space="0" w:color="auto"/>
          </w:divBdr>
        </w:div>
      </w:divsChild>
    </w:div>
    <w:div w:id="484056974">
      <w:bodyDiv w:val="1"/>
      <w:marLeft w:val="0"/>
      <w:marRight w:val="0"/>
      <w:marTop w:val="0"/>
      <w:marBottom w:val="0"/>
      <w:divBdr>
        <w:top w:val="none" w:sz="0" w:space="0" w:color="auto"/>
        <w:left w:val="none" w:sz="0" w:space="0" w:color="auto"/>
        <w:bottom w:val="none" w:sz="0" w:space="0" w:color="auto"/>
        <w:right w:val="none" w:sz="0" w:space="0" w:color="auto"/>
      </w:divBdr>
    </w:div>
    <w:div w:id="515120624">
      <w:bodyDiv w:val="1"/>
      <w:marLeft w:val="0"/>
      <w:marRight w:val="0"/>
      <w:marTop w:val="0"/>
      <w:marBottom w:val="0"/>
      <w:divBdr>
        <w:top w:val="none" w:sz="0" w:space="0" w:color="auto"/>
        <w:left w:val="none" w:sz="0" w:space="0" w:color="auto"/>
        <w:bottom w:val="none" w:sz="0" w:space="0" w:color="auto"/>
        <w:right w:val="none" w:sz="0" w:space="0" w:color="auto"/>
      </w:divBdr>
    </w:div>
    <w:div w:id="573003868">
      <w:bodyDiv w:val="1"/>
      <w:marLeft w:val="0"/>
      <w:marRight w:val="0"/>
      <w:marTop w:val="0"/>
      <w:marBottom w:val="0"/>
      <w:divBdr>
        <w:top w:val="none" w:sz="0" w:space="0" w:color="auto"/>
        <w:left w:val="none" w:sz="0" w:space="0" w:color="auto"/>
        <w:bottom w:val="none" w:sz="0" w:space="0" w:color="auto"/>
        <w:right w:val="none" w:sz="0" w:space="0" w:color="auto"/>
      </w:divBdr>
    </w:div>
    <w:div w:id="608317128">
      <w:bodyDiv w:val="1"/>
      <w:marLeft w:val="0"/>
      <w:marRight w:val="0"/>
      <w:marTop w:val="0"/>
      <w:marBottom w:val="0"/>
      <w:divBdr>
        <w:top w:val="none" w:sz="0" w:space="0" w:color="auto"/>
        <w:left w:val="none" w:sz="0" w:space="0" w:color="auto"/>
        <w:bottom w:val="none" w:sz="0" w:space="0" w:color="auto"/>
        <w:right w:val="none" w:sz="0" w:space="0" w:color="auto"/>
      </w:divBdr>
    </w:div>
    <w:div w:id="609316359">
      <w:bodyDiv w:val="1"/>
      <w:marLeft w:val="0"/>
      <w:marRight w:val="0"/>
      <w:marTop w:val="0"/>
      <w:marBottom w:val="0"/>
      <w:divBdr>
        <w:top w:val="none" w:sz="0" w:space="0" w:color="auto"/>
        <w:left w:val="none" w:sz="0" w:space="0" w:color="auto"/>
        <w:bottom w:val="none" w:sz="0" w:space="0" w:color="auto"/>
        <w:right w:val="none" w:sz="0" w:space="0" w:color="auto"/>
      </w:divBdr>
    </w:div>
    <w:div w:id="626859890">
      <w:bodyDiv w:val="1"/>
      <w:marLeft w:val="0"/>
      <w:marRight w:val="0"/>
      <w:marTop w:val="0"/>
      <w:marBottom w:val="0"/>
      <w:divBdr>
        <w:top w:val="none" w:sz="0" w:space="0" w:color="auto"/>
        <w:left w:val="none" w:sz="0" w:space="0" w:color="auto"/>
        <w:bottom w:val="none" w:sz="0" w:space="0" w:color="auto"/>
        <w:right w:val="none" w:sz="0" w:space="0" w:color="auto"/>
      </w:divBdr>
    </w:div>
    <w:div w:id="692921592">
      <w:bodyDiv w:val="1"/>
      <w:marLeft w:val="0"/>
      <w:marRight w:val="0"/>
      <w:marTop w:val="0"/>
      <w:marBottom w:val="0"/>
      <w:divBdr>
        <w:top w:val="none" w:sz="0" w:space="0" w:color="auto"/>
        <w:left w:val="none" w:sz="0" w:space="0" w:color="auto"/>
        <w:bottom w:val="none" w:sz="0" w:space="0" w:color="auto"/>
        <w:right w:val="none" w:sz="0" w:space="0" w:color="auto"/>
      </w:divBdr>
    </w:div>
    <w:div w:id="722292948">
      <w:bodyDiv w:val="1"/>
      <w:marLeft w:val="0"/>
      <w:marRight w:val="0"/>
      <w:marTop w:val="0"/>
      <w:marBottom w:val="0"/>
      <w:divBdr>
        <w:top w:val="none" w:sz="0" w:space="0" w:color="auto"/>
        <w:left w:val="none" w:sz="0" w:space="0" w:color="auto"/>
        <w:bottom w:val="none" w:sz="0" w:space="0" w:color="auto"/>
        <w:right w:val="none" w:sz="0" w:space="0" w:color="auto"/>
      </w:divBdr>
      <w:divsChild>
        <w:div w:id="212692370">
          <w:marLeft w:val="0"/>
          <w:marRight w:val="0"/>
          <w:marTop w:val="0"/>
          <w:marBottom w:val="0"/>
          <w:divBdr>
            <w:top w:val="none" w:sz="0" w:space="0" w:color="auto"/>
            <w:left w:val="none" w:sz="0" w:space="0" w:color="auto"/>
            <w:bottom w:val="none" w:sz="0" w:space="0" w:color="auto"/>
            <w:right w:val="none" w:sz="0" w:space="0" w:color="auto"/>
          </w:divBdr>
          <w:divsChild>
            <w:div w:id="1411269615">
              <w:marLeft w:val="0"/>
              <w:marRight w:val="0"/>
              <w:marTop w:val="120"/>
              <w:marBottom w:val="120"/>
              <w:divBdr>
                <w:top w:val="none" w:sz="0" w:space="0" w:color="auto"/>
                <w:left w:val="none" w:sz="0" w:space="0" w:color="auto"/>
                <w:bottom w:val="none" w:sz="0" w:space="0" w:color="auto"/>
                <w:right w:val="none" w:sz="0" w:space="0" w:color="auto"/>
              </w:divBdr>
              <w:divsChild>
                <w:div w:id="140923952">
                  <w:marLeft w:val="0"/>
                  <w:marRight w:val="0"/>
                  <w:marTop w:val="0"/>
                  <w:marBottom w:val="0"/>
                  <w:divBdr>
                    <w:top w:val="none" w:sz="0" w:space="0" w:color="auto"/>
                    <w:left w:val="none" w:sz="0" w:space="0" w:color="auto"/>
                    <w:bottom w:val="none" w:sz="0" w:space="0" w:color="auto"/>
                    <w:right w:val="none" w:sz="0" w:space="0" w:color="auto"/>
                  </w:divBdr>
                </w:div>
              </w:divsChild>
            </w:div>
            <w:div w:id="1629429422">
              <w:marLeft w:val="0"/>
              <w:marRight w:val="0"/>
              <w:marTop w:val="0"/>
              <w:marBottom w:val="120"/>
              <w:divBdr>
                <w:top w:val="none" w:sz="0" w:space="0" w:color="auto"/>
                <w:left w:val="none" w:sz="0" w:space="0" w:color="auto"/>
                <w:bottom w:val="none" w:sz="0" w:space="0" w:color="auto"/>
                <w:right w:val="none" w:sz="0" w:space="0" w:color="auto"/>
              </w:divBdr>
              <w:divsChild>
                <w:div w:id="693768195">
                  <w:marLeft w:val="0"/>
                  <w:marRight w:val="0"/>
                  <w:marTop w:val="0"/>
                  <w:marBottom w:val="0"/>
                  <w:divBdr>
                    <w:top w:val="none" w:sz="0" w:space="0" w:color="auto"/>
                    <w:left w:val="none" w:sz="0" w:space="0" w:color="auto"/>
                    <w:bottom w:val="none" w:sz="0" w:space="0" w:color="auto"/>
                    <w:right w:val="none" w:sz="0" w:space="0" w:color="auto"/>
                  </w:divBdr>
                  <w:divsChild>
                    <w:div w:id="1327132741">
                      <w:marLeft w:val="0"/>
                      <w:marRight w:val="0"/>
                      <w:marTop w:val="0"/>
                      <w:marBottom w:val="0"/>
                      <w:divBdr>
                        <w:top w:val="none" w:sz="0" w:space="0" w:color="auto"/>
                        <w:left w:val="none" w:sz="0" w:space="0" w:color="auto"/>
                        <w:bottom w:val="none" w:sz="0" w:space="0" w:color="auto"/>
                        <w:right w:val="none" w:sz="0" w:space="0" w:color="auto"/>
                      </w:divBdr>
                      <w:divsChild>
                        <w:div w:id="1253393754">
                          <w:marLeft w:val="0"/>
                          <w:marRight w:val="0"/>
                          <w:marTop w:val="0"/>
                          <w:marBottom w:val="0"/>
                          <w:divBdr>
                            <w:top w:val="none" w:sz="0" w:space="0" w:color="auto"/>
                            <w:left w:val="none" w:sz="0" w:space="0" w:color="auto"/>
                            <w:bottom w:val="none" w:sz="0" w:space="0" w:color="auto"/>
                            <w:right w:val="none" w:sz="0" w:space="0" w:color="auto"/>
                          </w:divBdr>
                        </w:div>
                        <w:div w:id="469978248">
                          <w:marLeft w:val="0"/>
                          <w:marRight w:val="0"/>
                          <w:marTop w:val="0"/>
                          <w:marBottom w:val="0"/>
                          <w:divBdr>
                            <w:top w:val="none" w:sz="0" w:space="0" w:color="auto"/>
                            <w:left w:val="none" w:sz="0" w:space="0" w:color="auto"/>
                            <w:bottom w:val="none" w:sz="0" w:space="0" w:color="auto"/>
                            <w:right w:val="none" w:sz="0" w:space="0" w:color="auto"/>
                          </w:divBdr>
                        </w:div>
                        <w:div w:id="2688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41881">
          <w:marLeft w:val="0"/>
          <w:marRight w:val="0"/>
          <w:marTop w:val="225"/>
          <w:marBottom w:val="600"/>
          <w:divBdr>
            <w:top w:val="none" w:sz="0" w:space="0" w:color="auto"/>
            <w:left w:val="none" w:sz="0" w:space="0" w:color="auto"/>
            <w:bottom w:val="none" w:sz="0" w:space="0" w:color="auto"/>
            <w:right w:val="none" w:sz="0" w:space="0" w:color="auto"/>
          </w:divBdr>
        </w:div>
      </w:divsChild>
    </w:div>
    <w:div w:id="791049473">
      <w:bodyDiv w:val="1"/>
      <w:marLeft w:val="0"/>
      <w:marRight w:val="0"/>
      <w:marTop w:val="0"/>
      <w:marBottom w:val="0"/>
      <w:divBdr>
        <w:top w:val="none" w:sz="0" w:space="0" w:color="auto"/>
        <w:left w:val="none" w:sz="0" w:space="0" w:color="auto"/>
        <w:bottom w:val="none" w:sz="0" w:space="0" w:color="auto"/>
        <w:right w:val="none" w:sz="0" w:space="0" w:color="auto"/>
      </w:divBdr>
    </w:div>
    <w:div w:id="791093382">
      <w:bodyDiv w:val="1"/>
      <w:marLeft w:val="0"/>
      <w:marRight w:val="0"/>
      <w:marTop w:val="0"/>
      <w:marBottom w:val="0"/>
      <w:divBdr>
        <w:top w:val="none" w:sz="0" w:space="0" w:color="auto"/>
        <w:left w:val="none" w:sz="0" w:space="0" w:color="auto"/>
        <w:bottom w:val="none" w:sz="0" w:space="0" w:color="auto"/>
        <w:right w:val="none" w:sz="0" w:space="0" w:color="auto"/>
      </w:divBdr>
    </w:div>
    <w:div w:id="793132280">
      <w:bodyDiv w:val="1"/>
      <w:marLeft w:val="0"/>
      <w:marRight w:val="0"/>
      <w:marTop w:val="0"/>
      <w:marBottom w:val="0"/>
      <w:divBdr>
        <w:top w:val="none" w:sz="0" w:space="0" w:color="auto"/>
        <w:left w:val="none" w:sz="0" w:space="0" w:color="auto"/>
        <w:bottom w:val="none" w:sz="0" w:space="0" w:color="auto"/>
        <w:right w:val="none" w:sz="0" w:space="0" w:color="auto"/>
      </w:divBdr>
    </w:div>
    <w:div w:id="805779212">
      <w:bodyDiv w:val="1"/>
      <w:marLeft w:val="0"/>
      <w:marRight w:val="0"/>
      <w:marTop w:val="0"/>
      <w:marBottom w:val="0"/>
      <w:divBdr>
        <w:top w:val="none" w:sz="0" w:space="0" w:color="auto"/>
        <w:left w:val="none" w:sz="0" w:space="0" w:color="auto"/>
        <w:bottom w:val="none" w:sz="0" w:space="0" w:color="auto"/>
        <w:right w:val="none" w:sz="0" w:space="0" w:color="auto"/>
      </w:divBdr>
    </w:div>
    <w:div w:id="930359667">
      <w:bodyDiv w:val="1"/>
      <w:marLeft w:val="0"/>
      <w:marRight w:val="0"/>
      <w:marTop w:val="0"/>
      <w:marBottom w:val="0"/>
      <w:divBdr>
        <w:top w:val="none" w:sz="0" w:space="0" w:color="auto"/>
        <w:left w:val="none" w:sz="0" w:space="0" w:color="auto"/>
        <w:bottom w:val="none" w:sz="0" w:space="0" w:color="auto"/>
        <w:right w:val="none" w:sz="0" w:space="0" w:color="auto"/>
      </w:divBdr>
    </w:div>
    <w:div w:id="944581813">
      <w:bodyDiv w:val="1"/>
      <w:marLeft w:val="0"/>
      <w:marRight w:val="0"/>
      <w:marTop w:val="0"/>
      <w:marBottom w:val="0"/>
      <w:divBdr>
        <w:top w:val="none" w:sz="0" w:space="0" w:color="auto"/>
        <w:left w:val="none" w:sz="0" w:space="0" w:color="auto"/>
        <w:bottom w:val="none" w:sz="0" w:space="0" w:color="auto"/>
        <w:right w:val="none" w:sz="0" w:space="0" w:color="auto"/>
      </w:divBdr>
      <w:divsChild>
        <w:div w:id="121769774">
          <w:marLeft w:val="0"/>
          <w:marRight w:val="0"/>
          <w:marTop w:val="0"/>
          <w:marBottom w:val="0"/>
          <w:divBdr>
            <w:top w:val="none" w:sz="0" w:space="0" w:color="auto"/>
            <w:left w:val="none" w:sz="0" w:space="0" w:color="auto"/>
            <w:bottom w:val="none" w:sz="0" w:space="0" w:color="auto"/>
            <w:right w:val="none" w:sz="0" w:space="0" w:color="auto"/>
          </w:divBdr>
        </w:div>
        <w:div w:id="1422071351">
          <w:marLeft w:val="0"/>
          <w:marRight w:val="0"/>
          <w:marTop w:val="0"/>
          <w:marBottom w:val="0"/>
          <w:divBdr>
            <w:top w:val="none" w:sz="0" w:space="0" w:color="auto"/>
            <w:left w:val="none" w:sz="0" w:space="0" w:color="auto"/>
            <w:bottom w:val="none" w:sz="0" w:space="0" w:color="auto"/>
            <w:right w:val="none" w:sz="0" w:space="0" w:color="auto"/>
          </w:divBdr>
        </w:div>
        <w:div w:id="1027632935">
          <w:marLeft w:val="0"/>
          <w:marRight w:val="0"/>
          <w:marTop w:val="0"/>
          <w:marBottom w:val="0"/>
          <w:divBdr>
            <w:top w:val="none" w:sz="0" w:space="0" w:color="auto"/>
            <w:left w:val="none" w:sz="0" w:space="0" w:color="auto"/>
            <w:bottom w:val="none" w:sz="0" w:space="0" w:color="auto"/>
            <w:right w:val="none" w:sz="0" w:space="0" w:color="auto"/>
          </w:divBdr>
        </w:div>
        <w:div w:id="1122575920">
          <w:marLeft w:val="0"/>
          <w:marRight w:val="0"/>
          <w:marTop w:val="0"/>
          <w:marBottom w:val="0"/>
          <w:divBdr>
            <w:top w:val="none" w:sz="0" w:space="0" w:color="auto"/>
            <w:left w:val="none" w:sz="0" w:space="0" w:color="auto"/>
            <w:bottom w:val="none" w:sz="0" w:space="0" w:color="auto"/>
            <w:right w:val="none" w:sz="0" w:space="0" w:color="auto"/>
          </w:divBdr>
        </w:div>
        <w:div w:id="556401688">
          <w:marLeft w:val="0"/>
          <w:marRight w:val="0"/>
          <w:marTop w:val="0"/>
          <w:marBottom w:val="0"/>
          <w:divBdr>
            <w:top w:val="none" w:sz="0" w:space="0" w:color="auto"/>
            <w:left w:val="none" w:sz="0" w:space="0" w:color="auto"/>
            <w:bottom w:val="none" w:sz="0" w:space="0" w:color="auto"/>
            <w:right w:val="none" w:sz="0" w:space="0" w:color="auto"/>
          </w:divBdr>
        </w:div>
        <w:div w:id="369184288">
          <w:marLeft w:val="0"/>
          <w:marRight w:val="0"/>
          <w:marTop w:val="0"/>
          <w:marBottom w:val="0"/>
          <w:divBdr>
            <w:top w:val="none" w:sz="0" w:space="0" w:color="auto"/>
            <w:left w:val="none" w:sz="0" w:space="0" w:color="auto"/>
            <w:bottom w:val="none" w:sz="0" w:space="0" w:color="auto"/>
            <w:right w:val="none" w:sz="0" w:space="0" w:color="auto"/>
          </w:divBdr>
        </w:div>
        <w:div w:id="794449274">
          <w:marLeft w:val="0"/>
          <w:marRight w:val="0"/>
          <w:marTop w:val="0"/>
          <w:marBottom w:val="0"/>
          <w:divBdr>
            <w:top w:val="none" w:sz="0" w:space="0" w:color="auto"/>
            <w:left w:val="none" w:sz="0" w:space="0" w:color="auto"/>
            <w:bottom w:val="none" w:sz="0" w:space="0" w:color="auto"/>
            <w:right w:val="none" w:sz="0" w:space="0" w:color="auto"/>
          </w:divBdr>
        </w:div>
      </w:divsChild>
    </w:div>
    <w:div w:id="947742119">
      <w:bodyDiv w:val="1"/>
      <w:marLeft w:val="0"/>
      <w:marRight w:val="0"/>
      <w:marTop w:val="0"/>
      <w:marBottom w:val="0"/>
      <w:divBdr>
        <w:top w:val="none" w:sz="0" w:space="0" w:color="auto"/>
        <w:left w:val="none" w:sz="0" w:space="0" w:color="auto"/>
        <w:bottom w:val="none" w:sz="0" w:space="0" w:color="auto"/>
        <w:right w:val="none" w:sz="0" w:space="0" w:color="auto"/>
      </w:divBdr>
    </w:div>
    <w:div w:id="962542186">
      <w:bodyDiv w:val="1"/>
      <w:marLeft w:val="0"/>
      <w:marRight w:val="0"/>
      <w:marTop w:val="0"/>
      <w:marBottom w:val="0"/>
      <w:divBdr>
        <w:top w:val="none" w:sz="0" w:space="0" w:color="auto"/>
        <w:left w:val="none" w:sz="0" w:space="0" w:color="auto"/>
        <w:bottom w:val="none" w:sz="0" w:space="0" w:color="auto"/>
        <w:right w:val="none" w:sz="0" w:space="0" w:color="auto"/>
      </w:divBdr>
    </w:div>
    <w:div w:id="1042362732">
      <w:bodyDiv w:val="1"/>
      <w:marLeft w:val="0"/>
      <w:marRight w:val="0"/>
      <w:marTop w:val="0"/>
      <w:marBottom w:val="0"/>
      <w:divBdr>
        <w:top w:val="none" w:sz="0" w:space="0" w:color="auto"/>
        <w:left w:val="none" w:sz="0" w:space="0" w:color="auto"/>
        <w:bottom w:val="none" w:sz="0" w:space="0" w:color="auto"/>
        <w:right w:val="none" w:sz="0" w:space="0" w:color="auto"/>
      </w:divBdr>
    </w:div>
    <w:div w:id="1137527975">
      <w:bodyDiv w:val="1"/>
      <w:marLeft w:val="0"/>
      <w:marRight w:val="0"/>
      <w:marTop w:val="0"/>
      <w:marBottom w:val="0"/>
      <w:divBdr>
        <w:top w:val="none" w:sz="0" w:space="0" w:color="auto"/>
        <w:left w:val="none" w:sz="0" w:space="0" w:color="auto"/>
        <w:bottom w:val="none" w:sz="0" w:space="0" w:color="auto"/>
        <w:right w:val="none" w:sz="0" w:space="0" w:color="auto"/>
      </w:divBdr>
    </w:div>
    <w:div w:id="1228687116">
      <w:bodyDiv w:val="1"/>
      <w:marLeft w:val="0"/>
      <w:marRight w:val="0"/>
      <w:marTop w:val="0"/>
      <w:marBottom w:val="0"/>
      <w:divBdr>
        <w:top w:val="none" w:sz="0" w:space="0" w:color="auto"/>
        <w:left w:val="none" w:sz="0" w:space="0" w:color="auto"/>
        <w:bottom w:val="none" w:sz="0" w:space="0" w:color="auto"/>
        <w:right w:val="none" w:sz="0" w:space="0" w:color="auto"/>
      </w:divBdr>
    </w:div>
    <w:div w:id="1234775170">
      <w:bodyDiv w:val="1"/>
      <w:marLeft w:val="0"/>
      <w:marRight w:val="0"/>
      <w:marTop w:val="0"/>
      <w:marBottom w:val="0"/>
      <w:divBdr>
        <w:top w:val="none" w:sz="0" w:space="0" w:color="auto"/>
        <w:left w:val="none" w:sz="0" w:space="0" w:color="auto"/>
        <w:bottom w:val="none" w:sz="0" w:space="0" w:color="auto"/>
        <w:right w:val="none" w:sz="0" w:space="0" w:color="auto"/>
      </w:divBdr>
    </w:div>
    <w:div w:id="1268123063">
      <w:bodyDiv w:val="1"/>
      <w:marLeft w:val="0"/>
      <w:marRight w:val="0"/>
      <w:marTop w:val="0"/>
      <w:marBottom w:val="0"/>
      <w:divBdr>
        <w:top w:val="none" w:sz="0" w:space="0" w:color="auto"/>
        <w:left w:val="none" w:sz="0" w:space="0" w:color="auto"/>
        <w:bottom w:val="none" w:sz="0" w:space="0" w:color="auto"/>
        <w:right w:val="none" w:sz="0" w:space="0" w:color="auto"/>
      </w:divBdr>
    </w:div>
    <w:div w:id="1274824979">
      <w:bodyDiv w:val="1"/>
      <w:marLeft w:val="0"/>
      <w:marRight w:val="0"/>
      <w:marTop w:val="0"/>
      <w:marBottom w:val="0"/>
      <w:divBdr>
        <w:top w:val="none" w:sz="0" w:space="0" w:color="auto"/>
        <w:left w:val="none" w:sz="0" w:space="0" w:color="auto"/>
        <w:bottom w:val="none" w:sz="0" w:space="0" w:color="auto"/>
        <w:right w:val="none" w:sz="0" w:space="0" w:color="auto"/>
      </w:divBdr>
    </w:div>
    <w:div w:id="1353722650">
      <w:bodyDiv w:val="1"/>
      <w:marLeft w:val="0"/>
      <w:marRight w:val="0"/>
      <w:marTop w:val="0"/>
      <w:marBottom w:val="0"/>
      <w:divBdr>
        <w:top w:val="none" w:sz="0" w:space="0" w:color="auto"/>
        <w:left w:val="none" w:sz="0" w:space="0" w:color="auto"/>
        <w:bottom w:val="none" w:sz="0" w:space="0" w:color="auto"/>
        <w:right w:val="none" w:sz="0" w:space="0" w:color="auto"/>
      </w:divBdr>
    </w:div>
    <w:div w:id="1363284074">
      <w:bodyDiv w:val="1"/>
      <w:marLeft w:val="0"/>
      <w:marRight w:val="0"/>
      <w:marTop w:val="0"/>
      <w:marBottom w:val="0"/>
      <w:divBdr>
        <w:top w:val="none" w:sz="0" w:space="0" w:color="auto"/>
        <w:left w:val="none" w:sz="0" w:space="0" w:color="auto"/>
        <w:bottom w:val="none" w:sz="0" w:space="0" w:color="auto"/>
        <w:right w:val="none" w:sz="0" w:space="0" w:color="auto"/>
      </w:divBdr>
    </w:div>
    <w:div w:id="1372421265">
      <w:bodyDiv w:val="1"/>
      <w:marLeft w:val="0"/>
      <w:marRight w:val="0"/>
      <w:marTop w:val="0"/>
      <w:marBottom w:val="0"/>
      <w:divBdr>
        <w:top w:val="none" w:sz="0" w:space="0" w:color="auto"/>
        <w:left w:val="none" w:sz="0" w:space="0" w:color="auto"/>
        <w:bottom w:val="none" w:sz="0" w:space="0" w:color="auto"/>
        <w:right w:val="none" w:sz="0" w:space="0" w:color="auto"/>
      </w:divBdr>
    </w:div>
    <w:div w:id="1399092110">
      <w:bodyDiv w:val="1"/>
      <w:marLeft w:val="0"/>
      <w:marRight w:val="0"/>
      <w:marTop w:val="0"/>
      <w:marBottom w:val="0"/>
      <w:divBdr>
        <w:top w:val="none" w:sz="0" w:space="0" w:color="auto"/>
        <w:left w:val="none" w:sz="0" w:space="0" w:color="auto"/>
        <w:bottom w:val="none" w:sz="0" w:space="0" w:color="auto"/>
        <w:right w:val="none" w:sz="0" w:space="0" w:color="auto"/>
      </w:divBdr>
    </w:div>
    <w:div w:id="1402173191">
      <w:bodyDiv w:val="1"/>
      <w:marLeft w:val="0"/>
      <w:marRight w:val="0"/>
      <w:marTop w:val="0"/>
      <w:marBottom w:val="0"/>
      <w:divBdr>
        <w:top w:val="none" w:sz="0" w:space="0" w:color="auto"/>
        <w:left w:val="none" w:sz="0" w:space="0" w:color="auto"/>
        <w:bottom w:val="none" w:sz="0" w:space="0" w:color="auto"/>
        <w:right w:val="none" w:sz="0" w:space="0" w:color="auto"/>
      </w:divBdr>
    </w:div>
    <w:div w:id="1423604673">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
    <w:div w:id="1480421627">
      <w:bodyDiv w:val="1"/>
      <w:marLeft w:val="0"/>
      <w:marRight w:val="0"/>
      <w:marTop w:val="0"/>
      <w:marBottom w:val="0"/>
      <w:divBdr>
        <w:top w:val="none" w:sz="0" w:space="0" w:color="auto"/>
        <w:left w:val="none" w:sz="0" w:space="0" w:color="auto"/>
        <w:bottom w:val="none" w:sz="0" w:space="0" w:color="auto"/>
        <w:right w:val="none" w:sz="0" w:space="0" w:color="auto"/>
      </w:divBdr>
    </w:div>
    <w:div w:id="1497838063">
      <w:bodyDiv w:val="1"/>
      <w:marLeft w:val="0"/>
      <w:marRight w:val="0"/>
      <w:marTop w:val="0"/>
      <w:marBottom w:val="0"/>
      <w:divBdr>
        <w:top w:val="none" w:sz="0" w:space="0" w:color="auto"/>
        <w:left w:val="none" w:sz="0" w:space="0" w:color="auto"/>
        <w:bottom w:val="none" w:sz="0" w:space="0" w:color="auto"/>
        <w:right w:val="none" w:sz="0" w:space="0" w:color="auto"/>
      </w:divBdr>
    </w:div>
    <w:div w:id="1516072091">
      <w:bodyDiv w:val="1"/>
      <w:marLeft w:val="0"/>
      <w:marRight w:val="0"/>
      <w:marTop w:val="0"/>
      <w:marBottom w:val="0"/>
      <w:divBdr>
        <w:top w:val="none" w:sz="0" w:space="0" w:color="auto"/>
        <w:left w:val="none" w:sz="0" w:space="0" w:color="auto"/>
        <w:bottom w:val="none" w:sz="0" w:space="0" w:color="auto"/>
        <w:right w:val="none" w:sz="0" w:space="0" w:color="auto"/>
      </w:divBdr>
    </w:div>
    <w:div w:id="1520503615">
      <w:bodyDiv w:val="1"/>
      <w:marLeft w:val="0"/>
      <w:marRight w:val="0"/>
      <w:marTop w:val="0"/>
      <w:marBottom w:val="0"/>
      <w:divBdr>
        <w:top w:val="none" w:sz="0" w:space="0" w:color="auto"/>
        <w:left w:val="none" w:sz="0" w:space="0" w:color="auto"/>
        <w:bottom w:val="none" w:sz="0" w:space="0" w:color="auto"/>
        <w:right w:val="none" w:sz="0" w:space="0" w:color="auto"/>
      </w:divBdr>
    </w:div>
    <w:div w:id="1581525117">
      <w:bodyDiv w:val="1"/>
      <w:marLeft w:val="0"/>
      <w:marRight w:val="0"/>
      <w:marTop w:val="0"/>
      <w:marBottom w:val="0"/>
      <w:divBdr>
        <w:top w:val="none" w:sz="0" w:space="0" w:color="auto"/>
        <w:left w:val="none" w:sz="0" w:space="0" w:color="auto"/>
        <w:bottom w:val="none" w:sz="0" w:space="0" w:color="auto"/>
        <w:right w:val="none" w:sz="0" w:space="0" w:color="auto"/>
      </w:divBdr>
    </w:div>
    <w:div w:id="1583446788">
      <w:bodyDiv w:val="1"/>
      <w:marLeft w:val="0"/>
      <w:marRight w:val="0"/>
      <w:marTop w:val="0"/>
      <w:marBottom w:val="0"/>
      <w:divBdr>
        <w:top w:val="none" w:sz="0" w:space="0" w:color="auto"/>
        <w:left w:val="none" w:sz="0" w:space="0" w:color="auto"/>
        <w:bottom w:val="none" w:sz="0" w:space="0" w:color="auto"/>
        <w:right w:val="none" w:sz="0" w:space="0" w:color="auto"/>
      </w:divBdr>
    </w:div>
    <w:div w:id="1685982375">
      <w:bodyDiv w:val="1"/>
      <w:marLeft w:val="0"/>
      <w:marRight w:val="0"/>
      <w:marTop w:val="0"/>
      <w:marBottom w:val="0"/>
      <w:divBdr>
        <w:top w:val="none" w:sz="0" w:space="0" w:color="auto"/>
        <w:left w:val="none" w:sz="0" w:space="0" w:color="auto"/>
        <w:bottom w:val="none" w:sz="0" w:space="0" w:color="auto"/>
        <w:right w:val="none" w:sz="0" w:space="0" w:color="auto"/>
      </w:divBdr>
    </w:div>
    <w:div w:id="1694189294">
      <w:bodyDiv w:val="1"/>
      <w:marLeft w:val="0"/>
      <w:marRight w:val="0"/>
      <w:marTop w:val="0"/>
      <w:marBottom w:val="0"/>
      <w:divBdr>
        <w:top w:val="none" w:sz="0" w:space="0" w:color="auto"/>
        <w:left w:val="none" w:sz="0" w:space="0" w:color="auto"/>
        <w:bottom w:val="none" w:sz="0" w:space="0" w:color="auto"/>
        <w:right w:val="none" w:sz="0" w:space="0" w:color="auto"/>
      </w:divBdr>
    </w:div>
    <w:div w:id="1872763338">
      <w:bodyDiv w:val="1"/>
      <w:marLeft w:val="0"/>
      <w:marRight w:val="0"/>
      <w:marTop w:val="0"/>
      <w:marBottom w:val="0"/>
      <w:divBdr>
        <w:top w:val="none" w:sz="0" w:space="0" w:color="auto"/>
        <w:left w:val="none" w:sz="0" w:space="0" w:color="auto"/>
        <w:bottom w:val="none" w:sz="0" w:space="0" w:color="auto"/>
        <w:right w:val="none" w:sz="0" w:space="0" w:color="auto"/>
      </w:divBdr>
    </w:div>
    <w:div w:id="1910262761">
      <w:bodyDiv w:val="1"/>
      <w:marLeft w:val="0"/>
      <w:marRight w:val="0"/>
      <w:marTop w:val="0"/>
      <w:marBottom w:val="0"/>
      <w:divBdr>
        <w:top w:val="none" w:sz="0" w:space="0" w:color="auto"/>
        <w:left w:val="none" w:sz="0" w:space="0" w:color="auto"/>
        <w:bottom w:val="none" w:sz="0" w:space="0" w:color="auto"/>
        <w:right w:val="none" w:sz="0" w:space="0" w:color="auto"/>
      </w:divBdr>
    </w:div>
    <w:div w:id="1912734652">
      <w:bodyDiv w:val="1"/>
      <w:marLeft w:val="0"/>
      <w:marRight w:val="0"/>
      <w:marTop w:val="0"/>
      <w:marBottom w:val="0"/>
      <w:divBdr>
        <w:top w:val="none" w:sz="0" w:space="0" w:color="auto"/>
        <w:left w:val="none" w:sz="0" w:space="0" w:color="auto"/>
        <w:bottom w:val="none" w:sz="0" w:space="0" w:color="auto"/>
        <w:right w:val="none" w:sz="0" w:space="0" w:color="auto"/>
      </w:divBdr>
    </w:div>
    <w:div w:id="2017875677">
      <w:bodyDiv w:val="1"/>
      <w:marLeft w:val="0"/>
      <w:marRight w:val="0"/>
      <w:marTop w:val="0"/>
      <w:marBottom w:val="0"/>
      <w:divBdr>
        <w:top w:val="none" w:sz="0" w:space="0" w:color="auto"/>
        <w:left w:val="none" w:sz="0" w:space="0" w:color="auto"/>
        <w:bottom w:val="none" w:sz="0" w:space="0" w:color="auto"/>
        <w:right w:val="none" w:sz="0" w:space="0" w:color="auto"/>
      </w:divBdr>
    </w:div>
    <w:div w:id="2035381724">
      <w:bodyDiv w:val="1"/>
      <w:marLeft w:val="0"/>
      <w:marRight w:val="0"/>
      <w:marTop w:val="0"/>
      <w:marBottom w:val="0"/>
      <w:divBdr>
        <w:top w:val="none" w:sz="0" w:space="0" w:color="auto"/>
        <w:left w:val="none" w:sz="0" w:space="0" w:color="auto"/>
        <w:bottom w:val="none" w:sz="0" w:space="0" w:color="auto"/>
        <w:right w:val="none" w:sz="0" w:space="0" w:color="auto"/>
      </w:divBdr>
    </w:div>
    <w:div w:id="2065904374">
      <w:bodyDiv w:val="1"/>
      <w:marLeft w:val="0"/>
      <w:marRight w:val="0"/>
      <w:marTop w:val="0"/>
      <w:marBottom w:val="0"/>
      <w:divBdr>
        <w:top w:val="none" w:sz="0" w:space="0" w:color="auto"/>
        <w:left w:val="none" w:sz="0" w:space="0" w:color="auto"/>
        <w:bottom w:val="none" w:sz="0" w:space="0" w:color="auto"/>
        <w:right w:val="none" w:sz="0" w:space="0" w:color="auto"/>
      </w:divBdr>
      <w:divsChild>
        <w:div w:id="1323579282">
          <w:marLeft w:val="1267"/>
          <w:marRight w:val="0"/>
          <w:marTop w:val="240"/>
          <w:marBottom w:val="0"/>
          <w:divBdr>
            <w:top w:val="none" w:sz="0" w:space="0" w:color="auto"/>
            <w:left w:val="none" w:sz="0" w:space="0" w:color="auto"/>
            <w:bottom w:val="none" w:sz="0" w:space="0" w:color="auto"/>
            <w:right w:val="none" w:sz="0" w:space="0" w:color="auto"/>
          </w:divBdr>
        </w:div>
      </w:divsChild>
    </w:div>
    <w:div w:id="2066101044">
      <w:bodyDiv w:val="1"/>
      <w:marLeft w:val="0"/>
      <w:marRight w:val="0"/>
      <w:marTop w:val="0"/>
      <w:marBottom w:val="0"/>
      <w:divBdr>
        <w:top w:val="none" w:sz="0" w:space="0" w:color="auto"/>
        <w:left w:val="none" w:sz="0" w:space="0" w:color="auto"/>
        <w:bottom w:val="none" w:sz="0" w:space="0" w:color="auto"/>
        <w:right w:val="none" w:sz="0" w:space="0" w:color="auto"/>
      </w:divBdr>
    </w:div>
    <w:div w:id="2079398370">
      <w:bodyDiv w:val="1"/>
      <w:marLeft w:val="0"/>
      <w:marRight w:val="0"/>
      <w:marTop w:val="0"/>
      <w:marBottom w:val="0"/>
      <w:divBdr>
        <w:top w:val="none" w:sz="0" w:space="0" w:color="auto"/>
        <w:left w:val="none" w:sz="0" w:space="0" w:color="auto"/>
        <w:bottom w:val="none" w:sz="0" w:space="0" w:color="auto"/>
        <w:right w:val="none" w:sz="0" w:space="0" w:color="auto"/>
      </w:divBdr>
    </w:div>
    <w:div w:id="2116559546">
      <w:bodyDiv w:val="1"/>
      <w:marLeft w:val="0"/>
      <w:marRight w:val="0"/>
      <w:marTop w:val="0"/>
      <w:marBottom w:val="0"/>
      <w:divBdr>
        <w:top w:val="none" w:sz="0" w:space="0" w:color="auto"/>
        <w:left w:val="none" w:sz="0" w:space="0" w:color="auto"/>
        <w:bottom w:val="none" w:sz="0" w:space="0" w:color="auto"/>
        <w:right w:val="none" w:sz="0" w:space="0" w:color="auto"/>
      </w:divBdr>
    </w:div>
    <w:div w:id="21180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rdamar@london.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9Azw3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wdb5a/?view_only=397426d95640458594ef8808c5275e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cki.morwitz@columbia.edu" TargetMode="External"/><Relationship Id="rId4" Type="http://schemas.openxmlformats.org/officeDocument/2006/relationships/settings" Target="settings.xml"/><Relationship Id="rId9" Type="http://schemas.openxmlformats.org/officeDocument/2006/relationships/hyperlink" Target="mailto:sbotti@londo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5728-7303-4E5B-A2E2-7F2A5D3E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7210</Words>
  <Characters>41101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Morwitz, Vicki</dc:creator>
  <cp:keywords/>
  <dc:description/>
  <cp:lastModifiedBy>Aruna Bansal</cp:lastModifiedBy>
  <cp:revision>2</cp:revision>
  <cp:lastPrinted>2021-05-14T22:37:00Z</cp:lastPrinted>
  <dcterms:created xsi:type="dcterms:W3CDTF">2021-11-04T10:42:00Z</dcterms:created>
  <dcterms:modified xsi:type="dcterms:W3CDTF">2021-11-04T10:42:00Z</dcterms:modified>
</cp:coreProperties>
</file>