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8D0A" w14:textId="77777777" w:rsidR="001F1765" w:rsidRPr="00D338B6" w:rsidRDefault="001F1765" w:rsidP="001F1765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38B6">
        <w:rPr>
          <w:rFonts w:ascii="Times New Roman" w:hAnsi="Times New Roman" w:cs="Times New Roman"/>
          <w:b/>
          <w:bCs/>
          <w:sz w:val="24"/>
          <w:szCs w:val="24"/>
        </w:rPr>
        <w:t xml:space="preserve">Corporate Social </w:t>
      </w:r>
      <w:proofErr w:type="spellStart"/>
      <w:r w:rsidRPr="00D338B6">
        <w:rPr>
          <w:rFonts w:ascii="Times New Roman" w:hAnsi="Times New Roman" w:cs="Times New Roman"/>
          <w:b/>
          <w:bCs/>
          <w:sz w:val="24"/>
          <w:szCs w:val="24"/>
        </w:rPr>
        <w:t>Counterpositioning</w:t>
      </w:r>
      <w:proofErr w:type="spellEnd"/>
      <w:r w:rsidRPr="00D338B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B6">
        <w:rPr>
          <w:rFonts w:ascii="Times New Roman" w:hAnsi="Times New Roman" w:cs="Times New Roman"/>
          <w:b/>
          <w:bCs/>
          <w:sz w:val="24"/>
          <w:szCs w:val="24"/>
        </w:rPr>
        <w:t>How Attributes of Social Issues Influence Competitive Response</w:t>
      </w:r>
    </w:p>
    <w:p w14:paraId="35708C54" w14:textId="77777777" w:rsidR="001F1765" w:rsidRDefault="001F1765" w:rsidP="001F1765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Aharon</w:t>
      </w:r>
      <w:proofErr w:type="spellEnd"/>
      <w:r>
        <w:rPr>
          <w:rFonts w:ascii="Times New Roman" w:hAnsi="Times New Roman" w:cs="Times New Roman"/>
          <w:b/>
          <w:bCs/>
        </w:rPr>
        <w:t xml:space="preserve"> Cohen-</w:t>
      </w:r>
      <w:proofErr w:type="spellStart"/>
      <w:r>
        <w:rPr>
          <w:rFonts w:ascii="Times New Roman" w:hAnsi="Times New Roman" w:cs="Times New Roman"/>
          <w:b/>
          <w:bCs/>
        </w:rPr>
        <w:t>Mohliver</w:t>
      </w:r>
      <w:proofErr w:type="spellEnd"/>
      <w:r>
        <w:rPr>
          <w:rFonts w:ascii="Times New Roman" w:hAnsi="Times New Roman" w:cs="Times New Roman"/>
          <w:b/>
          <w:bCs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</w:rPr>
        <w:t>Donal</w:t>
      </w:r>
      <w:proofErr w:type="spellEnd"/>
      <w:r>
        <w:rPr>
          <w:rFonts w:ascii="Times New Roman" w:hAnsi="Times New Roman" w:cs="Times New Roman"/>
          <w:b/>
          <w:bCs/>
        </w:rPr>
        <w:t xml:space="preserve"> Crilly; </w:t>
      </w:r>
      <w:proofErr w:type="spellStart"/>
      <w:r>
        <w:rPr>
          <w:rFonts w:ascii="Times New Roman" w:hAnsi="Times New Roman" w:cs="Times New Roman"/>
          <w:b/>
          <w:bCs/>
        </w:rPr>
        <w:t>Aseem</w:t>
      </w:r>
      <w:proofErr w:type="spellEnd"/>
      <w:r>
        <w:rPr>
          <w:rFonts w:ascii="Times New Roman" w:hAnsi="Times New Roman" w:cs="Times New Roman"/>
          <w:b/>
          <w:bCs/>
        </w:rPr>
        <w:t xml:space="preserve"> Kaul</w:t>
      </w:r>
    </w:p>
    <w:p w14:paraId="39C4483C" w14:textId="77777777" w:rsidR="001F1765" w:rsidRDefault="001F1765" w:rsidP="001F1765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0BC604F3" w14:textId="77777777" w:rsidR="001F1765" w:rsidRPr="001F1765" w:rsidRDefault="001F1765" w:rsidP="001F176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1F176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Online Appendix C: Chick-Fil-A’s performance</w:t>
      </w:r>
    </w:p>
    <w:p w14:paraId="46B8A72F" w14:textId="77777777" w:rsidR="001F1765" w:rsidRPr="00A046E7" w:rsidRDefault="001F1765" w:rsidP="001F1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4F285CD" w14:textId="77777777" w:rsidR="001F1765" w:rsidRPr="00A046E7" w:rsidRDefault="001F1765" w:rsidP="001F1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6E7">
        <w:rPr>
          <w:rFonts w:ascii="Times New Roman" w:hAnsi="Times New Roman" w:cs="Times New Roman"/>
          <w:sz w:val="24"/>
          <w:szCs w:val="24"/>
        </w:rPr>
        <w:t>In this appendix, we plot the</w:t>
      </w:r>
      <w:r>
        <w:rPr>
          <w:rFonts w:ascii="Times New Roman" w:hAnsi="Times New Roman" w:cs="Times New Roman"/>
          <w:sz w:val="24"/>
          <w:szCs w:val="24"/>
        </w:rPr>
        <w:t xml:space="preserve"> aggregate</w:t>
      </w:r>
      <w:r w:rsidRPr="00A046E7">
        <w:rPr>
          <w:rFonts w:ascii="Times New Roman" w:hAnsi="Times New Roman" w:cs="Times New Roman"/>
          <w:sz w:val="24"/>
          <w:szCs w:val="24"/>
        </w:rPr>
        <w:t xml:space="preserve"> revenue</w:t>
      </w:r>
      <w:r>
        <w:rPr>
          <w:rFonts w:ascii="Times New Roman" w:hAnsi="Times New Roman" w:cs="Times New Roman"/>
          <w:sz w:val="24"/>
          <w:szCs w:val="24"/>
        </w:rPr>
        <w:t xml:space="preserve"> and per-unit revenue</w:t>
      </w:r>
      <w:r w:rsidRPr="00A046E7">
        <w:rPr>
          <w:rFonts w:ascii="Times New Roman" w:hAnsi="Times New Roman" w:cs="Times New Roman"/>
          <w:sz w:val="24"/>
          <w:szCs w:val="24"/>
        </w:rPr>
        <w:t xml:space="preserve"> of Chick-fil-A against that of KFC, the other major fried-chicken chain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A046E7">
        <w:rPr>
          <w:rFonts w:ascii="Times New Roman" w:hAnsi="Times New Roman" w:cs="Times New Roman"/>
          <w:sz w:val="24"/>
          <w:szCs w:val="24"/>
        </w:rPr>
        <w:t xml:space="preserve"> 2010 to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046E7">
        <w:rPr>
          <w:rFonts w:ascii="Times New Roman" w:hAnsi="Times New Roman" w:cs="Times New Roman"/>
          <w:sz w:val="24"/>
          <w:szCs w:val="24"/>
        </w:rPr>
        <w:t xml:space="preserve">. The graphs thus show the trends in Chick-fil-A’s sales relative to its closest competitor in the years immediately before and long after its decision to </w:t>
      </w:r>
      <w:proofErr w:type="spellStart"/>
      <w:r w:rsidRPr="00A046E7">
        <w:rPr>
          <w:rFonts w:ascii="Times New Roman" w:hAnsi="Times New Roman" w:cs="Times New Roman"/>
          <w:sz w:val="24"/>
          <w:szCs w:val="24"/>
        </w:rPr>
        <w:t>counterposition</w:t>
      </w:r>
      <w:proofErr w:type="spellEnd"/>
      <w:r w:rsidRPr="00A046E7">
        <w:rPr>
          <w:rFonts w:ascii="Times New Roman" w:hAnsi="Times New Roman" w:cs="Times New Roman"/>
          <w:sz w:val="24"/>
          <w:szCs w:val="24"/>
        </w:rPr>
        <w:t xml:space="preserve"> itself as an opponent of LGBTQ rights in 2012 (shown as a dashed line). We acknowledge that revenue is not profit; unfortunately, reliable profit numbers on the company are hard to obtain since it is private. As discussed in the main manuscript, these graphs are not meant to claim a causal relationship between Chick-fil-A’s stance on LGBTQ rights and its subsequent performance; simply to show how Chick-fil-A has performed (relative to competition) over the last decade.</w:t>
      </w:r>
    </w:p>
    <w:p w14:paraId="5703C723" w14:textId="77777777" w:rsidR="001F1765" w:rsidRPr="00A046E7" w:rsidRDefault="001F1765" w:rsidP="001F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B765C" w14:textId="77777777" w:rsidR="001F1765" w:rsidRPr="00A046E7" w:rsidRDefault="001F1765" w:rsidP="001F1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187E1" wp14:editId="5DA6B5C0">
                <wp:simplePos x="0" y="0"/>
                <wp:positionH relativeFrom="column">
                  <wp:posOffset>2171699</wp:posOffset>
                </wp:positionH>
                <wp:positionV relativeFrom="paragraph">
                  <wp:posOffset>315595</wp:posOffset>
                </wp:positionV>
                <wp:extent cx="9525" cy="947420"/>
                <wp:effectExtent l="0" t="0" r="28575" b="241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47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FB355" id="Straight Connector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24.85pt" to="171.75pt,9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&#13;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F977FFB" wp14:editId="5215BC57">
            <wp:extent cx="3771900" cy="1990725"/>
            <wp:effectExtent l="0" t="0" r="0" b="952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8B0082C2-C523-30F2-8566-8AE473F4DD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7F88FCC" w14:textId="77777777" w:rsidR="001F1765" w:rsidRDefault="001F1765" w:rsidP="001F1765">
      <w:pPr>
        <w:spacing w:after="0" w:line="240" w:lineRule="auto"/>
        <w:jc w:val="center"/>
        <w:rPr>
          <w:rFonts w:ascii="Garamond" w:eastAsia="Times New Roman" w:hAnsi="Garamond" w:cstheme="majorBidi"/>
          <w:b/>
          <w:sz w:val="24"/>
          <w:szCs w:val="24"/>
          <w:lang w:val="en-GB"/>
        </w:rPr>
      </w:pPr>
      <w:r>
        <w:rPr>
          <w:rFonts w:ascii="Garamond" w:eastAsia="Times New Roman" w:hAnsi="Garamond" w:cstheme="majorBidi"/>
          <w:b/>
          <w:sz w:val="24"/>
          <w:szCs w:val="24"/>
          <w:lang w:val="en-GB"/>
        </w:rPr>
        <w:t>Figure C.1. Revenue per Unit</w:t>
      </w:r>
    </w:p>
    <w:p w14:paraId="55B15FEC" w14:textId="77777777" w:rsidR="001F1765" w:rsidRDefault="001F1765" w:rsidP="001F1765">
      <w:pPr>
        <w:spacing w:after="0" w:line="240" w:lineRule="auto"/>
        <w:jc w:val="center"/>
        <w:rPr>
          <w:rFonts w:ascii="Garamond" w:eastAsia="Times New Roman" w:hAnsi="Garamond" w:cstheme="majorBidi"/>
          <w:b/>
          <w:sz w:val="24"/>
          <w:szCs w:val="24"/>
          <w:lang w:val="en-GB"/>
        </w:rPr>
      </w:pPr>
    </w:p>
    <w:p w14:paraId="10B9C045" w14:textId="77777777" w:rsidR="001F1765" w:rsidRDefault="001F1765" w:rsidP="001F1765">
      <w:pPr>
        <w:spacing w:after="0" w:line="240" w:lineRule="auto"/>
        <w:jc w:val="center"/>
        <w:rPr>
          <w:rFonts w:ascii="Garamond" w:eastAsia="Times New Roman" w:hAnsi="Garamond" w:cstheme="majorBidi"/>
          <w:b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72E9F" wp14:editId="0DF45B83">
                <wp:simplePos x="0" y="0"/>
                <wp:positionH relativeFrom="column">
                  <wp:posOffset>2181225</wp:posOffset>
                </wp:positionH>
                <wp:positionV relativeFrom="paragraph">
                  <wp:posOffset>267970</wp:posOffset>
                </wp:positionV>
                <wp:extent cx="5080" cy="995045"/>
                <wp:effectExtent l="0" t="0" r="33020" b="336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80" cy="995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85216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21.1pt" to="172.15pt,9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&#13;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2676A95" wp14:editId="0470C69A">
            <wp:extent cx="3881120" cy="1704975"/>
            <wp:effectExtent l="0" t="0" r="5080" b="952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4C0BE297-D774-5081-48C4-1308AD3045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111E13F" w14:textId="77777777" w:rsidR="001F1765" w:rsidRPr="00AE2B0F" w:rsidRDefault="001F1765" w:rsidP="001F1765">
      <w:pPr>
        <w:spacing w:line="240" w:lineRule="auto"/>
        <w:jc w:val="center"/>
        <w:rPr>
          <w:lang w:val="fr-FR"/>
        </w:rPr>
      </w:pPr>
      <w:r w:rsidRPr="00AE2B0F">
        <w:rPr>
          <w:rFonts w:ascii="Garamond" w:eastAsia="Times New Roman" w:hAnsi="Garamond" w:cstheme="majorBidi"/>
          <w:b/>
          <w:sz w:val="24"/>
          <w:szCs w:val="24"/>
          <w:lang w:val="fr-FR"/>
        </w:rPr>
        <w:t>Figure C.2 Total Revenue</w:t>
      </w:r>
    </w:p>
    <w:p w14:paraId="65FB00FB" w14:textId="77777777" w:rsidR="001F1765" w:rsidRDefault="001F1765" w:rsidP="001F1765">
      <w:proofErr w:type="gramStart"/>
      <w:r w:rsidRPr="00AE2B0F">
        <w:rPr>
          <w:rFonts w:ascii="Times New Roman" w:hAnsi="Times New Roman" w:cs="Times New Roman"/>
          <w:lang w:val="fr-FR"/>
        </w:rPr>
        <w:t>Sources:</w:t>
      </w:r>
      <w:proofErr w:type="gramEnd"/>
      <w:r w:rsidRPr="00AE2B0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QSR Magazine, and restaurantbusinessonline.com</w:t>
      </w:r>
    </w:p>
    <w:p w14:paraId="30A4C7BE" w14:textId="77777777" w:rsidR="00262790" w:rsidRDefault="00262790"/>
    <w:sectPr w:rsidR="00262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65"/>
    <w:rsid w:val="001E530C"/>
    <w:rsid w:val="001F1765"/>
    <w:rsid w:val="00262790"/>
    <w:rsid w:val="00A7621A"/>
    <w:rsid w:val="00D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C946E"/>
  <w15:chartTrackingRefBased/>
  <w15:docId w15:val="{F99EBA7A-6FAC-CE45-9897-3299CEED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65"/>
    <w:pPr>
      <w:spacing w:after="200" w:line="276" w:lineRule="auto"/>
    </w:pPr>
    <w:rPr>
      <w:rFonts w:eastAsiaTheme="minorEastAsia"/>
      <w:sz w:val="22"/>
      <w:szCs w:val="22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rilly\Dropbox\Distribution_CSR\Chick_fil_A_KFC_sales.od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rilly\Dropbox\Distribution_CSR\Chick_fil_A_KFC_sales.od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400" b="0" i="0" u="none" strike="noStrike" kern="1200" spc="0" baseline="0">
                <a:solidFill>
                  <a:srgbClr val="595959"/>
                </a:solidFill>
                <a:latin typeface="Calibri"/>
              </a:defRPr>
            </a:pPr>
            <a:r>
              <a:rPr lang="en-GB" sz="1200" b="0" i="0" u="none" strike="noStrike" kern="1200" cap="none" spc="0" baseline="0">
                <a:solidFill>
                  <a:srgbClr val="595959"/>
                </a:solidFill>
                <a:uFillTx/>
                <a:latin typeface="Calibri"/>
              </a:rPr>
              <a:t>Sales per unit ($ thousands</a:t>
            </a:r>
            <a:r>
              <a:rPr lang="en-GB" sz="1400" b="0" i="0" u="none" strike="noStrike" kern="1200" cap="none" spc="0" baseline="0">
                <a:solidFill>
                  <a:srgbClr val="595959"/>
                </a:solidFill>
                <a:uFillTx/>
                <a:latin typeface="Calibri"/>
              </a:rPr>
              <a:t>)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881863251941992"/>
          <c:y val="4.3565535169347851E-2"/>
          <c:w val="0.85350459980381244"/>
          <c:h val="0.57352673021135514"/>
        </c:manualLayout>
      </c:layout>
      <c:lineChart>
        <c:grouping val="standard"/>
        <c:varyColors val="0"/>
        <c:ser>
          <c:idx val="0"/>
          <c:order val="0"/>
          <c:tx>
            <c:strRef>
              <c:f>Sheet1!$G$4</c:f>
              <c:strCache>
                <c:ptCount val="1"/>
                <c:pt idx="0">
                  <c:v>Chick-fil-A</c:v>
                </c:pt>
              </c:strCache>
            </c:strRef>
          </c:tx>
          <c:spPr>
            <a:ln w="28575" cap="rnd">
              <a:solidFill>
                <a:srgbClr val="4472C4"/>
              </a:solidFill>
              <a:prstDash val="solid"/>
              <a:round/>
            </a:ln>
          </c:spPr>
          <c:marker>
            <c:symbol val="none"/>
          </c:marker>
          <c:cat>
            <c:numRef>
              <c:f>Sheet1!$F$5:$F$15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Sheet1!$G$5:$G$15</c:f>
              <c:numCache>
                <c:formatCode>General</c:formatCode>
                <c:ptCount val="11"/>
                <c:pt idx="0">
                  <c:v>2694.4</c:v>
                </c:pt>
                <c:pt idx="1">
                  <c:v>2893.5</c:v>
                </c:pt>
                <c:pt idx="2">
                  <c:v>3157.9</c:v>
                </c:pt>
                <c:pt idx="3">
                  <c:v>3200</c:v>
                </c:pt>
                <c:pt idx="4">
                  <c:v>3064.2</c:v>
                </c:pt>
                <c:pt idx="5">
                  <c:v>3226</c:v>
                </c:pt>
                <c:pt idx="6">
                  <c:v>3270</c:v>
                </c:pt>
                <c:pt idx="7">
                  <c:v>3989</c:v>
                </c:pt>
                <c:pt idx="8">
                  <c:v>4295</c:v>
                </c:pt>
                <c:pt idx="9">
                  <c:v>4583</c:v>
                </c:pt>
                <c:pt idx="10">
                  <c:v>5169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C5-D541-A48A-8E77B755F87B}"/>
            </c:ext>
          </c:extLst>
        </c:ser>
        <c:ser>
          <c:idx val="1"/>
          <c:order val="1"/>
          <c:tx>
            <c:strRef>
              <c:f>Sheet1!$H$4</c:f>
              <c:strCache>
                <c:ptCount val="1"/>
                <c:pt idx="0">
                  <c:v>KFC</c:v>
                </c:pt>
              </c:strCache>
            </c:strRef>
          </c:tx>
          <c:spPr>
            <a:ln w="28575" cap="rnd">
              <a:solidFill>
                <a:srgbClr val="ED7D31"/>
              </a:solidFill>
              <a:prstDash val="solid"/>
              <a:round/>
            </a:ln>
          </c:spPr>
          <c:marker>
            <c:symbol val="none"/>
          </c:marker>
          <c:cat>
            <c:numRef>
              <c:f>Sheet1!$F$5:$F$15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Sheet1!$H$5:$H$15</c:f>
              <c:numCache>
                <c:formatCode>General</c:formatCode>
                <c:ptCount val="11"/>
                <c:pt idx="0">
                  <c:v>933</c:v>
                </c:pt>
                <c:pt idx="1">
                  <c:v>940</c:v>
                </c:pt>
                <c:pt idx="2">
                  <c:v>957</c:v>
                </c:pt>
                <c:pt idx="3">
                  <c:v>942</c:v>
                </c:pt>
                <c:pt idx="4">
                  <c:v>960</c:v>
                </c:pt>
                <c:pt idx="5">
                  <c:v>937</c:v>
                </c:pt>
                <c:pt idx="6">
                  <c:v>1076</c:v>
                </c:pt>
                <c:pt idx="7">
                  <c:v>1075</c:v>
                </c:pt>
                <c:pt idx="8">
                  <c:v>1088</c:v>
                </c:pt>
                <c:pt idx="9">
                  <c:v>1118</c:v>
                </c:pt>
                <c:pt idx="10">
                  <c:v>1203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C5-D541-A48A-8E77B755F8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3648191"/>
        <c:axId val="1553639455"/>
      </c:lineChart>
      <c:valAx>
        <c:axId val="15536394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553648191"/>
        <c:crosses val="autoZero"/>
        <c:crossBetween val="between"/>
      </c:valAx>
      <c:catAx>
        <c:axId val="15536481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553639455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n-US" sz="1000" b="0" i="0" u="none" strike="noStrike" kern="1200" baseline="0">
          <a:solidFill>
            <a:srgbClr val="000000"/>
          </a:solidFill>
          <a:latin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400" b="0" i="0" u="none" strike="noStrike" kern="1200" spc="0" baseline="0">
                <a:solidFill>
                  <a:srgbClr val="595959"/>
                </a:solidFill>
                <a:latin typeface="Calibri"/>
              </a:defRPr>
            </a:pPr>
            <a:r>
              <a:rPr lang="en-GB" sz="1200" b="0" i="0" u="none" strike="noStrike" kern="1200" cap="none" spc="0" baseline="0">
                <a:solidFill>
                  <a:srgbClr val="595959"/>
                </a:solidFill>
                <a:uFillTx/>
                <a:latin typeface="Calibri"/>
              </a:rPr>
              <a:t>Total sales ($ millions)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19742754668754"/>
          <c:y val="0.25810055865921783"/>
          <c:w val="0.84080780805540667"/>
          <c:h val="0.39870848546166365"/>
        </c:manualLayout>
      </c:layout>
      <c:lineChart>
        <c:grouping val="standard"/>
        <c:varyColors val="0"/>
        <c:ser>
          <c:idx val="0"/>
          <c:order val="0"/>
          <c:tx>
            <c:strRef>
              <c:f>Sheet1!$D$4</c:f>
              <c:strCache>
                <c:ptCount val="1"/>
                <c:pt idx="0">
                  <c:v>Chick-fil-A</c:v>
                </c:pt>
              </c:strCache>
            </c:strRef>
          </c:tx>
          <c:spPr>
            <a:ln w="28575" cap="rnd">
              <a:solidFill>
                <a:srgbClr val="4472C4"/>
              </a:solidFill>
              <a:prstDash val="solid"/>
              <a:round/>
            </a:ln>
          </c:spPr>
          <c:marker>
            <c:symbol val="none"/>
          </c:marker>
          <c:cat>
            <c:numRef>
              <c:f>Sheet1!$C$5:$C$15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Sheet1!$D$5:$D$15</c:f>
              <c:numCache>
                <c:formatCode>General</c:formatCode>
                <c:ptCount val="11"/>
                <c:pt idx="0">
                  <c:v>3582.2</c:v>
                </c:pt>
                <c:pt idx="1">
                  <c:v>4051</c:v>
                </c:pt>
                <c:pt idx="2">
                  <c:v>4621.1000000000004</c:v>
                </c:pt>
                <c:pt idx="3">
                  <c:v>5000</c:v>
                </c:pt>
                <c:pt idx="4">
                  <c:v>5782.2</c:v>
                </c:pt>
                <c:pt idx="5">
                  <c:v>6291</c:v>
                </c:pt>
                <c:pt idx="6">
                  <c:v>6743</c:v>
                </c:pt>
                <c:pt idx="7">
                  <c:v>9020</c:v>
                </c:pt>
                <c:pt idx="8">
                  <c:v>10180</c:v>
                </c:pt>
                <c:pt idx="9">
                  <c:v>11320</c:v>
                </c:pt>
                <c:pt idx="10">
                  <c:v>13745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54-9A45-B4AC-D384837342B0}"/>
            </c:ext>
          </c:extLst>
        </c:ser>
        <c:ser>
          <c:idx val="1"/>
          <c:order val="1"/>
          <c:tx>
            <c:strRef>
              <c:f>Sheet1!$E$4</c:f>
              <c:strCache>
                <c:ptCount val="1"/>
                <c:pt idx="0">
                  <c:v>KFC</c:v>
                </c:pt>
              </c:strCache>
            </c:strRef>
          </c:tx>
          <c:spPr>
            <a:ln w="28575" cap="rnd">
              <a:solidFill>
                <a:srgbClr val="ED7D31"/>
              </a:solidFill>
              <a:prstDash val="solid"/>
              <a:round/>
            </a:ln>
          </c:spPr>
          <c:marker>
            <c:symbol val="none"/>
          </c:marker>
          <c:cat>
            <c:numRef>
              <c:f>Sheet1!$C$5:$C$15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Sheet1!$E$5:$E$15</c:f>
              <c:numCache>
                <c:formatCode>General</c:formatCode>
                <c:ptCount val="11"/>
                <c:pt idx="0">
                  <c:v>4700</c:v>
                </c:pt>
                <c:pt idx="1">
                  <c:v>4500</c:v>
                </c:pt>
                <c:pt idx="2">
                  <c:v>4459</c:v>
                </c:pt>
                <c:pt idx="3">
                  <c:v>4200</c:v>
                </c:pt>
                <c:pt idx="4">
                  <c:v>4200</c:v>
                </c:pt>
                <c:pt idx="5">
                  <c:v>4001</c:v>
                </c:pt>
                <c:pt idx="6">
                  <c:v>4483.3</c:v>
                </c:pt>
                <c:pt idx="7">
                  <c:v>4417.05</c:v>
                </c:pt>
                <c:pt idx="8">
                  <c:v>4433</c:v>
                </c:pt>
                <c:pt idx="9">
                  <c:v>4546</c:v>
                </c:pt>
                <c:pt idx="10">
                  <c:v>4742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54-9A45-B4AC-D384837342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3640287"/>
        <c:axId val="1553644031"/>
      </c:lineChart>
      <c:valAx>
        <c:axId val="15536440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553640287"/>
        <c:crosses val="autoZero"/>
        <c:crossBetween val="between"/>
      </c:valAx>
      <c:catAx>
        <c:axId val="1553640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553644031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n-US" sz="1000" b="0" i="0" u="none" strike="noStrike" kern="1200" baseline="0">
          <a:solidFill>
            <a:srgbClr val="000000"/>
          </a:solidFill>
          <a:latin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Cohen Mohliver</dc:creator>
  <cp:keywords/>
  <dc:description/>
  <cp:lastModifiedBy>Aharon Cohen Mohliver</cp:lastModifiedBy>
  <cp:revision>1</cp:revision>
  <dcterms:created xsi:type="dcterms:W3CDTF">2022-10-06T07:46:00Z</dcterms:created>
  <dcterms:modified xsi:type="dcterms:W3CDTF">2022-10-06T07:48:00Z</dcterms:modified>
</cp:coreProperties>
</file>