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1368" w14:textId="77777777" w:rsidR="00356EC3" w:rsidRPr="00F25441" w:rsidRDefault="002C44D9" w:rsidP="002C44D9">
      <w:pPr>
        <w:spacing w:line="480" w:lineRule="auto"/>
        <w:jc w:val="center"/>
        <w:rPr>
          <w:b/>
          <w:bCs/>
          <w:sz w:val="28"/>
          <w:szCs w:val="21"/>
          <w:lang w:val="en-US"/>
        </w:rPr>
      </w:pPr>
      <w:r w:rsidRPr="00F25441">
        <w:rPr>
          <w:b/>
          <w:bCs/>
          <w:sz w:val="28"/>
          <w:szCs w:val="21"/>
          <w:lang w:val="en-US"/>
        </w:rPr>
        <w:t xml:space="preserve">What drives corporate social performance? </w:t>
      </w:r>
    </w:p>
    <w:p w14:paraId="68DE70D0" w14:textId="0AFC74B6" w:rsidR="001025F2" w:rsidRPr="00F25441" w:rsidRDefault="002C44D9" w:rsidP="002C44D9">
      <w:pPr>
        <w:spacing w:line="480" w:lineRule="auto"/>
        <w:jc w:val="center"/>
        <w:rPr>
          <w:b/>
          <w:bCs/>
          <w:sz w:val="28"/>
          <w:szCs w:val="21"/>
          <w:lang w:val="en-US"/>
        </w:rPr>
      </w:pPr>
      <w:r w:rsidRPr="00F25441">
        <w:rPr>
          <w:b/>
          <w:bCs/>
          <w:sz w:val="28"/>
          <w:szCs w:val="21"/>
          <w:lang w:val="en-US"/>
        </w:rPr>
        <w:t>The role of nation-level institutions</w:t>
      </w:r>
    </w:p>
    <w:p w14:paraId="1DE157DA" w14:textId="3C768C2F" w:rsidR="002C44D9" w:rsidRPr="00F25441" w:rsidRDefault="002C44D9" w:rsidP="002C44D9">
      <w:pPr>
        <w:spacing w:line="480" w:lineRule="auto"/>
        <w:jc w:val="center"/>
        <w:rPr>
          <w:b/>
          <w:bCs/>
          <w:sz w:val="28"/>
          <w:szCs w:val="21"/>
          <w:lang w:val="en-US"/>
        </w:rPr>
      </w:pPr>
      <w:r w:rsidRPr="00F25441">
        <w:rPr>
          <w:b/>
          <w:bCs/>
          <w:sz w:val="28"/>
          <w:szCs w:val="21"/>
          <w:lang w:val="en-US"/>
        </w:rPr>
        <w:t>RETROSPECTIVE</w:t>
      </w:r>
    </w:p>
    <w:p w14:paraId="74E02ABE" w14:textId="77777777" w:rsidR="00356EC3" w:rsidRPr="00F25441" w:rsidRDefault="00356EC3" w:rsidP="00356EC3">
      <w:pPr>
        <w:spacing w:line="276" w:lineRule="auto"/>
        <w:jc w:val="center"/>
        <w:rPr>
          <w:b/>
          <w:bCs/>
          <w:lang w:val="en-US"/>
        </w:rPr>
      </w:pPr>
    </w:p>
    <w:p w14:paraId="39E3149C" w14:textId="77777777" w:rsidR="00356EC3" w:rsidRPr="00F25441" w:rsidRDefault="00356EC3" w:rsidP="00356EC3">
      <w:pPr>
        <w:spacing w:line="276" w:lineRule="auto"/>
        <w:jc w:val="center"/>
        <w:rPr>
          <w:b/>
          <w:bCs/>
          <w:lang w:val="en-US"/>
        </w:rPr>
      </w:pPr>
    </w:p>
    <w:p w14:paraId="5AB27341" w14:textId="77777777" w:rsidR="00356EC3" w:rsidRPr="00F25441" w:rsidRDefault="00356EC3" w:rsidP="00356EC3">
      <w:pPr>
        <w:spacing w:line="276" w:lineRule="auto"/>
        <w:jc w:val="center"/>
        <w:rPr>
          <w:b/>
          <w:bCs/>
          <w:lang w:val="en-US"/>
        </w:rPr>
      </w:pPr>
    </w:p>
    <w:p w14:paraId="609D5FC9" w14:textId="579A6F73" w:rsidR="002C44D9" w:rsidRPr="00F25441" w:rsidRDefault="002C44D9" w:rsidP="00356EC3">
      <w:pPr>
        <w:spacing w:line="276" w:lineRule="auto"/>
        <w:jc w:val="center"/>
        <w:rPr>
          <w:b/>
          <w:bCs/>
          <w:lang w:val="en-US"/>
        </w:rPr>
      </w:pPr>
      <w:r w:rsidRPr="00F25441">
        <w:rPr>
          <w:b/>
          <w:bCs/>
          <w:lang w:val="en-US"/>
        </w:rPr>
        <w:t>Ioannis Ioannou</w:t>
      </w:r>
    </w:p>
    <w:p w14:paraId="4D666404" w14:textId="488B9388" w:rsidR="002C44D9" w:rsidRPr="00F25441" w:rsidRDefault="002C44D9" w:rsidP="00356EC3">
      <w:pPr>
        <w:spacing w:line="276" w:lineRule="auto"/>
        <w:jc w:val="center"/>
        <w:rPr>
          <w:lang w:val="en-US"/>
        </w:rPr>
      </w:pPr>
      <w:r w:rsidRPr="00F25441">
        <w:rPr>
          <w:lang w:val="en-US"/>
        </w:rPr>
        <w:t>Associate Professor of Strategy and Entrepreneurship</w:t>
      </w:r>
    </w:p>
    <w:p w14:paraId="2DA79F66" w14:textId="3DE253B8" w:rsidR="002C44D9" w:rsidRPr="00F25441" w:rsidRDefault="002C44D9" w:rsidP="00356EC3">
      <w:pPr>
        <w:spacing w:line="276" w:lineRule="auto"/>
        <w:jc w:val="center"/>
        <w:rPr>
          <w:lang w:val="en-US"/>
        </w:rPr>
      </w:pPr>
      <w:r w:rsidRPr="00F25441">
        <w:rPr>
          <w:lang w:val="en-US"/>
        </w:rPr>
        <w:t>London Business School</w:t>
      </w:r>
    </w:p>
    <w:p w14:paraId="2EB28A18" w14:textId="13D1A79E" w:rsidR="002C44D9" w:rsidRPr="00F25441" w:rsidRDefault="002C44D9" w:rsidP="00356EC3">
      <w:pPr>
        <w:spacing w:line="276" w:lineRule="auto"/>
        <w:jc w:val="center"/>
        <w:rPr>
          <w:lang w:val="en-US"/>
        </w:rPr>
      </w:pPr>
      <w:r w:rsidRPr="00F25441">
        <w:rPr>
          <w:lang w:val="en-US"/>
        </w:rPr>
        <w:t>Sussex Place, Regent’s Park, NW1 4SA</w:t>
      </w:r>
    </w:p>
    <w:p w14:paraId="6484E6CE" w14:textId="2DAB2EB7" w:rsidR="00356EC3" w:rsidRPr="00F25441" w:rsidRDefault="002C44D9" w:rsidP="00356EC3">
      <w:pPr>
        <w:spacing w:line="276" w:lineRule="auto"/>
        <w:jc w:val="center"/>
        <w:rPr>
          <w:lang w:val="en-US"/>
        </w:rPr>
      </w:pPr>
      <w:r w:rsidRPr="00F25441">
        <w:rPr>
          <w:lang w:val="en-US"/>
        </w:rPr>
        <w:t>London, United Kingdom</w:t>
      </w:r>
    </w:p>
    <w:p w14:paraId="1B2BEBEA" w14:textId="25CA8ED8" w:rsidR="00356EC3" w:rsidRPr="00F25441" w:rsidRDefault="00356EC3" w:rsidP="00356EC3">
      <w:pPr>
        <w:spacing w:line="276" w:lineRule="auto"/>
        <w:jc w:val="center"/>
        <w:rPr>
          <w:lang w:val="en-US"/>
        </w:rPr>
      </w:pPr>
      <w:r w:rsidRPr="00F25441">
        <w:rPr>
          <w:lang w:val="en-US"/>
        </w:rPr>
        <w:t>iioannou@london.edu</w:t>
      </w:r>
    </w:p>
    <w:p w14:paraId="1DA713B1" w14:textId="77777777" w:rsidR="00356EC3" w:rsidRPr="00F25441" w:rsidRDefault="00356EC3" w:rsidP="00356EC3">
      <w:pPr>
        <w:spacing w:line="276" w:lineRule="auto"/>
        <w:jc w:val="center"/>
        <w:rPr>
          <w:lang w:val="en-US"/>
        </w:rPr>
      </w:pPr>
    </w:p>
    <w:p w14:paraId="7FD8BDF0" w14:textId="5997550F" w:rsidR="002C44D9" w:rsidRPr="00F25441" w:rsidRDefault="002C44D9" w:rsidP="00356EC3">
      <w:pPr>
        <w:spacing w:line="276" w:lineRule="auto"/>
        <w:jc w:val="center"/>
        <w:rPr>
          <w:lang w:val="en-US"/>
        </w:rPr>
      </w:pPr>
      <w:r w:rsidRPr="00F25441">
        <w:rPr>
          <w:b/>
          <w:bCs/>
          <w:lang w:val="en-US"/>
        </w:rPr>
        <w:t>George Serafeim</w:t>
      </w:r>
    </w:p>
    <w:p w14:paraId="00A95CB5" w14:textId="5E2E7546" w:rsidR="002C44D9" w:rsidRPr="00F25441" w:rsidRDefault="00356EC3" w:rsidP="00356EC3">
      <w:pPr>
        <w:spacing w:line="276" w:lineRule="auto"/>
        <w:jc w:val="center"/>
        <w:rPr>
          <w:lang w:val="en-US"/>
        </w:rPr>
      </w:pPr>
      <w:r w:rsidRPr="00F25441">
        <w:rPr>
          <w:lang w:val="en-US"/>
        </w:rPr>
        <w:t>Charles M. Williams Professor of Business Administration</w:t>
      </w:r>
    </w:p>
    <w:p w14:paraId="3755F2DE" w14:textId="65A836E8" w:rsidR="00356EC3" w:rsidRPr="00F25441" w:rsidRDefault="00356EC3" w:rsidP="00356EC3">
      <w:pPr>
        <w:spacing w:line="276" w:lineRule="auto"/>
        <w:jc w:val="center"/>
        <w:rPr>
          <w:lang w:val="en-US"/>
        </w:rPr>
      </w:pPr>
      <w:r w:rsidRPr="00F25441">
        <w:rPr>
          <w:lang w:val="en-US"/>
        </w:rPr>
        <w:t>Accounting and Management Unit</w:t>
      </w:r>
    </w:p>
    <w:p w14:paraId="014F45B7" w14:textId="1A7D73BF" w:rsidR="00356EC3" w:rsidRPr="00F25441" w:rsidRDefault="00356EC3" w:rsidP="00356EC3">
      <w:pPr>
        <w:spacing w:line="276" w:lineRule="auto"/>
        <w:jc w:val="center"/>
        <w:rPr>
          <w:lang w:val="en-US"/>
        </w:rPr>
      </w:pPr>
      <w:r w:rsidRPr="00F25441">
        <w:rPr>
          <w:lang w:val="en-US"/>
        </w:rPr>
        <w:t>Harvard Business School</w:t>
      </w:r>
    </w:p>
    <w:p w14:paraId="59CE37C2" w14:textId="0831248E" w:rsidR="00356EC3" w:rsidRPr="00F25441" w:rsidRDefault="00356EC3" w:rsidP="00356EC3">
      <w:pPr>
        <w:spacing w:line="276" w:lineRule="auto"/>
        <w:jc w:val="center"/>
        <w:rPr>
          <w:lang w:val="en-US"/>
        </w:rPr>
      </w:pPr>
      <w:r w:rsidRPr="00F25441">
        <w:rPr>
          <w:lang w:val="en-US"/>
        </w:rPr>
        <w:t>Boston, MA, 02163</w:t>
      </w:r>
    </w:p>
    <w:p w14:paraId="11193F4C" w14:textId="1109C4B8" w:rsidR="00356EC3" w:rsidRPr="00F25441" w:rsidRDefault="00356EC3" w:rsidP="006777A4">
      <w:pPr>
        <w:spacing w:line="276" w:lineRule="auto"/>
        <w:jc w:val="center"/>
        <w:rPr>
          <w:lang w:val="en-US"/>
        </w:rPr>
      </w:pPr>
      <w:r w:rsidRPr="00F25441">
        <w:rPr>
          <w:lang w:val="en-US"/>
        </w:rPr>
        <w:t>gserafeim@hbs.edu</w:t>
      </w:r>
    </w:p>
    <w:p w14:paraId="1ADD09A5" w14:textId="3ECC924C" w:rsidR="00356EC3" w:rsidRPr="00F25441" w:rsidRDefault="00356EC3" w:rsidP="002C44D9">
      <w:pPr>
        <w:spacing w:line="480" w:lineRule="auto"/>
        <w:jc w:val="center"/>
        <w:rPr>
          <w:b/>
          <w:bCs/>
          <w:lang w:val="en-US"/>
        </w:rPr>
      </w:pPr>
    </w:p>
    <w:p w14:paraId="49154414" w14:textId="77777777" w:rsidR="006777A4" w:rsidRPr="00F25441" w:rsidRDefault="006777A4" w:rsidP="002C44D9">
      <w:pPr>
        <w:spacing w:line="480" w:lineRule="auto"/>
        <w:jc w:val="center"/>
        <w:rPr>
          <w:b/>
          <w:bCs/>
          <w:lang w:val="en-US"/>
        </w:rPr>
      </w:pPr>
    </w:p>
    <w:p w14:paraId="05FAA3B3" w14:textId="109E101E" w:rsidR="002C44D9" w:rsidRPr="00F25441" w:rsidRDefault="002C44D9" w:rsidP="002C44D9">
      <w:pPr>
        <w:spacing w:line="480" w:lineRule="auto"/>
        <w:jc w:val="center"/>
        <w:rPr>
          <w:b/>
          <w:bCs/>
          <w:lang w:val="en-US"/>
        </w:rPr>
      </w:pPr>
      <w:r w:rsidRPr="00F25441">
        <w:rPr>
          <w:b/>
          <w:bCs/>
          <w:lang w:val="en-US"/>
        </w:rPr>
        <w:t>Abstract</w:t>
      </w:r>
    </w:p>
    <w:p w14:paraId="7C5A3614" w14:textId="543631D3" w:rsidR="002C44D9" w:rsidRPr="00F25441" w:rsidRDefault="0016200C" w:rsidP="00FC173B">
      <w:pPr>
        <w:spacing w:line="276" w:lineRule="auto"/>
        <w:jc w:val="both"/>
        <w:rPr>
          <w:lang w:val="en-US"/>
        </w:rPr>
      </w:pPr>
      <w:r w:rsidRPr="00F25441">
        <w:rPr>
          <w:lang w:val="en-US"/>
        </w:rPr>
        <w:t>In our Decade</w:t>
      </w:r>
      <w:r w:rsidR="00751F07">
        <w:rPr>
          <w:lang w:val="en-US"/>
        </w:rPr>
        <w:t xml:space="preserve"> </w:t>
      </w:r>
      <w:r w:rsidR="007B620F">
        <w:rPr>
          <w:lang w:val="en-US"/>
        </w:rPr>
        <w:t>A</w:t>
      </w:r>
      <w:r w:rsidR="007B620F" w:rsidRPr="00F25441">
        <w:rPr>
          <w:lang w:val="en-US"/>
        </w:rPr>
        <w:t>ward</w:t>
      </w:r>
      <w:r w:rsidR="00751F07">
        <w:rPr>
          <w:lang w:val="en-US"/>
        </w:rPr>
        <w:t>-</w:t>
      </w:r>
      <w:r w:rsidRPr="00F25441">
        <w:rPr>
          <w:lang w:val="en-US"/>
        </w:rPr>
        <w:t xml:space="preserve">winning article from 2012, we </w:t>
      </w:r>
      <w:r w:rsidR="0078212E">
        <w:rPr>
          <w:lang w:val="en-US"/>
        </w:rPr>
        <w:t>theorized</w:t>
      </w:r>
      <w:r w:rsidR="0078212E" w:rsidRPr="00F25441">
        <w:rPr>
          <w:lang w:val="en-US"/>
        </w:rPr>
        <w:t xml:space="preserve"> </w:t>
      </w:r>
      <w:r w:rsidRPr="00F25441">
        <w:rPr>
          <w:lang w:val="en-US"/>
        </w:rPr>
        <w:t xml:space="preserve">and provided evidence consistent with nation-level institutions having a significant </w:t>
      </w:r>
      <w:r w:rsidR="00011BB8">
        <w:rPr>
          <w:lang w:val="en-US"/>
        </w:rPr>
        <w:t>impact</w:t>
      </w:r>
      <w:r w:rsidR="00011BB8" w:rsidRPr="00F25441">
        <w:rPr>
          <w:lang w:val="en-US"/>
        </w:rPr>
        <w:t xml:space="preserve"> </w:t>
      </w:r>
      <w:r w:rsidRPr="00F25441">
        <w:rPr>
          <w:lang w:val="en-US"/>
        </w:rPr>
        <w:t>on corporate social performance</w:t>
      </w:r>
      <w:r w:rsidR="006609E0">
        <w:rPr>
          <w:lang w:val="en-US"/>
        </w:rPr>
        <w:t xml:space="preserve"> (CSP)</w:t>
      </w:r>
      <w:r w:rsidR="0078212E">
        <w:rPr>
          <w:lang w:val="en-US"/>
        </w:rPr>
        <w:t xml:space="preserve"> variation across companies</w:t>
      </w:r>
      <w:r w:rsidRPr="00F25441">
        <w:rPr>
          <w:lang w:val="en-US"/>
        </w:rPr>
        <w:t xml:space="preserve">. By establishing a link between the macro (i.e., country-level) and micro (i.e., firm-level) levels of analysis and by synthesizing across multiple disciplines including institutional economics, political science, cultural research, and institutional theory, we were able to demonstrate that differences across countries in terms of the political system, the education and labor system, the financial system and the cultural system significantly impacted variation in CSP across companies. </w:t>
      </w:r>
      <w:r w:rsidR="00C32E74">
        <w:rPr>
          <w:lang w:val="en-US"/>
        </w:rPr>
        <w:t>In this Retrospective, w</w:t>
      </w:r>
      <w:r w:rsidRPr="00F25441">
        <w:rPr>
          <w:lang w:val="en-US"/>
        </w:rPr>
        <w:t xml:space="preserve">e </w:t>
      </w:r>
      <w:r w:rsidR="00C32E74">
        <w:rPr>
          <w:lang w:val="en-US"/>
        </w:rPr>
        <w:t xml:space="preserve">briefly </w:t>
      </w:r>
      <w:r w:rsidRPr="00F25441">
        <w:rPr>
          <w:lang w:val="en-US"/>
        </w:rPr>
        <w:t xml:space="preserve">discuss </w:t>
      </w:r>
      <w:r w:rsidR="00C32E74">
        <w:rPr>
          <w:lang w:val="en-US"/>
        </w:rPr>
        <w:t>our</w:t>
      </w:r>
      <w:r w:rsidRPr="00F25441">
        <w:rPr>
          <w:lang w:val="en-US"/>
        </w:rPr>
        <w:t xml:space="preserve"> original findings and </w:t>
      </w:r>
      <w:r w:rsidR="00C32E74">
        <w:rPr>
          <w:lang w:val="en-US"/>
        </w:rPr>
        <w:t>elaborate on</w:t>
      </w:r>
      <w:r w:rsidR="00C32E74" w:rsidRPr="00F25441">
        <w:rPr>
          <w:lang w:val="en-US"/>
        </w:rPr>
        <w:t xml:space="preserve"> </w:t>
      </w:r>
      <w:r w:rsidR="0078212E">
        <w:rPr>
          <w:lang w:val="en-US"/>
        </w:rPr>
        <w:t>future research directions</w:t>
      </w:r>
      <w:r w:rsidR="008A3BDD">
        <w:rPr>
          <w:lang w:val="en-US"/>
        </w:rPr>
        <w:t xml:space="preserve">. Given the weak evidence regarding the impact of the financial system in our original study, we </w:t>
      </w:r>
      <w:r w:rsidR="00C32E74">
        <w:rPr>
          <w:lang w:val="en-US"/>
        </w:rPr>
        <w:t>specific</w:t>
      </w:r>
      <w:r w:rsidR="008A3BDD">
        <w:rPr>
          <w:lang w:val="en-US"/>
        </w:rPr>
        <w:t>ally</w:t>
      </w:r>
      <w:r w:rsidR="00C32E74">
        <w:rPr>
          <w:lang w:val="en-US"/>
        </w:rPr>
        <w:t xml:space="preserve"> </w:t>
      </w:r>
      <w:r w:rsidR="0078212E">
        <w:rPr>
          <w:lang w:val="en-US"/>
        </w:rPr>
        <w:t xml:space="preserve">focus on </w:t>
      </w:r>
      <w:r w:rsidR="008A3BDD">
        <w:rPr>
          <w:lang w:val="en-US"/>
        </w:rPr>
        <w:t>discussing</w:t>
      </w:r>
      <w:r w:rsidR="008A3BDD" w:rsidRPr="00F25441">
        <w:rPr>
          <w:lang w:val="en-US"/>
        </w:rPr>
        <w:t xml:space="preserve"> </w:t>
      </w:r>
      <w:r w:rsidR="0083710D" w:rsidRPr="00F25441">
        <w:rPr>
          <w:lang w:val="en-US"/>
        </w:rPr>
        <w:t>recent developments in the financial system</w:t>
      </w:r>
      <w:r w:rsidR="008A3BDD">
        <w:rPr>
          <w:lang w:val="en-US"/>
        </w:rPr>
        <w:t xml:space="preserve"> and their implications for research</w:t>
      </w:r>
      <w:r w:rsidR="0083710D" w:rsidRPr="00F25441">
        <w:rPr>
          <w:lang w:val="en-US"/>
        </w:rPr>
        <w:t xml:space="preserve">. </w:t>
      </w:r>
      <w:r w:rsidR="00C32E74">
        <w:rPr>
          <w:lang w:val="en-US"/>
        </w:rPr>
        <w:t>W</w:t>
      </w:r>
      <w:r w:rsidR="0083710D" w:rsidRPr="00F25441">
        <w:rPr>
          <w:lang w:val="en-US"/>
        </w:rPr>
        <w:t xml:space="preserve">e </w:t>
      </w:r>
      <w:r w:rsidR="008A3BDD">
        <w:rPr>
          <w:lang w:val="en-US"/>
        </w:rPr>
        <w:t xml:space="preserve">suggest </w:t>
      </w:r>
      <w:r w:rsidR="0078212E">
        <w:rPr>
          <w:lang w:val="en-US"/>
        </w:rPr>
        <w:t>additional research</w:t>
      </w:r>
      <w:r w:rsidR="0083710D" w:rsidRPr="00F25441">
        <w:rPr>
          <w:lang w:val="en-US"/>
        </w:rPr>
        <w:t xml:space="preserve"> opportunities </w:t>
      </w:r>
      <w:r w:rsidR="00C32E74">
        <w:rPr>
          <w:lang w:val="en-US"/>
        </w:rPr>
        <w:t xml:space="preserve">inspired by </w:t>
      </w:r>
      <w:r w:rsidR="0083710D" w:rsidRPr="00F25441">
        <w:rPr>
          <w:lang w:val="en-US"/>
        </w:rPr>
        <w:t xml:space="preserve">recent </w:t>
      </w:r>
      <w:r w:rsidR="0078212E">
        <w:rPr>
          <w:lang w:val="en-US"/>
        </w:rPr>
        <w:t>articles</w:t>
      </w:r>
      <w:r w:rsidR="0078212E" w:rsidRPr="00F25441">
        <w:rPr>
          <w:lang w:val="en-US"/>
        </w:rPr>
        <w:t xml:space="preserve"> </w:t>
      </w:r>
      <w:r w:rsidR="0083710D" w:rsidRPr="00F25441">
        <w:rPr>
          <w:lang w:val="en-US"/>
        </w:rPr>
        <w:t xml:space="preserve">by scholars of international business that have </w:t>
      </w:r>
      <w:r w:rsidR="00382090">
        <w:rPr>
          <w:lang w:val="en-US"/>
        </w:rPr>
        <w:t>extended our original article in important ways.</w:t>
      </w:r>
    </w:p>
    <w:p w14:paraId="56191ABD" w14:textId="1C2397AF" w:rsidR="002C44D9" w:rsidRPr="00F25441" w:rsidRDefault="002C44D9" w:rsidP="002C44D9">
      <w:pPr>
        <w:spacing w:line="480" w:lineRule="auto"/>
        <w:jc w:val="center"/>
        <w:rPr>
          <w:b/>
          <w:bCs/>
          <w:lang w:val="en-US"/>
        </w:rPr>
      </w:pPr>
    </w:p>
    <w:p w14:paraId="540CBF8D" w14:textId="77777777" w:rsidR="00356EC3" w:rsidRPr="00F25441" w:rsidRDefault="00356EC3">
      <w:pPr>
        <w:rPr>
          <w:b/>
          <w:bCs/>
          <w:lang w:val="en-US"/>
        </w:rPr>
      </w:pPr>
      <w:r w:rsidRPr="00F25441">
        <w:rPr>
          <w:b/>
          <w:bCs/>
          <w:lang w:val="en-US"/>
        </w:rPr>
        <w:br w:type="page"/>
      </w:r>
    </w:p>
    <w:p w14:paraId="336DBE11" w14:textId="37407C23" w:rsidR="006777A4" w:rsidRPr="00F25441" w:rsidRDefault="006777A4" w:rsidP="00910767">
      <w:pPr>
        <w:spacing w:line="480" w:lineRule="auto"/>
        <w:jc w:val="center"/>
        <w:rPr>
          <w:b/>
          <w:bCs/>
          <w:lang w:val="en-US"/>
        </w:rPr>
      </w:pPr>
      <w:r w:rsidRPr="00F25441">
        <w:rPr>
          <w:b/>
          <w:bCs/>
          <w:lang w:val="en-US"/>
        </w:rPr>
        <w:lastRenderedPageBreak/>
        <w:t>INTRODUCTION</w:t>
      </w:r>
    </w:p>
    <w:p w14:paraId="558B15D1" w14:textId="29D618EB" w:rsidR="00910767" w:rsidRPr="00F25441" w:rsidRDefault="00910767" w:rsidP="009E4311">
      <w:pPr>
        <w:spacing w:line="480" w:lineRule="auto"/>
        <w:jc w:val="both"/>
        <w:rPr>
          <w:lang w:val="en-US"/>
        </w:rPr>
      </w:pPr>
      <w:r w:rsidRPr="00F25441">
        <w:rPr>
          <w:lang w:val="en-US"/>
        </w:rPr>
        <w:t xml:space="preserve">We are deeply grateful to the Selection Committee for the JIBS Decade Award </w:t>
      </w:r>
      <w:r w:rsidR="00FD179F" w:rsidRPr="00F25441">
        <w:rPr>
          <w:lang w:val="en-US"/>
        </w:rPr>
        <w:t xml:space="preserve">comprised of </w:t>
      </w:r>
      <w:r w:rsidRPr="00F25441">
        <w:rPr>
          <w:lang w:val="en-US"/>
        </w:rPr>
        <w:t xml:space="preserve">Prof. </w:t>
      </w:r>
      <w:proofErr w:type="spellStart"/>
      <w:r w:rsidRPr="00F25441">
        <w:rPr>
          <w:lang w:val="en-US"/>
        </w:rPr>
        <w:t>Yadong</w:t>
      </w:r>
      <w:proofErr w:type="spellEnd"/>
      <w:r w:rsidRPr="00F25441">
        <w:rPr>
          <w:lang w:val="en-US"/>
        </w:rPr>
        <w:t xml:space="preserve"> Luo</w:t>
      </w:r>
      <w:r w:rsidR="00FD179F" w:rsidRPr="00F25441">
        <w:rPr>
          <w:lang w:val="en-US"/>
        </w:rPr>
        <w:t>,</w:t>
      </w:r>
      <w:r w:rsidRPr="00F25441">
        <w:rPr>
          <w:lang w:val="en-US"/>
        </w:rPr>
        <w:t xml:space="preserve"> </w:t>
      </w:r>
      <w:r w:rsidR="00FD179F" w:rsidRPr="00F25441">
        <w:rPr>
          <w:lang w:val="en-US"/>
        </w:rPr>
        <w:t xml:space="preserve">Prof. </w:t>
      </w:r>
      <w:r w:rsidRPr="00F25441">
        <w:rPr>
          <w:lang w:val="en-US"/>
        </w:rPr>
        <w:t xml:space="preserve">Andrew </w:t>
      </w:r>
      <w:proofErr w:type="spellStart"/>
      <w:r w:rsidRPr="00F25441">
        <w:rPr>
          <w:lang w:val="en-US"/>
        </w:rPr>
        <w:t>Delios</w:t>
      </w:r>
      <w:proofErr w:type="spellEnd"/>
      <w:r w:rsidRPr="00F25441">
        <w:rPr>
          <w:lang w:val="en-US"/>
        </w:rPr>
        <w:t xml:space="preserve"> </w:t>
      </w:r>
      <w:r w:rsidR="00FD179F" w:rsidRPr="00F25441">
        <w:rPr>
          <w:lang w:val="en-US"/>
        </w:rPr>
        <w:t>and Prof</w:t>
      </w:r>
      <w:r w:rsidRPr="00F25441">
        <w:rPr>
          <w:lang w:val="en-US"/>
        </w:rPr>
        <w:t xml:space="preserve"> Gary Knight</w:t>
      </w:r>
      <w:r w:rsidR="00FD179F" w:rsidRPr="00F25441">
        <w:rPr>
          <w:lang w:val="en-US"/>
        </w:rPr>
        <w:t>,</w:t>
      </w:r>
      <w:r w:rsidRPr="00F25441">
        <w:rPr>
          <w:lang w:val="en-US"/>
        </w:rPr>
        <w:t xml:space="preserve"> </w:t>
      </w:r>
      <w:r w:rsidR="00FD179F" w:rsidRPr="00F25441">
        <w:rPr>
          <w:lang w:val="en-US"/>
        </w:rPr>
        <w:t xml:space="preserve">as well as the current JIBS Editor-in-Chief Prof. Alain Verbeke, for selecting our 2012 </w:t>
      </w:r>
      <w:r w:rsidR="00071A0E" w:rsidRPr="00F25441">
        <w:rPr>
          <w:lang w:val="en-US"/>
        </w:rPr>
        <w:t xml:space="preserve">JIBS </w:t>
      </w:r>
      <w:r w:rsidR="00FD179F" w:rsidRPr="00F25441">
        <w:rPr>
          <w:lang w:val="en-US"/>
        </w:rPr>
        <w:t>article titled “</w:t>
      </w:r>
      <w:r w:rsidR="00FD179F" w:rsidRPr="00F25441">
        <w:rPr>
          <w:i/>
          <w:iCs/>
          <w:lang w:val="en-US"/>
        </w:rPr>
        <w:t>What drives corporate social performance? The role of nation-level institutions</w:t>
      </w:r>
      <w:r w:rsidR="00FD179F" w:rsidRPr="00F25441">
        <w:rPr>
          <w:lang w:val="en-US"/>
        </w:rPr>
        <w:t xml:space="preserve">” as the winning article for the </w:t>
      </w:r>
      <w:r w:rsidR="00DD1D9D" w:rsidRPr="00F25441">
        <w:rPr>
          <w:lang w:val="en-US"/>
        </w:rPr>
        <w:t xml:space="preserve">prestigious </w:t>
      </w:r>
      <w:r w:rsidR="00FD179F" w:rsidRPr="00F25441">
        <w:rPr>
          <w:lang w:val="en-US"/>
        </w:rPr>
        <w:t>2022 JIBS Decade Award.</w:t>
      </w:r>
      <w:r w:rsidR="00071A0E" w:rsidRPr="00F25441">
        <w:rPr>
          <w:lang w:val="en-US"/>
        </w:rPr>
        <w:t xml:space="preserve"> </w:t>
      </w:r>
      <w:r w:rsidR="00DD1D9D" w:rsidRPr="00F25441">
        <w:rPr>
          <w:lang w:val="en-US"/>
        </w:rPr>
        <w:t xml:space="preserve">We were in fact humbled to read in the award letter that the committee found our study to be “topical, impactful, compelling, and thought-provoking” and we </w:t>
      </w:r>
      <w:r w:rsidR="002267D4" w:rsidRPr="00F25441">
        <w:rPr>
          <w:lang w:val="en-US"/>
        </w:rPr>
        <w:t>believe</w:t>
      </w:r>
      <w:r w:rsidR="00DD1D9D" w:rsidRPr="00F25441">
        <w:rPr>
          <w:lang w:val="en-US"/>
        </w:rPr>
        <w:t xml:space="preserve"> that</w:t>
      </w:r>
      <w:r w:rsidR="00726A9F" w:rsidRPr="00F25441">
        <w:rPr>
          <w:lang w:val="en-US"/>
        </w:rPr>
        <w:t xml:space="preserve"> </w:t>
      </w:r>
      <w:r w:rsidR="00DD1D9D" w:rsidRPr="00F25441">
        <w:rPr>
          <w:lang w:val="en-US"/>
        </w:rPr>
        <w:t xml:space="preserve">this is a particularly important acknowledgement and recognition for a paper that </w:t>
      </w:r>
      <w:r w:rsidR="00CC61F6" w:rsidRPr="00F25441">
        <w:rPr>
          <w:lang w:val="en-US"/>
        </w:rPr>
        <w:t xml:space="preserve">10 years ago dared </w:t>
      </w:r>
      <w:r w:rsidR="007E58BA" w:rsidRPr="00F25441">
        <w:rPr>
          <w:lang w:val="en-US"/>
        </w:rPr>
        <w:t xml:space="preserve">to </w:t>
      </w:r>
      <w:r w:rsidR="00CC61F6" w:rsidRPr="00F25441">
        <w:rPr>
          <w:lang w:val="en-US"/>
        </w:rPr>
        <w:t>explore the mechanisms through which nation-level institutions affect variation in corporate</w:t>
      </w:r>
      <w:r w:rsidR="00CC61F6" w:rsidRPr="00F25441">
        <w:rPr>
          <w:i/>
          <w:iCs/>
          <w:lang w:val="en-US"/>
        </w:rPr>
        <w:t xml:space="preserve"> social </w:t>
      </w:r>
      <w:r w:rsidR="00CC61F6" w:rsidRPr="00FC173B">
        <w:rPr>
          <w:lang w:val="en-US"/>
        </w:rPr>
        <w:t>(rather than financial</w:t>
      </w:r>
      <w:r w:rsidR="00CC61F6" w:rsidRPr="00F25441">
        <w:rPr>
          <w:i/>
          <w:iCs/>
          <w:lang w:val="en-US"/>
        </w:rPr>
        <w:t xml:space="preserve">) </w:t>
      </w:r>
      <w:r w:rsidR="00CC61F6" w:rsidRPr="00F25441">
        <w:rPr>
          <w:lang w:val="en-US"/>
        </w:rPr>
        <w:t xml:space="preserve">performance across companies. </w:t>
      </w:r>
      <w:r w:rsidR="00071A0E" w:rsidRPr="00F25441">
        <w:rPr>
          <w:lang w:val="en-US"/>
        </w:rPr>
        <w:t xml:space="preserve">We would also like to express our </w:t>
      </w:r>
      <w:r w:rsidR="00713C90" w:rsidRPr="00F25441">
        <w:rPr>
          <w:lang w:val="en-US"/>
        </w:rPr>
        <w:t xml:space="preserve">sincere </w:t>
      </w:r>
      <w:r w:rsidR="00071A0E" w:rsidRPr="00F25441">
        <w:rPr>
          <w:lang w:val="en-US"/>
        </w:rPr>
        <w:t xml:space="preserve">gratitude to Prof. </w:t>
      </w:r>
      <w:proofErr w:type="spellStart"/>
      <w:r w:rsidR="00A02BE1" w:rsidRPr="00F25441">
        <w:rPr>
          <w:lang w:val="en-US"/>
        </w:rPr>
        <w:t>Ishtiaq</w:t>
      </w:r>
      <w:proofErr w:type="spellEnd"/>
      <w:r w:rsidR="00A02BE1" w:rsidRPr="00F25441">
        <w:rPr>
          <w:lang w:val="en-US"/>
        </w:rPr>
        <w:t xml:space="preserve"> Mahmood for his astute editorial </w:t>
      </w:r>
      <w:r w:rsidR="00713C90" w:rsidRPr="00F25441">
        <w:rPr>
          <w:lang w:val="en-US"/>
        </w:rPr>
        <w:t>stewardship</w:t>
      </w:r>
      <w:r w:rsidR="00DD1D9D" w:rsidRPr="00F25441">
        <w:rPr>
          <w:lang w:val="en-US"/>
        </w:rPr>
        <w:t xml:space="preserve"> and excellent guidance</w:t>
      </w:r>
      <w:r w:rsidR="00A02BE1" w:rsidRPr="00F25441">
        <w:rPr>
          <w:lang w:val="en-US"/>
        </w:rPr>
        <w:t xml:space="preserve"> at the time of the original submission </w:t>
      </w:r>
      <w:r w:rsidR="00713C90" w:rsidRPr="00F25441">
        <w:rPr>
          <w:lang w:val="en-US"/>
        </w:rPr>
        <w:t>as well as three anonymous reviewers who provided us with terrific feedback</w:t>
      </w:r>
      <w:r w:rsidR="00DD1D9D" w:rsidRPr="00F25441">
        <w:rPr>
          <w:lang w:val="en-US"/>
        </w:rPr>
        <w:t>, constructive pushback,</w:t>
      </w:r>
      <w:r w:rsidR="00713C90" w:rsidRPr="00F25441">
        <w:rPr>
          <w:lang w:val="en-US"/>
        </w:rPr>
        <w:t xml:space="preserve"> and insightful suggestions</w:t>
      </w:r>
      <w:r w:rsidR="00DC7633" w:rsidRPr="00F25441">
        <w:rPr>
          <w:lang w:val="en-US"/>
        </w:rPr>
        <w:t xml:space="preserve"> on how to improve our work</w:t>
      </w:r>
      <w:r w:rsidR="00713C90" w:rsidRPr="00F25441">
        <w:rPr>
          <w:lang w:val="en-US"/>
        </w:rPr>
        <w:t xml:space="preserve"> </w:t>
      </w:r>
      <w:r w:rsidR="00096D7D" w:rsidRPr="00F25441">
        <w:rPr>
          <w:lang w:val="en-US"/>
        </w:rPr>
        <w:t xml:space="preserve">and </w:t>
      </w:r>
      <w:r w:rsidR="00713C90" w:rsidRPr="00F25441">
        <w:rPr>
          <w:lang w:val="en-US"/>
        </w:rPr>
        <w:t xml:space="preserve">without which our </w:t>
      </w:r>
      <w:r w:rsidR="00DC7633" w:rsidRPr="00F25441">
        <w:rPr>
          <w:lang w:val="en-US"/>
        </w:rPr>
        <w:t>study</w:t>
      </w:r>
      <w:r w:rsidR="00713C90" w:rsidRPr="00F25441">
        <w:rPr>
          <w:lang w:val="en-US"/>
        </w:rPr>
        <w:t xml:space="preserve"> could not had achieved its full potential. </w:t>
      </w:r>
    </w:p>
    <w:p w14:paraId="64C2B262" w14:textId="48F8EB65" w:rsidR="003C412B" w:rsidRPr="00F25441" w:rsidRDefault="001C19F0" w:rsidP="009E4311">
      <w:pPr>
        <w:spacing w:line="480" w:lineRule="auto"/>
        <w:ind w:firstLine="720"/>
        <w:jc w:val="both"/>
        <w:rPr>
          <w:lang w:val="en-US"/>
        </w:rPr>
      </w:pPr>
      <w:r w:rsidRPr="00F25441">
        <w:rPr>
          <w:lang w:val="en-US"/>
        </w:rPr>
        <w:t xml:space="preserve">We also highly appreciate the opportunity that </w:t>
      </w:r>
      <w:r w:rsidR="00D314B3" w:rsidRPr="00F25441">
        <w:rPr>
          <w:lang w:val="en-US"/>
        </w:rPr>
        <w:t xml:space="preserve">we are now </w:t>
      </w:r>
      <w:r w:rsidR="00C24546" w:rsidRPr="00F25441">
        <w:rPr>
          <w:lang w:val="en-US"/>
        </w:rPr>
        <w:t xml:space="preserve">being </w:t>
      </w:r>
      <w:r w:rsidR="00D314B3" w:rsidRPr="00F25441">
        <w:rPr>
          <w:lang w:val="en-US"/>
        </w:rPr>
        <w:t xml:space="preserve">given through this </w:t>
      </w:r>
      <w:r w:rsidR="00066D76" w:rsidRPr="00F25441">
        <w:rPr>
          <w:lang w:val="en-US"/>
        </w:rPr>
        <w:t>R</w:t>
      </w:r>
      <w:r w:rsidR="00D314B3" w:rsidRPr="00F25441">
        <w:rPr>
          <w:lang w:val="en-US"/>
        </w:rPr>
        <w:t xml:space="preserve">etrospective piece, to reflect on the theoretical insights and the empirical findings that we unearthed in the original </w:t>
      </w:r>
      <w:r w:rsidR="00EC29B9" w:rsidRPr="00F25441">
        <w:rPr>
          <w:lang w:val="en-US"/>
        </w:rPr>
        <w:t>study</w:t>
      </w:r>
      <w:r w:rsidR="00D314B3" w:rsidRPr="00F25441">
        <w:rPr>
          <w:lang w:val="en-US"/>
        </w:rPr>
        <w:t>.</w:t>
      </w:r>
      <w:r w:rsidR="003E3A25" w:rsidRPr="00F25441">
        <w:rPr>
          <w:lang w:val="en-US"/>
        </w:rPr>
        <w:t xml:space="preserve"> Indeed, </w:t>
      </w:r>
      <w:r w:rsidR="00F26AFD" w:rsidRPr="00F25441">
        <w:rPr>
          <w:lang w:val="en-US"/>
        </w:rPr>
        <w:t xml:space="preserve">we believe that </w:t>
      </w:r>
      <w:r w:rsidR="00DF4DCE" w:rsidRPr="00F25441">
        <w:rPr>
          <w:lang w:val="en-US"/>
        </w:rPr>
        <w:t>the</w:t>
      </w:r>
      <w:r w:rsidR="003E3A25" w:rsidRPr="00F25441">
        <w:rPr>
          <w:lang w:val="en-US"/>
        </w:rPr>
        <w:t xml:space="preserve"> study addressed an important gap in the literature which was the lack of a</w:t>
      </w:r>
      <w:r w:rsidR="00DF4DCE" w:rsidRPr="00F25441">
        <w:rPr>
          <w:lang w:val="en-US"/>
        </w:rPr>
        <w:t xml:space="preserve">n adequate </w:t>
      </w:r>
      <w:r w:rsidR="003E3A25" w:rsidRPr="00F25441">
        <w:rPr>
          <w:lang w:val="en-US"/>
        </w:rPr>
        <w:t>theoretical</w:t>
      </w:r>
      <w:r w:rsidR="00DF4DCE" w:rsidRPr="00F25441">
        <w:rPr>
          <w:lang w:val="en-US"/>
        </w:rPr>
        <w:t xml:space="preserve"> understanding</w:t>
      </w:r>
      <w:r w:rsidR="003E3A25" w:rsidRPr="00F25441">
        <w:rPr>
          <w:lang w:val="en-US"/>
        </w:rPr>
        <w:t xml:space="preserve"> and </w:t>
      </w:r>
      <w:r w:rsidR="00467424" w:rsidRPr="00F25441">
        <w:rPr>
          <w:lang w:val="en-US"/>
        </w:rPr>
        <w:t xml:space="preserve">a robust </w:t>
      </w:r>
      <w:r w:rsidR="003E3A25" w:rsidRPr="00F25441">
        <w:rPr>
          <w:lang w:val="en-US"/>
        </w:rPr>
        <w:t xml:space="preserve">empirical </w:t>
      </w:r>
      <w:r w:rsidR="00B22D1E" w:rsidRPr="00F25441">
        <w:rPr>
          <w:lang w:val="en-US"/>
        </w:rPr>
        <w:t>exploration</w:t>
      </w:r>
      <w:r w:rsidR="003E3A25" w:rsidRPr="00F25441">
        <w:rPr>
          <w:lang w:val="en-US"/>
        </w:rPr>
        <w:t xml:space="preserve"> of the antecedents </w:t>
      </w:r>
      <w:r w:rsidR="00DB091F">
        <w:rPr>
          <w:lang w:val="en-US"/>
        </w:rPr>
        <w:t>to</w:t>
      </w:r>
      <w:r w:rsidR="00DB091F" w:rsidRPr="00F25441">
        <w:rPr>
          <w:lang w:val="en-US"/>
        </w:rPr>
        <w:t xml:space="preserve"> </w:t>
      </w:r>
      <w:r w:rsidR="003E3A25" w:rsidRPr="00F25441">
        <w:rPr>
          <w:lang w:val="en-US"/>
        </w:rPr>
        <w:t>social performance heterogeneity across firms in general, and</w:t>
      </w:r>
      <w:r w:rsidR="00467424" w:rsidRPr="00F25441">
        <w:rPr>
          <w:lang w:val="en-US"/>
        </w:rPr>
        <w:t>,</w:t>
      </w:r>
      <w:r w:rsidR="003E3A25" w:rsidRPr="00F25441">
        <w:rPr>
          <w:lang w:val="en-US"/>
        </w:rPr>
        <w:t xml:space="preserve"> </w:t>
      </w:r>
      <w:r w:rsidR="00DF4DCE" w:rsidRPr="00F25441">
        <w:rPr>
          <w:lang w:val="en-US"/>
        </w:rPr>
        <w:t xml:space="preserve">more specifically, how differences in nation-level institutions or national business systems (NBS) impact </w:t>
      </w:r>
      <w:r w:rsidR="00467424" w:rsidRPr="00F25441">
        <w:rPr>
          <w:lang w:val="en-US"/>
        </w:rPr>
        <w:t xml:space="preserve">this </w:t>
      </w:r>
      <w:r w:rsidR="00DF4DCE" w:rsidRPr="00F25441">
        <w:rPr>
          <w:lang w:val="en-US"/>
        </w:rPr>
        <w:t>heterogeneity</w:t>
      </w:r>
      <w:r w:rsidR="00467424" w:rsidRPr="00F25441">
        <w:rPr>
          <w:lang w:val="en-US"/>
        </w:rPr>
        <w:t xml:space="preserve"> in CSP</w:t>
      </w:r>
      <w:r w:rsidR="00DF4DCE" w:rsidRPr="00F25441">
        <w:rPr>
          <w:lang w:val="en-US"/>
        </w:rPr>
        <w:t xml:space="preserve"> (Campbell, 2007; </w:t>
      </w:r>
      <w:proofErr w:type="spellStart"/>
      <w:r w:rsidR="00DF4DCE" w:rsidRPr="00F25441">
        <w:rPr>
          <w:lang w:val="en-US"/>
        </w:rPr>
        <w:t>Maignan</w:t>
      </w:r>
      <w:proofErr w:type="spellEnd"/>
      <w:r w:rsidR="00DF4DCE" w:rsidRPr="00F25441">
        <w:rPr>
          <w:lang w:val="en-US"/>
        </w:rPr>
        <w:t xml:space="preserve"> &amp; Ralston, 2002; Margolis &amp; Walsh, 2003; Whitley, 1997). </w:t>
      </w:r>
      <w:r w:rsidR="00467424" w:rsidRPr="00F25441">
        <w:rPr>
          <w:lang w:val="en-US"/>
        </w:rPr>
        <w:t xml:space="preserve">A major point of departure </w:t>
      </w:r>
      <w:r w:rsidR="007E58BA" w:rsidRPr="00F25441">
        <w:rPr>
          <w:lang w:val="en-US"/>
        </w:rPr>
        <w:t xml:space="preserve">of our study </w:t>
      </w:r>
      <w:r w:rsidR="00E40C33" w:rsidRPr="00F25441">
        <w:rPr>
          <w:lang w:val="en-US"/>
        </w:rPr>
        <w:t xml:space="preserve">from the mainstream literature </w:t>
      </w:r>
      <w:r w:rsidR="00467424" w:rsidRPr="00F25441">
        <w:rPr>
          <w:lang w:val="en-US"/>
        </w:rPr>
        <w:t xml:space="preserve">was to shift attention from corporate </w:t>
      </w:r>
      <w:r w:rsidR="00467424" w:rsidRPr="00F25441">
        <w:rPr>
          <w:i/>
          <w:iCs/>
          <w:lang w:val="en-US"/>
        </w:rPr>
        <w:t>financial</w:t>
      </w:r>
      <w:r w:rsidR="00467424" w:rsidRPr="00F25441">
        <w:rPr>
          <w:lang w:val="en-US"/>
        </w:rPr>
        <w:t xml:space="preserve"> performance – the </w:t>
      </w:r>
      <w:r w:rsidR="00E561A0" w:rsidRPr="00F25441">
        <w:rPr>
          <w:lang w:val="en-US"/>
        </w:rPr>
        <w:t xml:space="preserve">most </w:t>
      </w:r>
      <w:r w:rsidR="00A95DB6" w:rsidRPr="00F25441">
        <w:rPr>
          <w:lang w:val="en-US"/>
        </w:rPr>
        <w:t>widely</w:t>
      </w:r>
      <w:r w:rsidR="00E561A0" w:rsidRPr="00F25441">
        <w:rPr>
          <w:lang w:val="en-US"/>
        </w:rPr>
        <w:t xml:space="preserve"> used</w:t>
      </w:r>
      <w:r w:rsidR="00467424" w:rsidRPr="00F25441">
        <w:rPr>
          <w:lang w:val="en-US"/>
        </w:rPr>
        <w:t xml:space="preserve"> dependent variable</w:t>
      </w:r>
      <w:r w:rsidR="00096D7D" w:rsidRPr="00F25441">
        <w:rPr>
          <w:lang w:val="en-US"/>
        </w:rPr>
        <w:t xml:space="preserve"> within management even to</w:t>
      </w:r>
      <w:r w:rsidR="00FB6538" w:rsidRPr="00F25441">
        <w:rPr>
          <w:lang w:val="en-US"/>
        </w:rPr>
        <w:t xml:space="preserve"> this </w:t>
      </w:r>
      <w:r w:rsidR="00096D7D" w:rsidRPr="00F25441">
        <w:rPr>
          <w:lang w:val="en-US"/>
        </w:rPr>
        <w:t>day</w:t>
      </w:r>
      <w:r w:rsidR="00F26AFD" w:rsidRPr="00F25441">
        <w:rPr>
          <w:lang w:val="en-US"/>
        </w:rPr>
        <w:t xml:space="preserve"> </w:t>
      </w:r>
      <w:r w:rsidR="00467424" w:rsidRPr="00F25441">
        <w:rPr>
          <w:lang w:val="en-US"/>
        </w:rPr>
        <w:t xml:space="preserve">– to corporate </w:t>
      </w:r>
      <w:r w:rsidR="00467424" w:rsidRPr="00F25441">
        <w:rPr>
          <w:i/>
          <w:iCs/>
          <w:lang w:val="en-US"/>
        </w:rPr>
        <w:t>social</w:t>
      </w:r>
      <w:r w:rsidR="00467424" w:rsidRPr="00F25441">
        <w:rPr>
          <w:lang w:val="en-US"/>
        </w:rPr>
        <w:t xml:space="preserve"> </w:t>
      </w:r>
      <w:r w:rsidR="00467424" w:rsidRPr="00F25441">
        <w:rPr>
          <w:lang w:val="en-US"/>
        </w:rPr>
        <w:lastRenderedPageBreak/>
        <w:t>performance</w:t>
      </w:r>
      <w:r w:rsidR="006609E0">
        <w:rPr>
          <w:rStyle w:val="FootnoteReference"/>
          <w:lang w:val="en-US"/>
        </w:rPr>
        <w:footnoteReference w:id="1"/>
      </w:r>
      <w:r w:rsidR="00467424" w:rsidRPr="00F25441">
        <w:rPr>
          <w:lang w:val="en-US"/>
        </w:rPr>
        <w:t xml:space="preserve"> and</w:t>
      </w:r>
      <w:r w:rsidR="00E40C33" w:rsidRPr="00F25441">
        <w:rPr>
          <w:lang w:val="en-US"/>
        </w:rPr>
        <w:t xml:space="preserve"> to</w:t>
      </w:r>
      <w:r w:rsidR="00467424" w:rsidRPr="00F25441">
        <w:rPr>
          <w:lang w:val="en-US"/>
        </w:rPr>
        <w:t xml:space="preserve"> highlight </w:t>
      </w:r>
      <w:r w:rsidR="00E40C33" w:rsidRPr="00F25441">
        <w:rPr>
          <w:lang w:val="en-US"/>
        </w:rPr>
        <w:t>the idea that multinational companies were increasingly held accountable for their</w:t>
      </w:r>
      <w:r w:rsidR="00527B0F">
        <w:rPr>
          <w:lang w:val="en-US"/>
        </w:rPr>
        <w:t xml:space="preserve"> broadly defined</w:t>
      </w:r>
      <w:r w:rsidR="00E40C33" w:rsidRPr="00F25441">
        <w:rPr>
          <w:lang w:val="en-US"/>
        </w:rPr>
        <w:t xml:space="preserve"> non-financial performance</w:t>
      </w:r>
      <w:r w:rsidR="00F26AFD" w:rsidRPr="00F25441">
        <w:rPr>
          <w:lang w:val="en-US"/>
        </w:rPr>
        <w:t xml:space="preserve"> in addition to their financial performance and that therefore</w:t>
      </w:r>
      <w:r w:rsidR="007E58BA" w:rsidRPr="00F25441">
        <w:rPr>
          <w:lang w:val="en-US"/>
        </w:rPr>
        <w:t>,</w:t>
      </w:r>
      <w:r w:rsidR="00F26AFD" w:rsidRPr="00F25441">
        <w:rPr>
          <w:lang w:val="en-US"/>
        </w:rPr>
        <w:t xml:space="preserve"> heterogeneity across them in CSP mattered</w:t>
      </w:r>
      <w:r w:rsidR="00E40C33" w:rsidRPr="00F25441">
        <w:rPr>
          <w:lang w:val="en-US"/>
        </w:rPr>
        <w:t>.</w:t>
      </w:r>
      <w:r w:rsidR="00D22DEE" w:rsidRPr="00F25441">
        <w:rPr>
          <w:lang w:val="en-US"/>
        </w:rPr>
        <w:t xml:space="preserve"> By </w:t>
      </w:r>
      <w:r w:rsidR="002D1282" w:rsidRPr="00F25441">
        <w:rPr>
          <w:lang w:val="en-US"/>
        </w:rPr>
        <w:t>establishing a link between</w:t>
      </w:r>
      <w:r w:rsidR="001D2C2D" w:rsidRPr="00F25441">
        <w:rPr>
          <w:lang w:val="en-US"/>
        </w:rPr>
        <w:t xml:space="preserve"> the</w:t>
      </w:r>
      <w:r w:rsidR="002D1282" w:rsidRPr="00F25441">
        <w:rPr>
          <w:lang w:val="en-US"/>
        </w:rPr>
        <w:t xml:space="preserve"> macro (i.e., country-level) and micro (</w:t>
      </w:r>
      <w:r w:rsidR="001D2C2D" w:rsidRPr="00F25441">
        <w:rPr>
          <w:lang w:val="en-US"/>
        </w:rPr>
        <w:t xml:space="preserve">i.e., </w:t>
      </w:r>
      <w:r w:rsidR="002D1282" w:rsidRPr="00F25441">
        <w:rPr>
          <w:lang w:val="en-US"/>
        </w:rPr>
        <w:t>firm-level)</w:t>
      </w:r>
      <w:r w:rsidR="001D2C2D" w:rsidRPr="00F25441">
        <w:rPr>
          <w:lang w:val="en-US"/>
        </w:rPr>
        <w:t xml:space="preserve"> levels of analysis</w:t>
      </w:r>
      <w:r w:rsidR="002D1282" w:rsidRPr="00F25441">
        <w:rPr>
          <w:lang w:val="en-US"/>
        </w:rPr>
        <w:t xml:space="preserve"> and by theoretically synthesizing across multiple disciplines including institutional economics, political science, cultural research, and institutional theory, we were able to demonstrate that differences across countries </w:t>
      </w:r>
      <w:r w:rsidR="001D2C2D" w:rsidRPr="00F25441">
        <w:rPr>
          <w:lang w:val="en-US"/>
        </w:rPr>
        <w:t>in terms of the</w:t>
      </w:r>
      <w:r w:rsidR="002D1282" w:rsidRPr="00F25441">
        <w:rPr>
          <w:lang w:val="en-US"/>
        </w:rPr>
        <w:t xml:space="preserve"> political system, the education and </w:t>
      </w:r>
      <w:r w:rsidR="00F71A6F" w:rsidRPr="00F25441">
        <w:rPr>
          <w:lang w:val="en-US"/>
        </w:rPr>
        <w:t>labor</w:t>
      </w:r>
      <w:r w:rsidR="002D1282" w:rsidRPr="00F25441">
        <w:rPr>
          <w:lang w:val="en-US"/>
        </w:rPr>
        <w:t xml:space="preserve"> system, the financial system and the cultural system</w:t>
      </w:r>
      <w:r w:rsidR="00B22D1E" w:rsidRPr="00F25441">
        <w:rPr>
          <w:lang w:val="en-US"/>
        </w:rPr>
        <w:t xml:space="preserve"> </w:t>
      </w:r>
      <w:r w:rsidR="001D2C2D" w:rsidRPr="00F25441">
        <w:rPr>
          <w:lang w:val="en-US"/>
        </w:rPr>
        <w:t>significant</w:t>
      </w:r>
      <w:r w:rsidR="00C225F8" w:rsidRPr="00F25441">
        <w:rPr>
          <w:lang w:val="en-US"/>
        </w:rPr>
        <w:t>ly</w:t>
      </w:r>
      <w:r w:rsidR="001D2C2D" w:rsidRPr="00F25441">
        <w:rPr>
          <w:lang w:val="en-US"/>
        </w:rPr>
        <w:t xml:space="preserve"> impact</w:t>
      </w:r>
      <w:r w:rsidR="00C225F8" w:rsidRPr="00F25441">
        <w:rPr>
          <w:lang w:val="en-US"/>
        </w:rPr>
        <w:t>ed</w:t>
      </w:r>
      <w:r w:rsidR="001D2C2D" w:rsidRPr="00F25441">
        <w:rPr>
          <w:lang w:val="en-US"/>
        </w:rPr>
        <w:t xml:space="preserve"> variation in CSP across companies. </w:t>
      </w:r>
    </w:p>
    <w:p w14:paraId="7590ACFB" w14:textId="09097890" w:rsidR="002518CD" w:rsidRPr="00F25441" w:rsidRDefault="002518CD" w:rsidP="009E4311">
      <w:pPr>
        <w:spacing w:line="480" w:lineRule="auto"/>
        <w:ind w:firstLine="720"/>
        <w:jc w:val="both"/>
        <w:rPr>
          <w:lang w:val="en-US"/>
        </w:rPr>
      </w:pPr>
      <w:r w:rsidRPr="00F25441">
        <w:rPr>
          <w:lang w:val="en-US"/>
        </w:rPr>
        <w:t xml:space="preserve">Our paper </w:t>
      </w:r>
      <w:r w:rsidR="00201BDD" w:rsidRPr="00F25441">
        <w:rPr>
          <w:lang w:val="en-US"/>
        </w:rPr>
        <w:t>therefore contributed to the I</w:t>
      </w:r>
      <w:r w:rsidR="00FF2696" w:rsidRPr="00F25441">
        <w:rPr>
          <w:lang w:val="en-US"/>
        </w:rPr>
        <w:t xml:space="preserve">nternational </w:t>
      </w:r>
      <w:r w:rsidR="00201BDD" w:rsidRPr="00F25441">
        <w:rPr>
          <w:lang w:val="en-US"/>
        </w:rPr>
        <w:t>B</w:t>
      </w:r>
      <w:r w:rsidR="00FF2696" w:rsidRPr="00F25441">
        <w:rPr>
          <w:lang w:val="en-US"/>
        </w:rPr>
        <w:t>usiness (IB)</w:t>
      </w:r>
      <w:r w:rsidR="00201BDD" w:rsidRPr="00F25441">
        <w:rPr>
          <w:lang w:val="en-US"/>
        </w:rPr>
        <w:t xml:space="preserve"> literature in several ways. First, we answered the call for more systematic research on the multi-level drivers of CSP variation across companies in general</w:t>
      </w:r>
      <w:r w:rsidR="006523DC" w:rsidRPr="00F25441">
        <w:rPr>
          <w:lang w:val="en-US"/>
        </w:rPr>
        <w:t xml:space="preserve"> (e.g., Rodriguez, Siegel, Hillman, and Eden, 2006)</w:t>
      </w:r>
      <w:r w:rsidR="00201BDD" w:rsidRPr="00F25441">
        <w:rPr>
          <w:lang w:val="en-US"/>
        </w:rPr>
        <w:t xml:space="preserve">, and the role of nation-level institutions more specifically. </w:t>
      </w:r>
      <w:r w:rsidR="000C06E4" w:rsidRPr="00F25441">
        <w:rPr>
          <w:lang w:val="en-US"/>
        </w:rPr>
        <w:t xml:space="preserve">In so doing, we essentially demonstrated how the fundamental questions that were asked in the literature </w:t>
      </w:r>
      <w:r w:rsidR="00C24546" w:rsidRPr="00F25441">
        <w:rPr>
          <w:lang w:val="en-US"/>
        </w:rPr>
        <w:t xml:space="preserve">until then, </w:t>
      </w:r>
      <w:r w:rsidR="000C06E4" w:rsidRPr="00F25441">
        <w:rPr>
          <w:lang w:val="en-US"/>
        </w:rPr>
        <w:t>on financial performance heterogeneity</w:t>
      </w:r>
      <w:r w:rsidR="00C24546" w:rsidRPr="00F25441">
        <w:rPr>
          <w:lang w:val="en-US"/>
        </w:rPr>
        <w:t>,</w:t>
      </w:r>
      <w:r w:rsidR="000C06E4" w:rsidRPr="00F25441">
        <w:rPr>
          <w:lang w:val="en-US"/>
        </w:rPr>
        <w:t xml:space="preserve"> were equally applicable and </w:t>
      </w:r>
      <w:r w:rsidR="00C24546" w:rsidRPr="00F25441">
        <w:rPr>
          <w:lang w:val="en-US"/>
        </w:rPr>
        <w:t xml:space="preserve">at least as </w:t>
      </w:r>
      <w:r w:rsidR="000C06E4" w:rsidRPr="00F25441">
        <w:rPr>
          <w:lang w:val="en-US"/>
        </w:rPr>
        <w:t>relevant in the context of CSP. Second, t</w:t>
      </w:r>
      <w:r w:rsidR="00201BDD" w:rsidRPr="00F25441">
        <w:rPr>
          <w:lang w:val="en-US"/>
        </w:rPr>
        <w:t xml:space="preserve">heoretically, we </w:t>
      </w:r>
      <w:r w:rsidR="000C06E4" w:rsidRPr="00F25441">
        <w:rPr>
          <w:lang w:val="en-US"/>
        </w:rPr>
        <w:t xml:space="preserve">identified and </w:t>
      </w:r>
      <w:r w:rsidR="004E33B0" w:rsidRPr="00F25441">
        <w:rPr>
          <w:lang w:val="en-US"/>
        </w:rPr>
        <w:t>characterized</w:t>
      </w:r>
      <w:r w:rsidR="00201BDD" w:rsidRPr="00F25441">
        <w:rPr>
          <w:lang w:val="en-US"/>
        </w:rPr>
        <w:t xml:space="preserve"> the causal mechanisms through which macro structures, such as institutions, can affect</w:t>
      </w:r>
      <w:r w:rsidR="000C06E4" w:rsidRPr="00F25441">
        <w:rPr>
          <w:lang w:val="en-US"/>
        </w:rPr>
        <w:t xml:space="preserve"> more micro structures, </w:t>
      </w:r>
      <w:r w:rsidR="00F868FA" w:rsidRPr="00F25441">
        <w:rPr>
          <w:lang w:val="en-US"/>
        </w:rPr>
        <w:t>such as</w:t>
      </w:r>
      <w:r w:rsidR="000C06E4" w:rsidRPr="00F25441">
        <w:rPr>
          <w:lang w:val="en-US"/>
        </w:rPr>
        <w:t xml:space="preserve"> firms and their CSP</w:t>
      </w:r>
      <w:r w:rsidR="00F868FA" w:rsidRPr="00F25441">
        <w:rPr>
          <w:lang w:val="en-US"/>
        </w:rPr>
        <w:t xml:space="preserve">. Accordingly, </w:t>
      </w:r>
      <w:r w:rsidR="00201BDD" w:rsidRPr="00F25441">
        <w:rPr>
          <w:lang w:val="en-US"/>
        </w:rPr>
        <w:t xml:space="preserve">we contributed to the flourishing literature within IB </w:t>
      </w:r>
      <w:r w:rsidR="000C06E4" w:rsidRPr="00F25441">
        <w:rPr>
          <w:lang w:val="en-US"/>
        </w:rPr>
        <w:t xml:space="preserve">that explored </w:t>
      </w:r>
      <w:r w:rsidR="00F868FA" w:rsidRPr="00F25441">
        <w:rPr>
          <w:lang w:val="en-US"/>
        </w:rPr>
        <w:t>the implications of</w:t>
      </w:r>
      <w:r w:rsidR="000C06E4" w:rsidRPr="00F25441">
        <w:rPr>
          <w:lang w:val="en-US"/>
        </w:rPr>
        <w:t xml:space="preserve"> institutional diversit</w:t>
      </w:r>
      <w:r w:rsidR="00F868FA" w:rsidRPr="00F25441">
        <w:rPr>
          <w:lang w:val="en-US"/>
        </w:rPr>
        <w:t>y</w:t>
      </w:r>
      <w:r w:rsidR="000C06E4" w:rsidRPr="00F25441">
        <w:rPr>
          <w:lang w:val="en-US"/>
        </w:rPr>
        <w:t>.</w:t>
      </w:r>
      <w:r w:rsidR="00F868FA" w:rsidRPr="00F25441">
        <w:rPr>
          <w:lang w:val="en-US"/>
        </w:rPr>
        <w:t xml:space="preserve"> Third, </w:t>
      </w:r>
      <w:r w:rsidR="00247857" w:rsidRPr="00F25441">
        <w:rPr>
          <w:lang w:val="en-US"/>
        </w:rPr>
        <w:t xml:space="preserve">by presenting evidence of the profound impact that institutions have in influencing </w:t>
      </w:r>
      <w:r w:rsidR="004E33B0" w:rsidRPr="00F25441">
        <w:rPr>
          <w:lang w:val="en-US"/>
        </w:rPr>
        <w:t>firms’</w:t>
      </w:r>
      <w:r w:rsidR="00247857" w:rsidRPr="00F25441">
        <w:rPr>
          <w:lang w:val="en-US"/>
        </w:rPr>
        <w:t xml:space="preserve"> social performance </w:t>
      </w:r>
      <w:r w:rsidR="004E33B0" w:rsidRPr="00F25441">
        <w:rPr>
          <w:lang w:val="en-US"/>
        </w:rPr>
        <w:t>with</w:t>
      </w:r>
      <w:r w:rsidR="00247857" w:rsidRPr="00F25441">
        <w:rPr>
          <w:lang w:val="en-US"/>
        </w:rPr>
        <w:t>in the ecosystem that these institutions oversee, our study had important policy implications. In</w:t>
      </w:r>
      <w:r w:rsidR="001C6A22" w:rsidRPr="00F25441">
        <w:rPr>
          <w:lang w:val="en-US"/>
        </w:rPr>
        <w:t xml:space="preserve"> fact</w:t>
      </w:r>
      <w:r w:rsidR="00247857" w:rsidRPr="00F25441">
        <w:rPr>
          <w:lang w:val="en-US"/>
        </w:rPr>
        <w:t>, for policymakers, our study identifie</w:t>
      </w:r>
      <w:r w:rsidR="00C24546" w:rsidRPr="00F25441">
        <w:rPr>
          <w:lang w:val="en-US"/>
        </w:rPr>
        <w:t>d</w:t>
      </w:r>
      <w:r w:rsidR="00247857" w:rsidRPr="00F25441">
        <w:rPr>
          <w:lang w:val="en-US"/>
        </w:rPr>
        <w:t xml:space="preserve"> key levers that </w:t>
      </w:r>
      <w:r w:rsidR="00FC4B36" w:rsidRPr="00F25441">
        <w:rPr>
          <w:lang w:val="en-US"/>
        </w:rPr>
        <w:t xml:space="preserve">could </w:t>
      </w:r>
      <w:r w:rsidR="00247857" w:rsidRPr="00F25441">
        <w:rPr>
          <w:lang w:val="en-US"/>
        </w:rPr>
        <w:t xml:space="preserve">be </w:t>
      </w:r>
      <w:r w:rsidR="00542E68" w:rsidRPr="00F25441">
        <w:rPr>
          <w:lang w:val="en-US"/>
        </w:rPr>
        <w:t>evaluated and potentially utilized</w:t>
      </w:r>
      <w:r w:rsidR="00247857" w:rsidRPr="00F25441">
        <w:rPr>
          <w:lang w:val="en-US"/>
        </w:rPr>
        <w:t xml:space="preserve">, </w:t>
      </w:r>
      <w:r w:rsidR="00542E68" w:rsidRPr="00F25441">
        <w:rPr>
          <w:lang w:val="en-US"/>
        </w:rPr>
        <w:t>at the country-level</w:t>
      </w:r>
      <w:r w:rsidR="00247857" w:rsidRPr="00F25441">
        <w:rPr>
          <w:lang w:val="en-US"/>
        </w:rPr>
        <w:t xml:space="preserve">, to </w:t>
      </w:r>
      <w:r w:rsidR="00542E68" w:rsidRPr="00F25441">
        <w:rPr>
          <w:lang w:val="en-US"/>
        </w:rPr>
        <w:t xml:space="preserve">strengthen </w:t>
      </w:r>
      <w:r w:rsidR="00A95DB6" w:rsidRPr="00F25441">
        <w:rPr>
          <w:lang w:val="en-US"/>
        </w:rPr>
        <w:t xml:space="preserve">our </w:t>
      </w:r>
      <w:r w:rsidR="00247857" w:rsidRPr="00F25441">
        <w:rPr>
          <w:lang w:val="en-US"/>
        </w:rPr>
        <w:t>understanding o</w:t>
      </w:r>
      <w:r w:rsidR="00542E68" w:rsidRPr="00F25441">
        <w:rPr>
          <w:lang w:val="en-US"/>
        </w:rPr>
        <w:t>f</w:t>
      </w:r>
      <w:r w:rsidR="00FC4B36" w:rsidRPr="00F25441">
        <w:rPr>
          <w:lang w:val="en-US"/>
        </w:rPr>
        <w:t xml:space="preserve"> how</w:t>
      </w:r>
      <w:r w:rsidR="00247857" w:rsidRPr="00F25441">
        <w:rPr>
          <w:lang w:val="en-US"/>
        </w:rPr>
        <w:t xml:space="preserve"> political, educational, </w:t>
      </w:r>
      <w:r w:rsidR="00247857" w:rsidRPr="00F25441">
        <w:rPr>
          <w:lang w:val="en-US"/>
        </w:rPr>
        <w:lastRenderedPageBreak/>
        <w:t>labor, financial, and even cultural institutions</w:t>
      </w:r>
      <w:r w:rsidR="00FC4B36" w:rsidRPr="00F25441">
        <w:rPr>
          <w:lang w:val="en-US"/>
        </w:rPr>
        <w:t xml:space="preserve"> </w:t>
      </w:r>
      <w:r w:rsidR="008508FB">
        <w:rPr>
          <w:lang w:val="en-US"/>
        </w:rPr>
        <w:t>can</w:t>
      </w:r>
      <w:r w:rsidR="008508FB" w:rsidRPr="00F25441">
        <w:rPr>
          <w:lang w:val="en-US"/>
        </w:rPr>
        <w:t xml:space="preserve"> </w:t>
      </w:r>
      <w:r w:rsidR="00FC4B36" w:rsidRPr="00F25441">
        <w:rPr>
          <w:lang w:val="en-US"/>
        </w:rPr>
        <w:t>enhance CSP</w:t>
      </w:r>
      <w:r w:rsidR="00247857" w:rsidRPr="00F25441">
        <w:rPr>
          <w:lang w:val="en-US"/>
        </w:rPr>
        <w:t>, and</w:t>
      </w:r>
      <w:r w:rsidR="00542E68" w:rsidRPr="00F25441">
        <w:rPr>
          <w:lang w:val="en-US"/>
        </w:rPr>
        <w:t xml:space="preserve"> hopefully</w:t>
      </w:r>
      <w:r w:rsidR="00C24546" w:rsidRPr="00F25441">
        <w:rPr>
          <w:lang w:val="en-US"/>
        </w:rPr>
        <w:t>, it has</w:t>
      </w:r>
      <w:r w:rsidR="00542E68" w:rsidRPr="00F25441">
        <w:rPr>
          <w:lang w:val="en-US"/>
        </w:rPr>
        <w:t xml:space="preserve"> contributed to the discussion of </w:t>
      </w:r>
      <w:r w:rsidR="00247857" w:rsidRPr="00F25441">
        <w:rPr>
          <w:lang w:val="en-US"/>
        </w:rPr>
        <w:t xml:space="preserve">how </w:t>
      </w:r>
      <w:r w:rsidR="00C24546" w:rsidRPr="00F25441">
        <w:rPr>
          <w:lang w:val="en-US"/>
        </w:rPr>
        <w:t>institutions</w:t>
      </w:r>
      <w:r w:rsidR="00FC4B36" w:rsidRPr="00F25441">
        <w:rPr>
          <w:lang w:val="en-US"/>
        </w:rPr>
        <w:t xml:space="preserve"> themselves</w:t>
      </w:r>
      <w:r w:rsidR="00C24546" w:rsidRPr="00F25441">
        <w:rPr>
          <w:lang w:val="en-US"/>
        </w:rPr>
        <w:t xml:space="preserve"> </w:t>
      </w:r>
      <w:r w:rsidR="00542E68" w:rsidRPr="00F25441">
        <w:rPr>
          <w:lang w:val="en-US"/>
        </w:rPr>
        <w:t>could</w:t>
      </w:r>
      <w:r w:rsidR="00247857" w:rsidRPr="00F25441">
        <w:rPr>
          <w:lang w:val="en-US"/>
        </w:rPr>
        <w:t xml:space="preserve"> be </w:t>
      </w:r>
      <w:r w:rsidR="00542E68" w:rsidRPr="00F25441">
        <w:rPr>
          <w:lang w:val="en-US"/>
        </w:rPr>
        <w:t xml:space="preserve">reformed or even </w:t>
      </w:r>
      <w:r w:rsidR="00247857" w:rsidRPr="00F25441">
        <w:rPr>
          <w:lang w:val="en-US"/>
        </w:rPr>
        <w:t xml:space="preserve">transformed to </w:t>
      </w:r>
      <w:r w:rsidR="00FC4B36" w:rsidRPr="00F25441">
        <w:rPr>
          <w:lang w:val="en-US"/>
        </w:rPr>
        <w:t xml:space="preserve">further </w:t>
      </w:r>
      <w:r w:rsidR="00542E68" w:rsidRPr="00F25441">
        <w:rPr>
          <w:lang w:val="en-US"/>
        </w:rPr>
        <w:t xml:space="preserve">promote and ultimately </w:t>
      </w:r>
      <w:r w:rsidR="00247857" w:rsidRPr="00F25441">
        <w:rPr>
          <w:lang w:val="en-US"/>
        </w:rPr>
        <w:t xml:space="preserve">achieve social goals </w:t>
      </w:r>
      <w:r w:rsidR="00542E68" w:rsidRPr="00F25441">
        <w:rPr>
          <w:lang w:val="en-US"/>
        </w:rPr>
        <w:t>globally.</w:t>
      </w:r>
    </w:p>
    <w:p w14:paraId="40C13A57" w14:textId="29CE6B6E" w:rsidR="00B21A53" w:rsidRPr="00F25441" w:rsidRDefault="00E561A0" w:rsidP="009E4311">
      <w:pPr>
        <w:spacing w:line="480" w:lineRule="auto"/>
        <w:ind w:firstLine="720"/>
        <w:jc w:val="both"/>
        <w:rPr>
          <w:lang w:val="en-US"/>
        </w:rPr>
      </w:pPr>
      <w:r w:rsidRPr="00F25441">
        <w:rPr>
          <w:lang w:val="en-US"/>
        </w:rPr>
        <w:t>It is worth noting that our study would not have been feasible had we not gained early access to a comprehensive</w:t>
      </w:r>
      <w:r w:rsidR="000F757F" w:rsidRPr="00F25441">
        <w:rPr>
          <w:lang w:val="en-US"/>
        </w:rPr>
        <w:t xml:space="preserve"> and global</w:t>
      </w:r>
      <w:r w:rsidRPr="00F25441">
        <w:rPr>
          <w:lang w:val="en-US"/>
        </w:rPr>
        <w:t xml:space="preserve"> dataset by ASSET4 (</w:t>
      </w:r>
      <w:r w:rsidR="00FA3601" w:rsidRPr="00F25441">
        <w:rPr>
          <w:lang w:val="en-US"/>
        </w:rPr>
        <w:t xml:space="preserve">later acquired by Thomson Reuters and </w:t>
      </w:r>
      <w:r w:rsidRPr="00F25441">
        <w:rPr>
          <w:lang w:val="en-US"/>
        </w:rPr>
        <w:t>now</w:t>
      </w:r>
      <w:r w:rsidR="00FA3601" w:rsidRPr="00F25441">
        <w:rPr>
          <w:lang w:val="en-US"/>
        </w:rPr>
        <w:t xml:space="preserve"> operating under</w:t>
      </w:r>
      <w:r w:rsidRPr="00F25441">
        <w:rPr>
          <w:lang w:val="en-US"/>
        </w:rPr>
        <w:t xml:space="preserve"> </w:t>
      </w:r>
      <w:r w:rsidRPr="00F25441">
        <w:rPr>
          <w:i/>
          <w:iCs/>
          <w:lang w:val="en-US"/>
        </w:rPr>
        <w:t>Refinitiv</w:t>
      </w:r>
      <w:r w:rsidRPr="00F25441">
        <w:rPr>
          <w:lang w:val="en-US"/>
        </w:rPr>
        <w:t>)</w:t>
      </w:r>
      <w:r w:rsidR="000F757F" w:rsidRPr="00F25441">
        <w:rPr>
          <w:lang w:val="en-US"/>
        </w:rPr>
        <w:t xml:space="preserve"> that allowed us to compare companies’ environmental and social performance across a relatively large number of countries – 42 countries – and for </w:t>
      </w:r>
      <w:r w:rsidR="005168E5" w:rsidRPr="00F25441">
        <w:rPr>
          <w:lang w:val="en-US"/>
        </w:rPr>
        <w:t>a respectable</w:t>
      </w:r>
      <w:r w:rsidR="000F757F" w:rsidRPr="00F25441">
        <w:rPr>
          <w:lang w:val="en-US"/>
        </w:rPr>
        <w:t xml:space="preserve"> span of seven years. </w:t>
      </w:r>
      <w:r w:rsidR="00710095" w:rsidRPr="00F25441">
        <w:rPr>
          <w:lang w:val="en-US"/>
        </w:rPr>
        <w:t>In our empirical analysis</w:t>
      </w:r>
      <w:r w:rsidR="000F757F" w:rsidRPr="00F25441">
        <w:rPr>
          <w:lang w:val="en-US"/>
        </w:rPr>
        <w:t xml:space="preserve">, we found that the political system, followed by the labor and education system, and the cultural system </w:t>
      </w:r>
      <w:r w:rsidR="00710095" w:rsidRPr="00F25441">
        <w:rPr>
          <w:lang w:val="en-US"/>
        </w:rPr>
        <w:t>were</w:t>
      </w:r>
      <w:r w:rsidR="000F757F" w:rsidRPr="00F25441">
        <w:rPr>
          <w:lang w:val="en-US"/>
        </w:rPr>
        <w:t xml:space="preserve"> the most important NBS categories of institutions that impact</w:t>
      </w:r>
      <w:r w:rsidR="00710095" w:rsidRPr="00F25441">
        <w:rPr>
          <w:lang w:val="en-US"/>
        </w:rPr>
        <w:t>ed</w:t>
      </w:r>
      <w:r w:rsidR="000F757F" w:rsidRPr="00F25441">
        <w:rPr>
          <w:lang w:val="en-US"/>
        </w:rPr>
        <w:t xml:space="preserve"> CSP</w:t>
      </w:r>
      <w:r w:rsidR="007E58BA" w:rsidRPr="00F25441">
        <w:rPr>
          <w:lang w:val="en-US"/>
        </w:rPr>
        <w:t xml:space="preserve"> heterogeneity</w:t>
      </w:r>
      <w:r w:rsidR="000F757F" w:rsidRPr="00F25441">
        <w:rPr>
          <w:lang w:val="en-US"/>
        </w:rPr>
        <w:t xml:space="preserve"> yet, rather surprisingly, we found that cross-country differences in the financial system</w:t>
      </w:r>
      <w:r w:rsidR="00F71A6F" w:rsidRPr="00F25441">
        <w:rPr>
          <w:lang w:val="en-US"/>
        </w:rPr>
        <w:t xml:space="preserve"> appeared to have a relatively less significant impact. It is precisely because of this finding, and the fact that the financial system and capital markets have </w:t>
      </w:r>
      <w:r w:rsidR="0002545A" w:rsidRPr="00F25441">
        <w:rPr>
          <w:lang w:val="en-US"/>
        </w:rPr>
        <w:t xml:space="preserve">changed in significant ways </w:t>
      </w:r>
      <w:r w:rsidR="00F71A6F" w:rsidRPr="00F25441">
        <w:rPr>
          <w:lang w:val="en-US"/>
        </w:rPr>
        <w:t xml:space="preserve">since 2012 in terms of metrics, transparency and accountability demands </w:t>
      </w:r>
      <w:r w:rsidR="00710095" w:rsidRPr="00F25441">
        <w:rPr>
          <w:lang w:val="en-US"/>
        </w:rPr>
        <w:t xml:space="preserve">on companies on environmental and social issues </w:t>
      </w:r>
      <w:r w:rsidR="00A95DB6" w:rsidRPr="00F25441">
        <w:rPr>
          <w:lang w:val="en-US"/>
        </w:rPr>
        <w:t xml:space="preserve">and integration of CSP into investment decisions </w:t>
      </w:r>
      <w:r w:rsidR="00710095" w:rsidRPr="00F25441">
        <w:rPr>
          <w:lang w:val="en-US"/>
        </w:rPr>
        <w:t xml:space="preserve">that in this Retrospective piece we chose to </w:t>
      </w:r>
      <w:r w:rsidR="005168E5" w:rsidRPr="00F25441">
        <w:rPr>
          <w:lang w:val="en-US"/>
        </w:rPr>
        <w:t>offer more extensive</w:t>
      </w:r>
      <w:r w:rsidR="00710095" w:rsidRPr="00F25441">
        <w:rPr>
          <w:lang w:val="en-US"/>
        </w:rPr>
        <w:t xml:space="preserve"> remarks</w:t>
      </w:r>
      <w:r w:rsidR="00A95DB6" w:rsidRPr="00F25441">
        <w:rPr>
          <w:lang w:val="en-US"/>
        </w:rPr>
        <w:t xml:space="preserve"> </w:t>
      </w:r>
      <w:r w:rsidR="00710095" w:rsidRPr="00F25441">
        <w:rPr>
          <w:lang w:val="en-US"/>
        </w:rPr>
        <w:t>on this</w:t>
      </w:r>
      <w:r w:rsidR="005168E5" w:rsidRPr="00F25441">
        <w:rPr>
          <w:lang w:val="en-US"/>
        </w:rPr>
        <w:t xml:space="preserve"> particular</w:t>
      </w:r>
      <w:r w:rsidR="00710095" w:rsidRPr="00F25441">
        <w:rPr>
          <w:lang w:val="en-US"/>
        </w:rPr>
        <w:t xml:space="preserve"> </w:t>
      </w:r>
      <w:r w:rsidR="0042390E" w:rsidRPr="00F25441">
        <w:rPr>
          <w:lang w:val="en-US"/>
        </w:rPr>
        <w:t>institution</w:t>
      </w:r>
      <w:r w:rsidR="00710095" w:rsidRPr="00F25441">
        <w:rPr>
          <w:lang w:val="en-US"/>
        </w:rPr>
        <w:t>.</w:t>
      </w:r>
    </w:p>
    <w:p w14:paraId="15D77B1F" w14:textId="66EC2F87" w:rsidR="00292CE6" w:rsidRPr="00F25441" w:rsidRDefault="00F71A6F" w:rsidP="009E4311">
      <w:pPr>
        <w:spacing w:line="480" w:lineRule="auto"/>
        <w:ind w:firstLine="720"/>
        <w:jc w:val="both"/>
        <w:rPr>
          <w:lang w:val="en-US"/>
        </w:rPr>
      </w:pPr>
      <w:r w:rsidRPr="00F25441">
        <w:rPr>
          <w:lang w:val="en-US"/>
        </w:rPr>
        <w:t>Accordingly,</w:t>
      </w:r>
      <w:r w:rsidR="00066D76" w:rsidRPr="00F25441">
        <w:rPr>
          <w:lang w:val="en-US"/>
        </w:rPr>
        <w:t xml:space="preserve"> we begin by reflecting on </w:t>
      </w:r>
      <w:r w:rsidR="00EC29B9" w:rsidRPr="00F25441">
        <w:rPr>
          <w:lang w:val="en-US"/>
        </w:rPr>
        <w:t>the</w:t>
      </w:r>
      <w:r w:rsidR="00066D76" w:rsidRPr="00F25441">
        <w:rPr>
          <w:lang w:val="en-US"/>
        </w:rPr>
        <w:t xml:space="preserve"> motivation </w:t>
      </w:r>
      <w:r w:rsidR="00EC29B9" w:rsidRPr="00F25441">
        <w:rPr>
          <w:lang w:val="en-US"/>
        </w:rPr>
        <w:t xml:space="preserve">that propelled us to write the original paper, and we revisit the paper’s most important theoretical and empirical contributions. </w:t>
      </w:r>
      <w:r w:rsidR="00C13F69" w:rsidRPr="00F25441">
        <w:rPr>
          <w:lang w:val="en-US"/>
        </w:rPr>
        <w:t xml:space="preserve">We subsequently reflect upon the progress that the IB field has achieved within the areas of future research that we identified back in 2012 by discussing some key studies, and then, by building on these studies, we suggest additional directions of future research. </w:t>
      </w:r>
      <w:r w:rsidR="0016200C" w:rsidRPr="00F25441">
        <w:rPr>
          <w:lang w:val="en-US"/>
        </w:rPr>
        <w:t>W</w:t>
      </w:r>
      <w:r w:rsidR="004B2EE2" w:rsidRPr="00F25441">
        <w:rPr>
          <w:lang w:val="en-US"/>
        </w:rPr>
        <w:t xml:space="preserve">e </w:t>
      </w:r>
      <w:r w:rsidR="00C23F36" w:rsidRPr="00F25441">
        <w:rPr>
          <w:lang w:val="en-US"/>
        </w:rPr>
        <w:t>elaborate</w:t>
      </w:r>
      <w:r w:rsidR="00EC29B9" w:rsidRPr="00F25441">
        <w:rPr>
          <w:lang w:val="en-US"/>
        </w:rPr>
        <w:t xml:space="preserve"> on the crucial role that capital markets, as an institution</w:t>
      </w:r>
      <w:r w:rsidR="006C177A" w:rsidRPr="00F25441">
        <w:rPr>
          <w:lang w:val="en-US"/>
        </w:rPr>
        <w:t>,</w:t>
      </w:r>
      <w:r w:rsidR="00EC29B9" w:rsidRPr="00F25441">
        <w:rPr>
          <w:lang w:val="en-US"/>
        </w:rPr>
        <w:t xml:space="preserve"> will likely continue to play on the path toward more socially responsible </w:t>
      </w:r>
      <w:r w:rsidR="005A61ED" w:rsidRPr="00F25441">
        <w:rPr>
          <w:lang w:val="en-US"/>
        </w:rPr>
        <w:t>companies</w:t>
      </w:r>
      <w:r w:rsidR="00EC29B9" w:rsidRPr="00F25441">
        <w:rPr>
          <w:lang w:val="en-US"/>
        </w:rPr>
        <w:t xml:space="preserve">. </w:t>
      </w:r>
      <w:r w:rsidR="005A61ED" w:rsidRPr="00F25441">
        <w:rPr>
          <w:lang w:val="en-US"/>
        </w:rPr>
        <w:t>Overall, we hope to encourage and motivate more IB research</w:t>
      </w:r>
      <w:r w:rsidR="00292CE6" w:rsidRPr="00F25441">
        <w:rPr>
          <w:lang w:val="en-US"/>
        </w:rPr>
        <w:t xml:space="preserve"> that will </w:t>
      </w:r>
      <w:r w:rsidR="00B87E54" w:rsidRPr="00F25441">
        <w:rPr>
          <w:lang w:val="en-US"/>
        </w:rPr>
        <w:t xml:space="preserve">extend the frontiers of knowledge and will </w:t>
      </w:r>
      <w:r w:rsidR="00AE5117" w:rsidRPr="00F25441">
        <w:rPr>
          <w:lang w:val="en-US"/>
        </w:rPr>
        <w:t>equip</w:t>
      </w:r>
      <w:r w:rsidR="00292CE6" w:rsidRPr="00F25441">
        <w:rPr>
          <w:lang w:val="en-US"/>
        </w:rPr>
        <w:t xml:space="preserve"> us with </w:t>
      </w:r>
      <w:r w:rsidR="00B21A53" w:rsidRPr="00F25441">
        <w:rPr>
          <w:lang w:val="en-US"/>
        </w:rPr>
        <w:t xml:space="preserve">a </w:t>
      </w:r>
      <w:r w:rsidR="00AE5117" w:rsidRPr="00F25441">
        <w:rPr>
          <w:lang w:val="en-US"/>
        </w:rPr>
        <w:t>better</w:t>
      </w:r>
      <w:r w:rsidR="00B21A53" w:rsidRPr="00F25441">
        <w:rPr>
          <w:lang w:val="en-US"/>
        </w:rPr>
        <w:t xml:space="preserve"> </w:t>
      </w:r>
      <w:r w:rsidR="00292CE6" w:rsidRPr="00F25441">
        <w:rPr>
          <w:lang w:val="en-US"/>
        </w:rPr>
        <w:t xml:space="preserve">understanding </w:t>
      </w:r>
      <w:r w:rsidR="00B87E54" w:rsidRPr="00F25441">
        <w:rPr>
          <w:lang w:val="en-US"/>
        </w:rPr>
        <w:t xml:space="preserve">of </w:t>
      </w:r>
      <w:r w:rsidR="00292CE6" w:rsidRPr="00F25441">
        <w:rPr>
          <w:lang w:val="en-US"/>
        </w:rPr>
        <w:t>how</w:t>
      </w:r>
      <w:r w:rsidR="005A61ED" w:rsidRPr="00F25441">
        <w:rPr>
          <w:lang w:val="en-US"/>
        </w:rPr>
        <w:t xml:space="preserve"> nation-level</w:t>
      </w:r>
      <w:r w:rsidR="00292CE6" w:rsidRPr="00F25441">
        <w:rPr>
          <w:lang w:val="en-US"/>
        </w:rPr>
        <w:t xml:space="preserve"> institutions may positively affect the propensity of </w:t>
      </w:r>
      <w:r w:rsidR="00292CE6" w:rsidRPr="00F25441">
        <w:rPr>
          <w:lang w:val="en-US"/>
        </w:rPr>
        <w:lastRenderedPageBreak/>
        <w:t>organizations to adopt and implement practices that not only enhance their own CSP but contribute to</w:t>
      </w:r>
      <w:r w:rsidR="005A61ED" w:rsidRPr="00F25441">
        <w:rPr>
          <w:lang w:val="en-US"/>
        </w:rPr>
        <w:t>ward addressing some of the world’s biggest environmental and social challenges</w:t>
      </w:r>
      <w:r w:rsidR="0002545A" w:rsidRPr="00F25441">
        <w:rPr>
          <w:lang w:val="en-US"/>
        </w:rPr>
        <w:t>, as identified by the Sustainable Development Goals</w:t>
      </w:r>
      <w:r w:rsidR="005A61ED" w:rsidRPr="00F25441">
        <w:rPr>
          <w:lang w:val="en-US"/>
        </w:rPr>
        <w:t>.</w:t>
      </w:r>
    </w:p>
    <w:p w14:paraId="18A07CC3" w14:textId="53D0DF92" w:rsidR="006777A4" w:rsidRPr="00F25441" w:rsidRDefault="006777A4" w:rsidP="00910767">
      <w:pPr>
        <w:spacing w:line="480" w:lineRule="auto"/>
        <w:jc w:val="center"/>
        <w:rPr>
          <w:b/>
          <w:bCs/>
          <w:lang w:val="en-US"/>
        </w:rPr>
      </w:pPr>
      <w:r w:rsidRPr="00F25441">
        <w:rPr>
          <w:b/>
          <w:bCs/>
          <w:lang w:val="en-US"/>
        </w:rPr>
        <w:t>MOTIVATION FOR THE 2012 PAPER</w:t>
      </w:r>
    </w:p>
    <w:p w14:paraId="60BB5AA2" w14:textId="4110D4E1" w:rsidR="002F2401" w:rsidRPr="00F25441" w:rsidRDefault="00232862" w:rsidP="00B233ED">
      <w:pPr>
        <w:spacing w:line="480" w:lineRule="auto"/>
        <w:jc w:val="both"/>
        <w:rPr>
          <w:lang w:val="en-US"/>
        </w:rPr>
      </w:pPr>
      <w:r w:rsidRPr="00F25441">
        <w:rPr>
          <w:lang w:val="en-US"/>
        </w:rPr>
        <w:t xml:space="preserve">In the years leading to 2012, the academic literature on corporate social responsibility (CSR) </w:t>
      </w:r>
      <w:r w:rsidR="001D7EC1" w:rsidRPr="00F25441">
        <w:rPr>
          <w:lang w:val="en-US"/>
        </w:rPr>
        <w:t>was</w:t>
      </w:r>
      <w:r w:rsidRPr="00F25441">
        <w:rPr>
          <w:lang w:val="en-US"/>
        </w:rPr>
        <w:t xml:space="preserve"> flourish</w:t>
      </w:r>
      <w:r w:rsidR="001D7EC1" w:rsidRPr="00F25441">
        <w:rPr>
          <w:lang w:val="en-US"/>
        </w:rPr>
        <w:t>ing</w:t>
      </w:r>
      <w:r w:rsidRPr="00F25441">
        <w:rPr>
          <w:lang w:val="en-US"/>
        </w:rPr>
        <w:t xml:space="preserve">, while in </w:t>
      </w:r>
      <w:r w:rsidR="009C2812" w:rsidRPr="00F25441">
        <w:rPr>
          <w:lang w:val="en-US"/>
        </w:rPr>
        <w:t>the world of practice</w:t>
      </w:r>
      <w:r w:rsidRPr="00F25441">
        <w:rPr>
          <w:lang w:val="en-US"/>
        </w:rPr>
        <w:t xml:space="preserve">, companies were </w:t>
      </w:r>
      <w:r w:rsidR="00DF7ADA" w:rsidRPr="00F25441">
        <w:rPr>
          <w:lang w:val="en-US"/>
        </w:rPr>
        <w:t>accelerating</w:t>
      </w:r>
      <w:r w:rsidRPr="00F25441">
        <w:rPr>
          <w:lang w:val="en-US"/>
        </w:rPr>
        <w:t xml:space="preserve"> their involvement with</w:t>
      </w:r>
      <w:r w:rsidR="00D63F69" w:rsidRPr="00F25441">
        <w:rPr>
          <w:lang w:val="en-US"/>
        </w:rPr>
        <w:t>,</w:t>
      </w:r>
      <w:r w:rsidRPr="00F25441">
        <w:rPr>
          <w:lang w:val="en-US"/>
        </w:rPr>
        <w:t xml:space="preserve"> and their propensity to adopt or experiment with a </w:t>
      </w:r>
      <w:r w:rsidR="00467653">
        <w:rPr>
          <w:lang w:val="en-US"/>
        </w:rPr>
        <w:t>widening</w:t>
      </w:r>
      <w:r w:rsidRPr="00F25441">
        <w:rPr>
          <w:lang w:val="en-US"/>
        </w:rPr>
        <w:t xml:space="preserve"> range of environmentally or socially oriented activities and initiatives. As a result, the way we </w:t>
      </w:r>
      <w:r w:rsidR="004C745E" w:rsidRPr="00F25441">
        <w:rPr>
          <w:lang w:val="en-US"/>
        </w:rPr>
        <w:t>collectively</w:t>
      </w:r>
      <w:r w:rsidR="001651F3" w:rsidRPr="00F25441">
        <w:rPr>
          <w:lang w:val="en-US"/>
        </w:rPr>
        <w:t xml:space="preserve"> </w:t>
      </w:r>
      <w:r w:rsidRPr="00F25441">
        <w:rPr>
          <w:lang w:val="en-US"/>
        </w:rPr>
        <w:t xml:space="preserve">defined corporate performance </w:t>
      </w:r>
      <w:r w:rsidR="001D7EC1" w:rsidRPr="00F25441">
        <w:rPr>
          <w:lang w:val="en-US"/>
        </w:rPr>
        <w:t xml:space="preserve">beyond financial metrics </w:t>
      </w:r>
      <w:r w:rsidRPr="00F25441">
        <w:rPr>
          <w:lang w:val="en-US"/>
        </w:rPr>
        <w:t xml:space="preserve">and the way we understood the antecedents to performance heterogeneity across firms began to </w:t>
      </w:r>
      <w:r w:rsidR="00D63F69" w:rsidRPr="00F25441">
        <w:rPr>
          <w:lang w:val="en-US"/>
        </w:rPr>
        <w:t xml:space="preserve">fundamentally </w:t>
      </w:r>
      <w:r w:rsidRPr="00F25441">
        <w:rPr>
          <w:lang w:val="en-US"/>
        </w:rPr>
        <w:t xml:space="preserve">shift </w:t>
      </w:r>
      <w:r w:rsidR="001D7EC1" w:rsidRPr="00F25441">
        <w:rPr>
          <w:lang w:val="en-US"/>
        </w:rPr>
        <w:t>as well</w:t>
      </w:r>
      <w:r w:rsidR="009C2812" w:rsidRPr="00F25441">
        <w:rPr>
          <w:lang w:val="en-US"/>
        </w:rPr>
        <w:t>.</w:t>
      </w:r>
      <w:r w:rsidRPr="00F25441">
        <w:rPr>
          <w:lang w:val="en-US"/>
        </w:rPr>
        <w:t xml:space="preserve"> </w:t>
      </w:r>
      <w:r w:rsidR="004C745E" w:rsidRPr="00F25441">
        <w:rPr>
          <w:lang w:val="en-US"/>
        </w:rPr>
        <w:t>This</w:t>
      </w:r>
      <w:r w:rsidR="009C2812" w:rsidRPr="00F25441">
        <w:rPr>
          <w:lang w:val="en-US"/>
        </w:rPr>
        <w:t xml:space="preserve"> </w:t>
      </w:r>
      <w:r w:rsidR="001D7EC1" w:rsidRPr="00F25441">
        <w:rPr>
          <w:lang w:val="en-US"/>
        </w:rPr>
        <w:t xml:space="preserve">also </w:t>
      </w:r>
      <w:r w:rsidRPr="00F25441">
        <w:rPr>
          <w:lang w:val="en-US"/>
        </w:rPr>
        <w:t xml:space="preserve">reflected the </w:t>
      </w:r>
      <w:r w:rsidR="00D63F69" w:rsidRPr="00F25441">
        <w:rPr>
          <w:lang w:val="en-US"/>
        </w:rPr>
        <w:t xml:space="preserve">broader, </w:t>
      </w:r>
      <w:r w:rsidR="004C745E" w:rsidRPr="00F25441">
        <w:rPr>
          <w:lang w:val="en-US"/>
        </w:rPr>
        <w:t>gradual</w:t>
      </w:r>
      <w:r w:rsidRPr="00F25441">
        <w:rPr>
          <w:lang w:val="en-US"/>
        </w:rPr>
        <w:t xml:space="preserve"> </w:t>
      </w:r>
      <w:r w:rsidR="001D7EC1" w:rsidRPr="00F25441">
        <w:rPr>
          <w:lang w:val="en-US"/>
        </w:rPr>
        <w:t>shift</w:t>
      </w:r>
      <w:r w:rsidR="004C745E" w:rsidRPr="00F25441">
        <w:rPr>
          <w:lang w:val="en-US"/>
        </w:rPr>
        <w:t xml:space="preserve"> that was taking place</w:t>
      </w:r>
      <w:r w:rsidRPr="00F25441">
        <w:rPr>
          <w:lang w:val="en-US"/>
        </w:rPr>
        <w:t xml:space="preserve"> away from a shareholder</w:t>
      </w:r>
      <w:r w:rsidR="001D7EC1" w:rsidRPr="00F25441">
        <w:rPr>
          <w:lang w:val="en-US"/>
        </w:rPr>
        <w:t xml:space="preserve"> primacy</w:t>
      </w:r>
      <w:r w:rsidRPr="00F25441">
        <w:rPr>
          <w:lang w:val="en-US"/>
        </w:rPr>
        <w:t xml:space="preserve"> view of the corporation toward a more holistic and integrated view, and thu</w:t>
      </w:r>
      <w:r w:rsidR="009C2812" w:rsidRPr="00F25441">
        <w:rPr>
          <w:lang w:val="en-US"/>
        </w:rPr>
        <w:t>s</w:t>
      </w:r>
      <w:r w:rsidRPr="00F25441">
        <w:rPr>
          <w:lang w:val="en-US"/>
        </w:rPr>
        <w:t>, toward a stakeholder understanding</w:t>
      </w:r>
      <w:r w:rsidR="009C2812" w:rsidRPr="00F25441">
        <w:rPr>
          <w:lang w:val="en-US"/>
        </w:rPr>
        <w:t xml:space="preserve"> of the role of the corporation in society</w:t>
      </w:r>
      <w:r w:rsidR="001651F3" w:rsidRPr="00F25441">
        <w:rPr>
          <w:lang w:val="en-US"/>
        </w:rPr>
        <w:t xml:space="preserve"> (Ioannou and Serafeim, 20</w:t>
      </w:r>
      <w:r w:rsidR="007749B5" w:rsidRPr="00F25441">
        <w:rPr>
          <w:lang w:val="en-US"/>
        </w:rPr>
        <w:t>15</w:t>
      </w:r>
      <w:r w:rsidR="001651F3" w:rsidRPr="00F25441">
        <w:rPr>
          <w:lang w:val="en-US"/>
        </w:rPr>
        <w:t>)</w:t>
      </w:r>
      <w:r w:rsidRPr="00F25441">
        <w:rPr>
          <w:lang w:val="en-US"/>
        </w:rPr>
        <w:t xml:space="preserve">. </w:t>
      </w:r>
      <w:r w:rsidR="009121FD" w:rsidRPr="00F25441">
        <w:rPr>
          <w:lang w:val="en-US"/>
        </w:rPr>
        <w:t>Accordingly</w:t>
      </w:r>
      <w:r w:rsidR="004C745E" w:rsidRPr="00F25441">
        <w:rPr>
          <w:lang w:val="en-US"/>
        </w:rPr>
        <w:t>, CSR activities – which are</w:t>
      </w:r>
      <w:r w:rsidR="009C2812" w:rsidRPr="00F25441">
        <w:rPr>
          <w:lang w:val="en-US"/>
        </w:rPr>
        <w:t xml:space="preserve"> </w:t>
      </w:r>
      <w:r w:rsidR="00FF1782">
        <w:rPr>
          <w:lang w:val="en-US"/>
        </w:rPr>
        <w:t xml:space="preserve">arguably </w:t>
      </w:r>
      <w:r w:rsidR="009C2812" w:rsidRPr="00F25441">
        <w:rPr>
          <w:lang w:val="en-US"/>
        </w:rPr>
        <w:t>adopted by companies</w:t>
      </w:r>
      <w:r w:rsidR="004C745E" w:rsidRPr="00F25441">
        <w:rPr>
          <w:lang w:val="en-US"/>
        </w:rPr>
        <w:t xml:space="preserve"> to meet</w:t>
      </w:r>
      <w:r w:rsidR="00D63F69" w:rsidRPr="00F25441">
        <w:rPr>
          <w:lang w:val="en-US"/>
        </w:rPr>
        <w:t xml:space="preserve"> (</w:t>
      </w:r>
      <w:r w:rsidR="004C745E" w:rsidRPr="00F25441">
        <w:rPr>
          <w:lang w:val="en-US"/>
        </w:rPr>
        <w:t>or exceed</w:t>
      </w:r>
      <w:r w:rsidR="00D63F69" w:rsidRPr="00F25441">
        <w:rPr>
          <w:lang w:val="en-US"/>
        </w:rPr>
        <w:t>)</w:t>
      </w:r>
      <w:r w:rsidR="004C745E" w:rsidRPr="00F25441">
        <w:rPr>
          <w:lang w:val="en-US"/>
        </w:rPr>
        <w:t xml:space="preserve"> stakeholder demands and expectations </w:t>
      </w:r>
      <w:r w:rsidR="002F2401" w:rsidRPr="00F25441">
        <w:rPr>
          <w:lang w:val="en-US"/>
        </w:rPr>
        <w:t xml:space="preserve">for social responsibility </w:t>
      </w:r>
      <w:r w:rsidR="004C745E" w:rsidRPr="00F25441">
        <w:rPr>
          <w:lang w:val="en-US"/>
        </w:rPr>
        <w:t xml:space="preserve">– </w:t>
      </w:r>
      <w:r w:rsidR="009C2812" w:rsidRPr="00F25441">
        <w:rPr>
          <w:lang w:val="en-US"/>
        </w:rPr>
        <w:t>were in some ways reshaping our understanding of the relationships between firms and their stakeholders and, more specifically, the relationship</w:t>
      </w:r>
      <w:r w:rsidR="001D7EC1" w:rsidRPr="00F25441">
        <w:rPr>
          <w:lang w:val="en-US"/>
        </w:rPr>
        <w:t xml:space="preserve"> between</w:t>
      </w:r>
      <w:r w:rsidR="009C2812" w:rsidRPr="00F25441">
        <w:rPr>
          <w:lang w:val="en-US"/>
        </w:rPr>
        <w:t xml:space="preserve"> a firm and its surrounding institutions.</w:t>
      </w:r>
      <w:r w:rsidR="00B119EE" w:rsidRPr="00F25441">
        <w:rPr>
          <w:lang w:val="en-US"/>
        </w:rPr>
        <w:t xml:space="preserve"> It therefore becom</w:t>
      </w:r>
      <w:r w:rsidR="002F2401" w:rsidRPr="00F25441">
        <w:rPr>
          <w:lang w:val="en-US"/>
        </w:rPr>
        <w:t>e</w:t>
      </w:r>
      <w:r w:rsidR="00B119EE" w:rsidRPr="00F25441">
        <w:rPr>
          <w:lang w:val="en-US"/>
        </w:rPr>
        <w:t xml:space="preserve"> apparent </w:t>
      </w:r>
      <w:r w:rsidR="002F2401" w:rsidRPr="00F25441">
        <w:rPr>
          <w:lang w:val="en-US"/>
        </w:rPr>
        <w:t xml:space="preserve">to us </w:t>
      </w:r>
      <w:r w:rsidR="00B119EE" w:rsidRPr="00F25441">
        <w:rPr>
          <w:lang w:val="en-US"/>
        </w:rPr>
        <w:t xml:space="preserve">that if we wanted to understand variation in the </w:t>
      </w:r>
      <w:r w:rsidR="001D7EC1" w:rsidRPr="00F25441">
        <w:rPr>
          <w:lang w:val="en-US"/>
        </w:rPr>
        <w:t>“</w:t>
      </w:r>
      <w:r w:rsidR="00B119EE" w:rsidRPr="00F25441">
        <w:rPr>
          <w:lang w:val="en-US"/>
        </w:rPr>
        <w:t>out</w:t>
      </w:r>
      <w:r w:rsidR="001D7EC1" w:rsidRPr="00F25441">
        <w:rPr>
          <w:lang w:val="en-US"/>
        </w:rPr>
        <w:t>comes”</w:t>
      </w:r>
      <w:r w:rsidR="00B119EE" w:rsidRPr="00F25441">
        <w:rPr>
          <w:lang w:val="en-US"/>
        </w:rPr>
        <w:t xml:space="preserve"> of CSR activities across firms – i.e., CSP – </w:t>
      </w:r>
      <w:r w:rsidR="002F2401" w:rsidRPr="00F25441">
        <w:rPr>
          <w:lang w:val="en-US"/>
        </w:rPr>
        <w:t>exploring</w:t>
      </w:r>
      <w:r w:rsidR="00B119EE" w:rsidRPr="00F25441">
        <w:rPr>
          <w:lang w:val="en-US"/>
        </w:rPr>
        <w:t xml:space="preserve"> the role of nation-level institutions </w:t>
      </w:r>
      <w:r w:rsidR="001D7EC1" w:rsidRPr="00F25441">
        <w:rPr>
          <w:lang w:val="en-US"/>
        </w:rPr>
        <w:t xml:space="preserve">was critical, given that </w:t>
      </w:r>
      <w:r w:rsidR="002F2401" w:rsidRPr="00F25441">
        <w:rPr>
          <w:lang w:val="en-US"/>
        </w:rPr>
        <w:t>institutions exercise significant influence on companies’ decision-making (e.g., Campbell, 2007; Campbell, Hollingsworth, &amp; Lindberg, 1991).</w:t>
      </w:r>
    </w:p>
    <w:p w14:paraId="1D6FA3BC" w14:textId="6F0625A7" w:rsidR="00DC0EEE" w:rsidRPr="00F25441" w:rsidRDefault="00D63F69" w:rsidP="009121FD">
      <w:pPr>
        <w:spacing w:line="480" w:lineRule="auto"/>
        <w:ind w:firstLine="720"/>
        <w:jc w:val="both"/>
        <w:rPr>
          <w:lang w:val="en-US"/>
        </w:rPr>
      </w:pPr>
      <w:r w:rsidRPr="00F25441">
        <w:rPr>
          <w:lang w:val="en-US"/>
        </w:rPr>
        <w:t>Nevertheless</w:t>
      </w:r>
      <w:r w:rsidR="009121FD" w:rsidRPr="00F25441">
        <w:rPr>
          <w:lang w:val="en-US"/>
        </w:rPr>
        <w:t xml:space="preserve">, </w:t>
      </w:r>
      <w:r w:rsidR="00DC0EEE" w:rsidRPr="00F25441">
        <w:rPr>
          <w:lang w:val="en-US"/>
        </w:rPr>
        <w:t>by</w:t>
      </w:r>
      <w:r w:rsidR="009121FD" w:rsidRPr="00F25441">
        <w:rPr>
          <w:lang w:val="en-US"/>
        </w:rPr>
        <w:t xml:space="preserve"> the time of the original study, severe data limitations prevented scholars from quantifying precisely </w:t>
      </w:r>
      <w:r w:rsidR="009121FD" w:rsidRPr="00F25441">
        <w:rPr>
          <w:i/>
          <w:iCs/>
          <w:lang w:val="en-US"/>
        </w:rPr>
        <w:t>how important</w:t>
      </w:r>
      <w:r w:rsidR="009121FD" w:rsidRPr="00F25441">
        <w:rPr>
          <w:lang w:val="en-US"/>
        </w:rPr>
        <w:t xml:space="preserve"> institutions were</w:t>
      </w:r>
      <w:r w:rsidR="0023440C" w:rsidRPr="00F25441">
        <w:rPr>
          <w:lang w:val="en-US"/>
        </w:rPr>
        <w:t xml:space="preserve"> for</w:t>
      </w:r>
      <w:r w:rsidR="009121FD" w:rsidRPr="00F25441">
        <w:rPr>
          <w:lang w:val="en-US"/>
        </w:rPr>
        <w:t xml:space="preserve"> CSP heterogeneity relative to other levels of analysis</w:t>
      </w:r>
      <w:r w:rsidR="00CE2FF0" w:rsidRPr="00F25441">
        <w:rPr>
          <w:lang w:val="en-US"/>
        </w:rPr>
        <w:t xml:space="preserve"> and </w:t>
      </w:r>
      <w:r w:rsidR="009F6A73" w:rsidRPr="00F25441">
        <w:rPr>
          <w:lang w:val="en-US"/>
        </w:rPr>
        <w:t>what precisely were the</w:t>
      </w:r>
      <w:r w:rsidR="00DC0EEE" w:rsidRPr="00F25441">
        <w:rPr>
          <w:lang w:val="en-US"/>
        </w:rPr>
        <w:t xml:space="preserve"> </w:t>
      </w:r>
      <w:r w:rsidR="00CE2FF0" w:rsidRPr="00F25441">
        <w:rPr>
          <w:lang w:val="en-US"/>
        </w:rPr>
        <w:t>mechanisms through which institutions exerted such influence on CSP</w:t>
      </w:r>
      <w:r w:rsidR="009121FD" w:rsidRPr="00F25441">
        <w:rPr>
          <w:lang w:val="en-US"/>
        </w:rPr>
        <w:t xml:space="preserve">. For example, early studies </w:t>
      </w:r>
      <w:r w:rsidR="0023440C" w:rsidRPr="00F25441">
        <w:rPr>
          <w:lang w:val="en-US"/>
        </w:rPr>
        <w:t>comparatively explored</w:t>
      </w:r>
      <w:r w:rsidR="009121FD" w:rsidRPr="00F25441">
        <w:rPr>
          <w:lang w:val="en-US"/>
        </w:rPr>
        <w:t xml:space="preserve"> </w:t>
      </w:r>
      <w:r w:rsidR="009121FD" w:rsidRPr="00F25441">
        <w:rPr>
          <w:lang w:val="en-US"/>
        </w:rPr>
        <w:lastRenderedPageBreak/>
        <w:t>CSP across</w:t>
      </w:r>
      <w:r w:rsidR="0023440C" w:rsidRPr="00F25441">
        <w:rPr>
          <w:lang w:val="en-US"/>
        </w:rPr>
        <w:t xml:space="preserve"> only</w:t>
      </w:r>
      <w:r w:rsidR="009121FD" w:rsidRPr="00F25441">
        <w:rPr>
          <w:lang w:val="en-US"/>
        </w:rPr>
        <w:t xml:space="preserve"> a small number of countries </w:t>
      </w:r>
      <w:r w:rsidR="005426B8" w:rsidRPr="00F25441">
        <w:rPr>
          <w:lang w:val="en-US"/>
        </w:rPr>
        <w:t xml:space="preserve">(e.g., </w:t>
      </w:r>
      <w:proofErr w:type="spellStart"/>
      <w:r w:rsidR="005426B8" w:rsidRPr="00F25441">
        <w:rPr>
          <w:lang w:val="en-US"/>
        </w:rPr>
        <w:t>Maignan</w:t>
      </w:r>
      <w:proofErr w:type="spellEnd"/>
      <w:r w:rsidR="005426B8" w:rsidRPr="00F25441">
        <w:rPr>
          <w:lang w:val="en-US"/>
        </w:rPr>
        <w:t xml:space="preserve"> &amp; Ralston, 2002; Ramasamy &amp; Ting, 2004; Welford, 2004)</w:t>
      </w:r>
      <w:r w:rsidR="00CE2FF0" w:rsidRPr="00F25441">
        <w:rPr>
          <w:lang w:val="en-US"/>
        </w:rPr>
        <w:t xml:space="preserve"> or </w:t>
      </w:r>
      <w:r w:rsidR="009F6A73" w:rsidRPr="00F25441">
        <w:rPr>
          <w:lang w:val="en-US"/>
        </w:rPr>
        <w:t>across</w:t>
      </w:r>
      <w:r w:rsidR="00CE2FF0" w:rsidRPr="00F25441">
        <w:rPr>
          <w:lang w:val="en-US"/>
        </w:rPr>
        <w:t xml:space="preserve"> European firms only (Jackson and </w:t>
      </w:r>
      <w:proofErr w:type="spellStart"/>
      <w:r w:rsidR="00CE2FF0" w:rsidRPr="00F25441">
        <w:rPr>
          <w:lang w:val="en-US"/>
        </w:rPr>
        <w:t>Apostolakou</w:t>
      </w:r>
      <w:proofErr w:type="spellEnd"/>
      <w:r w:rsidR="00CE2FF0" w:rsidRPr="00F25441">
        <w:rPr>
          <w:lang w:val="en-US"/>
        </w:rPr>
        <w:t>, 2010) whereas a sub-stream of the literature focused on</w:t>
      </w:r>
      <w:r w:rsidR="00DC0EEE" w:rsidRPr="00F25441">
        <w:rPr>
          <w:lang w:val="en-US"/>
        </w:rPr>
        <w:t>ly on</w:t>
      </w:r>
      <w:r w:rsidR="00CE2FF0" w:rsidRPr="00F25441">
        <w:rPr>
          <w:lang w:val="en-US"/>
        </w:rPr>
        <w:t xml:space="preserve"> </w:t>
      </w:r>
      <w:r w:rsidR="00DC0EEE" w:rsidRPr="00F25441">
        <w:rPr>
          <w:lang w:val="en-US"/>
        </w:rPr>
        <w:t>specific</w:t>
      </w:r>
      <w:r w:rsidR="00CE2FF0" w:rsidRPr="00F25441">
        <w:rPr>
          <w:lang w:val="en-US"/>
        </w:rPr>
        <w:t xml:space="preserve"> CS</w:t>
      </w:r>
      <w:r w:rsidR="009F6A73" w:rsidRPr="00F25441">
        <w:rPr>
          <w:lang w:val="en-US"/>
        </w:rPr>
        <w:t>R</w:t>
      </w:r>
      <w:r w:rsidR="00CE2FF0" w:rsidRPr="00F25441">
        <w:rPr>
          <w:lang w:val="en-US"/>
        </w:rPr>
        <w:t xml:space="preserve"> activities such as corporate philanthropy</w:t>
      </w:r>
      <w:r w:rsidRPr="00F25441">
        <w:rPr>
          <w:lang w:val="en-US"/>
        </w:rPr>
        <w:t xml:space="preserve"> or CSR disclosure practices</w:t>
      </w:r>
      <w:r w:rsidR="00CE2FF0" w:rsidRPr="00F25441">
        <w:rPr>
          <w:lang w:val="en-US"/>
        </w:rPr>
        <w:t xml:space="preserve">, and the link between such activities and </w:t>
      </w:r>
      <w:r w:rsidR="00DC0EEE" w:rsidRPr="00F25441">
        <w:rPr>
          <w:lang w:val="en-US"/>
        </w:rPr>
        <w:t xml:space="preserve">government </w:t>
      </w:r>
      <w:r w:rsidR="00CE2FF0" w:rsidRPr="00F25441">
        <w:rPr>
          <w:lang w:val="en-US"/>
        </w:rPr>
        <w:t xml:space="preserve">regulation. </w:t>
      </w:r>
      <w:r w:rsidR="00DC0EEE" w:rsidRPr="00F25441">
        <w:rPr>
          <w:lang w:val="en-US"/>
        </w:rPr>
        <w:t>In short, prior work had directly or indirectly explored how institutional variation could explain the differences in the adoption of very specific CSR activities or difference</w:t>
      </w:r>
      <w:r w:rsidR="00D24BDA" w:rsidRPr="00F25441">
        <w:rPr>
          <w:lang w:val="en-US"/>
        </w:rPr>
        <w:t>s</w:t>
      </w:r>
      <w:r w:rsidR="00DC0EEE" w:rsidRPr="00F25441">
        <w:rPr>
          <w:lang w:val="en-US"/>
        </w:rPr>
        <w:t xml:space="preserve"> in voluntary CSR disclosure practices, across a limited number of countries. Consequently, </w:t>
      </w:r>
      <w:r w:rsidR="00D24BDA" w:rsidRPr="00F25441">
        <w:rPr>
          <w:lang w:val="en-US"/>
        </w:rPr>
        <w:t>the need for a</w:t>
      </w:r>
      <w:r w:rsidRPr="00F25441">
        <w:rPr>
          <w:lang w:val="en-US"/>
        </w:rPr>
        <w:t>n integrated and</w:t>
      </w:r>
      <w:r w:rsidR="00D24BDA" w:rsidRPr="00F25441">
        <w:rPr>
          <w:lang w:val="en-US"/>
        </w:rPr>
        <w:t xml:space="preserve"> </w:t>
      </w:r>
      <w:r w:rsidR="00083C09" w:rsidRPr="00F25441">
        <w:rPr>
          <w:lang w:val="en-US"/>
        </w:rPr>
        <w:t xml:space="preserve">comprehensive theoretical model and </w:t>
      </w:r>
      <w:r w:rsidR="00C11617" w:rsidRPr="00F25441">
        <w:rPr>
          <w:lang w:val="en-US"/>
        </w:rPr>
        <w:t xml:space="preserve">robust </w:t>
      </w:r>
      <w:r w:rsidR="00083C09" w:rsidRPr="00F25441">
        <w:rPr>
          <w:lang w:val="en-US"/>
        </w:rPr>
        <w:t xml:space="preserve">empirical evidence on how variation in the institutional structure </w:t>
      </w:r>
      <w:r w:rsidR="00C11617" w:rsidRPr="00F25441">
        <w:rPr>
          <w:lang w:val="en-US"/>
        </w:rPr>
        <w:t xml:space="preserve">affects CSP variation </w:t>
      </w:r>
      <w:r w:rsidR="00070ADB" w:rsidRPr="00F25441">
        <w:rPr>
          <w:lang w:val="en-US"/>
        </w:rPr>
        <w:t>became</w:t>
      </w:r>
      <w:r w:rsidR="00C11617" w:rsidRPr="00F25441">
        <w:rPr>
          <w:lang w:val="en-US"/>
        </w:rPr>
        <w:t xml:space="preserve"> very apparent to us. </w:t>
      </w:r>
    </w:p>
    <w:p w14:paraId="2890788B" w14:textId="2C827AA5" w:rsidR="007D1FF2" w:rsidRPr="00F25441" w:rsidRDefault="00AA53D9" w:rsidP="00774FE9">
      <w:pPr>
        <w:spacing w:line="480" w:lineRule="auto"/>
        <w:ind w:firstLine="720"/>
        <w:jc w:val="both"/>
        <w:rPr>
          <w:lang w:val="en-US"/>
        </w:rPr>
      </w:pPr>
      <w:r w:rsidRPr="00F25441">
        <w:rPr>
          <w:lang w:val="en-US"/>
        </w:rPr>
        <w:t xml:space="preserve">We should also </w:t>
      </w:r>
      <w:r w:rsidR="00504416" w:rsidRPr="00F25441">
        <w:rPr>
          <w:lang w:val="en-US"/>
        </w:rPr>
        <w:t>mention</w:t>
      </w:r>
      <w:r w:rsidRPr="00F25441">
        <w:rPr>
          <w:lang w:val="en-US"/>
        </w:rPr>
        <w:t xml:space="preserve"> that </w:t>
      </w:r>
      <w:r w:rsidR="00025AC4" w:rsidRPr="00F25441">
        <w:rPr>
          <w:lang w:val="en-US"/>
        </w:rPr>
        <w:t>we were</w:t>
      </w:r>
      <w:r w:rsidR="00E73D3C" w:rsidRPr="00F25441">
        <w:rPr>
          <w:lang w:val="en-US"/>
        </w:rPr>
        <w:t xml:space="preserve"> both</w:t>
      </w:r>
      <w:r w:rsidR="00C86C04" w:rsidRPr="00F25441">
        <w:rPr>
          <w:lang w:val="en-US"/>
        </w:rPr>
        <w:t xml:space="preserve"> motiv</w:t>
      </w:r>
      <w:r w:rsidR="002A2AD9" w:rsidRPr="00F25441">
        <w:rPr>
          <w:lang w:val="en-US"/>
        </w:rPr>
        <w:t>ated</w:t>
      </w:r>
      <w:r w:rsidR="00C86C04" w:rsidRPr="00F25441">
        <w:rPr>
          <w:lang w:val="en-US"/>
        </w:rPr>
        <w:t xml:space="preserve"> a</w:t>
      </w:r>
      <w:r w:rsidR="00C30E50" w:rsidRPr="00F25441">
        <w:rPr>
          <w:lang w:val="en-US"/>
        </w:rPr>
        <w:t>s well as</w:t>
      </w:r>
      <w:r w:rsidR="00025AC4" w:rsidRPr="00F25441">
        <w:rPr>
          <w:lang w:val="en-US"/>
        </w:rPr>
        <w:t xml:space="preserve"> inspired to </w:t>
      </w:r>
      <w:r w:rsidR="00C86C04" w:rsidRPr="00F25441">
        <w:rPr>
          <w:lang w:val="en-US"/>
        </w:rPr>
        <w:t xml:space="preserve">pursue this </w:t>
      </w:r>
      <w:r w:rsidR="00D63F69" w:rsidRPr="00F25441">
        <w:rPr>
          <w:lang w:val="en-US"/>
        </w:rPr>
        <w:t xml:space="preserve">line of </w:t>
      </w:r>
      <w:r w:rsidR="00C86C04" w:rsidRPr="00F25441">
        <w:rPr>
          <w:lang w:val="en-US"/>
        </w:rPr>
        <w:t>research, and t</w:t>
      </w:r>
      <w:r w:rsidR="00D63F69" w:rsidRPr="00F25441">
        <w:rPr>
          <w:lang w:val="en-US"/>
        </w:rPr>
        <w:t xml:space="preserve">o set this </w:t>
      </w:r>
      <w:r w:rsidR="00C86C04" w:rsidRPr="00F25441">
        <w:rPr>
          <w:lang w:val="en-US"/>
        </w:rPr>
        <w:t xml:space="preserve">rather ambitious objective </w:t>
      </w:r>
      <w:r w:rsidR="00504416" w:rsidRPr="00F25441">
        <w:rPr>
          <w:lang w:val="en-US"/>
        </w:rPr>
        <w:t xml:space="preserve">for </w:t>
      </w:r>
      <w:r w:rsidR="00FF1782">
        <w:rPr>
          <w:lang w:val="en-US"/>
        </w:rPr>
        <w:t>our</w:t>
      </w:r>
      <w:r w:rsidR="00FF1782" w:rsidRPr="00F25441">
        <w:rPr>
          <w:lang w:val="en-US"/>
        </w:rPr>
        <w:t xml:space="preserve"> </w:t>
      </w:r>
      <w:r w:rsidR="00504416" w:rsidRPr="00F25441">
        <w:rPr>
          <w:lang w:val="en-US"/>
        </w:rPr>
        <w:t>study</w:t>
      </w:r>
      <w:r w:rsidR="00210B28" w:rsidRPr="00F25441">
        <w:rPr>
          <w:lang w:val="en-US"/>
        </w:rPr>
        <w:t>,</w:t>
      </w:r>
      <w:r w:rsidR="00504416" w:rsidRPr="00F25441">
        <w:rPr>
          <w:lang w:val="en-US"/>
        </w:rPr>
        <w:t xml:space="preserve"> </w:t>
      </w:r>
      <w:r w:rsidR="00210B28" w:rsidRPr="00F25441">
        <w:rPr>
          <w:lang w:val="en-US"/>
        </w:rPr>
        <w:t>because of</w:t>
      </w:r>
      <w:r w:rsidR="00C86C04" w:rsidRPr="00F25441">
        <w:rPr>
          <w:lang w:val="en-US"/>
        </w:rPr>
        <w:t xml:space="preserve"> </w:t>
      </w:r>
      <w:r w:rsidR="00D63F69" w:rsidRPr="00F25441">
        <w:rPr>
          <w:lang w:val="en-US"/>
        </w:rPr>
        <w:t>a</w:t>
      </w:r>
      <w:r w:rsidR="00C86C04" w:rsidRPr="00F25441">
        <w:rPr>
          <w:lang w:val="en-US"/>
        </w:rPr>
        <w:t xml:space="preserve"> related </w:t>
      </w:r>
      <w:r w:rsidR="00D63F69" w:rsidRPr="00F25441">
        <w:rPr>
          <w:lang w:val="en-US"/>
        </w:rPr>
        <w:t>and</w:t>
      </w:r>
      <w:r w:rsidR="00C86C04" w:rsidRPr="00F25441">
        <w:rPr>
          <w:lang w:val="en-US"/>
        </w:rPr>
        <w:t xml:space="preserve"> extensive stream </w:t>
      </w:r>
      <w:r w:rsidR="00D63F69" w:rsidRPr="00F25441">
        <w:rPr>
          <w:lang w:val="en-US"/>
        </w:rPr>
        <w:t xml:space="preserve">of work </w:t>
      </w:r>
      <w:r w:rsidR="00C86C04" w:rsidRPr="00F25441">
        <w:rPr>
          <w:lang w:val="en-US"/>
        </w:rPr>
        <w:t>that we were very familiar with</w:t>
      </w:r>
      <w:r w:rsidR="003027CC" w:rsidRPr="00F25441">
        <w:rPr>
          <w:lang w:val="en-US"/>
        </w:rPr>
        <w:t>,</w:t>
      </w:r>
      <w:r w:rsidR="00070ADB" w:rsidRPr="00F25441">
        <w:rPr>
          <w:lang w:val="en-US"/>
        </w:rPr>
        <w:t xml:space="preserve"> focusing</w:t>
      </w:r>
      <w:r w:rsidR="00C86C04" w:rsidRPr="00F25441">
        <w:rPr>
          <w:lang w:val="en-US"/>
        </w:rPr>
        <w:t xml:space="preserve"> on what was considered at the time</w:t>
      </w:r>
      <w:r w:rsidR="00504416" w:rsidRPr="00F25441">
        <w:rPr>
          <w:lang w:val="en-US"/>
        </w:rPr>
        <w:t xml:space="preserve"> </w:t>
      </w:r>
      <w:r w:rsidR="00774FE9" w:rsidRPr="00F25441">
        <w:rPr>
          <w:lang w:val="en-US"/>
        </w:rPr>
        <w:t>–</w:t>
      </w:r>
      <w:r w:rsidR="00504416" w:rsidRPr="00F25441">
        <w:rPr>
          <w:lang w:val="en-US"/>
        </w:rPr>
        <w:t xml:space="preserve"> </w:t>
      </w:r>
      <w:r w:rsidR="00C86C04" w:rsidRPr="00F25441">
        <w:rPr>
          <w:lang w:val="en-US"/>
        </w:rPr>
        <w:t>and still to this day</w:t>
      </w:r>
      <w:r w:rsidR="00504416" w:rsidRPr="00F25441">
        <w:rPr>
          <w:lang w:val="en-US"/>
        </w:rPr>
        <w:t xml:space="preserve"> – one of</w:t>
      </w:r>
      <w:r w:rsidR="00C86C04" w:rsidRPr="00F25441">
        <w:rPr>
          <w:lang w:val="en-US"/>
        </w:rPr>
        <w:t xml:space="preserve"> the most important question</w:t>
      </w:r>
      <w:r w:rsidR="00504416" w:rsidRPr="00F25441">
        <w:rPr>
          <w:lang w:val="en-US"/>
        </w:rPr>
        <w:t>s</w:t>
      </w:r>
      <w:r w:rsidR="00C86C04" w:rsidRPr="00F25441">
        <w:rPr>
          <w:lang w:val="en-US"/>
        </w:rPr>
        <w:t xml:space="preserve"> </w:t>
      </w:r>
      <w:r w:rsidR="00070ADB" w:rsidRPr="00F25441">
        <w:rPr>
          <w:lang w:val="en-US"/>
        </w:rPr>
        <w:t>with</w:t>
      </w:r>
      <w:r w:rsidR="00C86C04" w:rsidRPr="00F25441">
        <w:rPr>
          <w:lang w:val="en-US"/>
        </w:rPr>
        <w:t xml:space="preserve">in strategic management: </w:t>
      </w:r>
      <w:r w:rsidR="00D63F69" w:rsidRPr="00F25441">
        <w:rPr>
          <w:lang w:val="en-US"/>
        </w:rPr>
        <w:t xml:space="preserve">that is, </w:t>
      </w:r>
      <w:r w:rsidR="00C86C04" w:rsidRPr="00F25441">
        <w:rPr>
          <w:lang w:val="en-US"/>
        </w:rPr>
        <w:t xml:space="preserve">what are the antecedents of </w:t>
      </w:r>
      <w:r w:rsidR="00C86C04" w:rsidRPr="00F25441">
        <w:rPr>
          <w:i/>
          <w:iCs/>
          <w:lang w:val="en-US"/>
        </w:rPr>
        <w:t>financial</w:t>
      </w:r>
      <w:r w:rsidR="00C86C04" w:rsidRPr="00F25441">
        <w:rPr>
          <w:lang w:val="en-US"/>
        </w:rPr>
        <w:t xml:space="preserve"> performance </w:t>
      </w:r>
      <w:r w:rsidR="00D63F69" w:rsidRPr="00F25441">
        <w:rPr>
          <w:lang w:val="en-US"/>
        </w:rPr>
        <w:t>heterogeneity across firms.</w:t>
      </w:r>
      <w:r w:rsidR="00912C2B" w:rsidRPr="00F25441">
        <w:rPr>
          <w:lang w:val="en-US"/>
        </w:rPr>
        <w:t xml:space="preserve"> </w:t>
      </w:r>
      <w:r w:rsidR="00504416" w:rsidRPr="00F25441">
        <w:rPr>
          <w:lang w:val="en-US"/>
        </w:rPr>
        <w:t>This</w:t>
      </w:r>
      <w:r w:rsidR="00D63F69" w:rsidRPr="00F25441">
        <w:rPr>
          <w:lang w:val="en-US"/>
        </w:rPr>
        <w:t xml:space="preserve"> question </w:t>
      </w:r>
      <w:r w:rsidR="00912C2B" w:rsidRPr="00F25441">
        <w:rPr>
          <w:lang w:val="en-US"/>
        </w:rPr>
        <w:t>had already been</w:t>
      </w:r>
      <w:r w:rsidR="00D63F69" w:rsidRPr="00F25441">
        <w:rPr>
          <w:lang w:val="en-US"/>
        </w:rPr>
        <w:t xml:space="preserve"> addressed by seminal papers and distinguished scholars in the field of strategic management including Michael Porter, Anita </w:t>
      </w:r>
      <w:r w:rsidR="00504416" w:rsidRPr="00F25441">
        <w:rPr>
          <w:lang w:val="en-US"/>
        </w:rPr>
        <w:t>McGahan,</w:t>
      </w:r>
      <w:r w:rsidR="00D63F69" w:rsidRPr="00F25441">
        <w:rPr>
          <w:lang w:val="en-US"/>
        </w:rPr>
        <w:t xml:space="preserve"> and Richard </w:t>
      </w:r>
      <w:proofErr w:type="spellStart"/>
      <w:r w:rsidR="00D63F69" w:rsidRPr="00F25441">
        <w:rPr>
          <w:lang w:val="en-US"/>
        </w:rPr>
        <w:t>Rumelt</w:t>
      </w:r>
      <w:proofErr w:type="spellEnd"/>
      <w:r w:rsidR="00D63F69" w:rsidRPr="00F25441">
        <w:rPr>
          <w:lang w:val="en-US"/>
        </w:rPr>
        <w:t xml:space="preserve"> (e.g., </w:t>
      </w:r>
      <w:proofErr w:type="spellStart"/>
      <w:r w:rsidR="000E4EA8" w:rsidRPr="00F25441">
        <w:rPr>
          <w:lang w:val="en-US"/>
        </w:rPr>
        <w:t>Rumelt</w:t>
      </w:r>
      <w:proofErr w:type="spellEnd"/>
      <w:r w:rsidR="000E4EA8" w:rsidRPr="00F25441">
        <w:rPr>
          <w:lang w:val="en-US"/>
        </w:rPr>
        <w:t xml:space="preserve">, 1991; </w:t>
      </w:r>
      <w:r w:rsidR="00D63F69" w:rsidRPr="00F25441">
        <w:rPr>
          <w:lang w:val="en-US"/>
        </w:rPr>
        <w:t>McGahan &amp; Porter, 1997, 2002</w:t>
      </w:r>
      <w:r w:rsidR="000E4EA8" w:rsidRPr="00F25441">
        <w:rPr>
          <w:lang w:val="en-US"/>
        </w:rPr>
        <w:t>)</w:t>
      </w:r>
      <w:r w:rsidR="00504416" w:rsidRPr="00F25441">
        <w:rPr>
          <w:lang w:val="en-US"/>
        </w:rPr>
        <w:t xml:space="preserve"> </w:t>
      </w:r>
      <w:r w:rsidR="002A76AE" w:rsidRPr="00F25441">
        <w:rPr>
          <w:lang w:val="en-US"/>
        </w:rPr>
        <w:t xml:space="preserve">and </w:t>
      </w:r>
      <w:r w:rsidR="00FF1782">
        <w:rPr>
          <w:lang w:val="en-US"/>
        </w:rPr>
        <w:t>therefore</w:t>
      </w:r>
      <w:r w:rsidR="002A76AE" w:rsidRPr="00F25441">
        <w:rPr>
          <w:lang w:val="en-US"/>
        </w:rPr>
        <w:t xml:space="preserve">, we thought that it was at least as important to explore </w:t>
      </w:r>
      <w:r w:rsidR="00912C2B" w:rsidRPr="00F25441">
        <w:rPr>
          <w:lang w:val="en-US"/>
        </w:rPr>
        <w:t>th</w:t>
      </w:r>
      <w:r w:rsidR="00070ADB" w:rsidRPr="00F25441">
        <w:rPr>
          <w:lang w:val="en-US"/>
        </w:rPr>
        <w:t>is question</w:t>
      </w:r>
      <w:r w:rsidR="002A76AE" w:rsidRPr="00F25441">
        <w:rPr>
          <w:lang w:val="en-US"/>
        </w:rPr>
        <w:t xml:space="preserve"> in the context of CSP. </w:t>
      </w:r>
      <w:r w:rsidR="00070ADB" w:rsidRPr="00F25441">
        <w:rPr>
          <w:lang w:val="en-US"/>
        </w:rPr>
        <w:t>T</w:t>
      </w:r>
      <w:r w:rsidR="003A188B" w:rsidRPr="00F25441">
        <w:rPr>
          <w:lang w:val="en-US"/>
        </w:rPr>
        <w:t xml:space="preserve">his set of </w:t>
      </w:r>
      <w:r w:rsidR="002A76AE" w:rsidRPr="00F25441">
        <w:rPr>
          <w:lang w:val="en-US"/>
        </w:rPr>
        <w:t>papers</w:t>
      </w:r>
      <w:r w:rsidR="00FF1782">
        <w:rPr>
          <w:lang w:val="en-US"/>
        </w:rPr>
        <w:t xml:space="preserve"> </w:t>
      </w:r>
      <w:r w:rsidR="002A76AE" w:rsidRPr="00F25441">
        <w:rPr>
          <w:lang w:val="en-US"/>
        </w:rPr>
        <w:t xml:space="preserve">provided us with a roadmap </w:t>
      </w:r>
      <w:r w:rsidR="00070ADB" w:rsidRPr="00F25441">
        <w:rPr>
          <w:lang w:val="en-US"/>
        </w:rPr>
        <w:t>about</w:t>
      </w:r>
      <w:r w:rsidR="002A76AE" w:rsidRPr="00F25441">
        <w:rPr>
          <w:lang w:val="en-US"/>
        </w:rPr>
        <w:t xml:space="preserve"> how to tackle </w:t>
      </w:r>
      <w:r w:rsidR="003A188B" w:rsidRPr="00F25441">
        <w:rPr>
          <w:lang w:val="en-US"/>
        </w:rPr>
        <w:t>our research question</w:t>
      </w:r>
      <w:r w:rsidR="002A76AE" w:rsidRPr="00F25441">
        <w:rPr>
          <w:lang w:val="en-US"/>
        </w:rPr>
        <w:t xml:space="preserve">. </w:t>
      </w:r>
      <w:r w:rsidR="00E21899" w:rsidRPr="00F25441">
        <w:rPr>
          <w:lang w:val="en-US"/>
        </w:rPr>
        <w:t xml:space="preserve">And in fact, given that </w:t>
      </w:r>
      <w:r w:rsidR="00443B9D" w:rsidRPr="00F25441">
        <w:rPr>
          <w:lang w:val="en-US"/>
        </w:rPr>
        <w:t xml:space="preserve">globally, </w:t>
      </w:r>
      <w:r w:rsidR="00070ADB" w:rsidRPr="00F25441">
        <w:rPr>
          <w:lang w:val="en-US"/>
        </w:rPr>
        <w:t>across</w:t>
      </w:r>
      <w:r w:rsidR="00E21899" w:rsidRPr="00F25441">
        <w:rPr>
          <w:lang w:val="en-US"/>
        </w:rPr>
        <w:t xml:space="preserve"> societies</w:t>
      </w:r>
      <w:r w:rsidR="00443B9D" w:rsidRPr="00F25441">
        <w:rPr>
          <w:lang w:val="en-US"/>
        </w:rPr>
        <w:t>,</w:t>
      </w:r>
      <w:r w:rsidR="00E21899" w:rsidRPr="00F25441">
        <w:rPr>
          <w:lang w:val="en-US"/>
        </w:rPr>
        <w:t xml:space="preserve"> distinct systems of markets had emerged </w:t>
      </w:r>
      <w:r w:rsidR="000A44BD" w:rsidRPr="00F25441">
        <w:rPr>
          <w:lang w:val="en-US"/>
        </w:rPr>
        <w:t>that</w:t>
      </w:r>
      <w:r w:rsidR="00E21899" w:rsidRPr="00F25441">
        <w:rPr>
          <w:lang w:val="en-US"/>
        </w:rPr>
        <w:t xml:space="preserve"> reflect</w:t>
      </w:r>
      <w:r w:rsidR="000A44BD" w:rsidRPr="00F25441">
        <w:rPr>
          <w:lang w:val="en-US"/>
        </w:rPr>
        <w:t>ed</w:t>
      </w:r>
      <w:r w:rsidR="00E21899" w:rsidRPr="00F25441">
        <w:rPr>
          <w:lang w:val="en-US"/>
        </w:rPr>
        <w:t xml:space="preserve"> the societies’ institutions, their idiosyncratic ethics and values, and the extensive range and diverse types of social relations, </w:t>
      </w:r>
      <w:r w:rsidR="000A44BD" w:rsidRPr="00F25441">
        <w:rPr>
          <w:lang w:val="en-US"/>
        </w:rPr>
        <w:t xml:space="preserve">we had every reason to believe that companies that are embedded within </w:t>
      </w:r>
      <w:r w:rsidR="00070ADB" w:rsidRPr="00F25441">
        <w:rPr>
          <w:lang w:val="en-US"/>
        </w:rPr>
        <w:t>these</w:t>
      </w:r>
      <w:r w:rsidR="000A44BD" w:rsidRPr="00F25441">
        <w:rPr>
          <w:lang w:val="en-US"/>
        </w:rPr>
        <w:t xml:space="preserve"> societies, would also socially perform differently. </w:t>
      </w:r>
    </w:p>
    <w:p w14:paraId="39850FFA" w14:textId="57216718" w:rsidR="00910767" w:rsidRPr="00F25441" w:rsidRDefault="00E5270F" w:rsidP="00073791">
      <w:pPr>
        <w:spacing w:line="480" w:lineRule="auto"/>
        <w:ind w:firstLine="720"/>
        <w:jc w:val="both"/>
        <w:rPr>
          <w:lang w:val="en-US"/>
        </w:rPr>
      </w:pPr>
      <w:r w:rsidRPr="00F25441">
        <w:rPr>
          <w:lang w:val="en-US"/>
        </w:rPr>
        <w:t xml:space="preserve">As a result, </w:t>
      </w:r>
      <w:r w:rsidR="00EE7E52" w:rsidRPr="00F25441">
        <w:rPr>
          <w:lang w:val="en-US"/>
        </w:rPr>
        <w:t>we sought out a</w:t>
      </w:r>
      <w:r w:rsidR="00B26FE0" w:rsidRPr="00F25441">
        <w:rPr>
          <w:lang w:val="en-US"/>
        </w:rPr>
        <w:t xml:space="preserve"> theoretically grounded way to </w:t>
      </w:r>
      <w:r w:rsidR="00C27643" w:rsidRPr="00F25441">
        <w:rPr>
          <w:lang w:val="en-US"/>
        </w:rPr>
        <w:t>effectively</w:t>
      </w:r>
      <w:r w:rsidR="00B26FE0" w:rsidRPr="00F25441">
        <w:rPr>
          <w:lang w:val="en-US"/>
        </w:rPr>
        <w:t xml:space="preserve"> capture and classify this institutional complexity and its variation across countries, and that</w:t>
      </w:r>
      <w:r w:rsidR="00DD6B09" w:rsidRPr="00F25441">
        <w:rPr>
          <w:lang w:val="en-US"/>
        </w:rPr>
        <w:t xml:space="preserve"> is</w:t>
      </w:r>
      <w:r w:rsidR="00B26FE0" w:rsidRPr="00F25441">
        <w:rPr>
          <w:lang w:val="en-US"/>
        </w:rPr>
        <w:t xml:space="preserve"> precisely </w:t>
      </w:r>
      <w:r w:rsidR="00B26FE0" w:rsidRPr="00F25441">
        <w:rPr>
          <w:lang w:val="en-US"/>
        </w:rPr>
        <w:lastRenderedPageBreak/>
        <w:t>why we turned to Whitley’s “national business systems” (NBS), a classification suggested in Whitley (1997, 1999). In this respect, Whitley’s NBS model encompasses the political, the financial, and the labor institutions as well as the key role of the cultural system.</w:t>
      </w:r>
      <w:r w:rsidR="00051BA4" w:rsidRPr="00F25441">
        <w:rPr>
          <w:lang w:val="en-US"/>
        </w:rPr>
        <w:t xml:space="preserve"> The fundamental idea behind this model, which was fully </w:t>
      </w:r>
      <w:r w:rsidR="00CF597C" w:rsidRPr="00F25441">
        <w:rPr>
          <w:lang w:val="en-US"/>
        </w:rPr>
        <w:t>congruent</w:t>
      </w:r>
      <w:r w:rsidR="00051BA4" w:rsidRPr="00F25441">
        <w:rPr>
          <w:lang w:val="en-US"/>
        </w:rPr>
        <w:t xml:space="preserve"> with </w:t>
      </w:r>
      <w:r w:rsidR="00767037" w:rsidRPr="00F25441">
        <w:rPr>
          <w:lang w:val="en-US"/>
        </w:rPr>
        <w:t>our</w:t>
      </w:r>
      <w:r w:rsidR="00051BA4" w:rsidRPr="00F25441">
        <w:rPr>
          <w:lang w:val="en-US"/>
        </w:rPr>
        <w:t xml:space="preserve"> research question, was that different institutional arrangements ultimately provide different access to critical firm resources such as labor and capital. As a result, these arrangements </w:t>
      </w:r>
      <w:r w:rsidR="005879D7" w:rsidRPr="00F25441">
        <w:rPr>
          <w:lang w:val="en-US"/>
        </w:rPr>
        <w:t xml:space="preserve">are bound to </w:t>
      </w:r>
      <w:r w:rsidR="00051BA4" w:rsidRPr="00F25441">
        <w:rPr>
          <w:lang w:val="en-US"/>
        </w:rPr>
        <w:t xml:space="preserve">have a profound impact not only on the different roles of various stakeholders </w:t>
      </w:r>
      <w:r w:rsidR="00DD6B09" w:rsidRPr="00F25441">
        <w:rPr>
          <w:lang w:val="en-US"/>
        </w:rPr>
        <w:t xml:space="preserve">within them </w:t>
      </w:r>
      <w:r w:rsidR="00051BA4" w:rsidRPr="00F25441">
        <w:rPr>
          <w:lang w:val="en-US"/>
        </w:rPr>
        <w:t xml:space="preserve">but also, they shape the social and political processes of how stakeholders’ interests are defined (Aguilera &amp; Jackson, 2003). </w:t>
      </w:r>
      <w:r w:rsidR="0006076B" w:rsidRPr="00F25441">
        <w:rPr>
          <w:lang w:val="en-US"/>
        </w:rPr>
        <w:t>Thus</w:t>
      </w:r>
      <w:r w:rsidR="00051BA4" w:rsidRPr="00F25441">
        <w:rPr>
          <w:lang w:val="en-US"/>
        </w:rPr>
        <w:t xml:space="preserve">, </w:t>
      </w:r>
      <w:r w:rsidR="009C426B" w:rsidRPr="00F25441">
        <w:rPr>
          <w:lang w:val="en-US"/>
        </w:rPr>
        <w:t>they</w:t>
      </w:r>
      <w:r w:rsidR="00051BA4" w:rsidRPr="00F25441">
        <w:rPr>
          <w:lang w:val="en-US"/>
        </w:rPr>
        <w:t xml:space="preserve"> have </w:t>
      </w:r>
      <w:r w:rsidR="004374DC" w:rsidRPr="00F25441">
        <w:rPr>
          <w:lang w:val="en-US"/>
        </w:rPr>
        <w:t>direct consequences</w:t>
      </w:r>
      <w:r w:rsidR="00051BA4" w:rsidRPr="00F25441">
        <w:rPr>
          <w:lang w:val="en-US"/>
        </w:rPr>
        <w:t xml:space="preserve"> </w:t>
      </w:r>
      <w:r w:rsidR="009C426B" w:rsidRPr="00F25441">
        <w:rPr>
          <w:lang w:val="en-US"/>
        </w:rPr>
        <w:t>for</w:t>
      </w:r>
      <w:r w:rsidR="00895BF3" w:rsidRPr="00F25441">
        <w:rPr>
          <w:lang w:val="en-US"/>
        </w:rPr>
        <w:t xml:space="preserve"> why specific CSR activities are adopted by companies and the extent to which they are effective in addressing stakeholder expectations.</w:t>
      </w:r>
      <w:r w:rsidR="00DD6B09" w:rsidRPr="00F25441">
        <w:rPr>
          <w:lang w:val="en-US"/>
        </w:rPr>
        <w:t xml:space="preserve"> In other words, the framework provided us with an overarching </w:t>
      </w:r>
      <w:r w:rsidR="004374DC" w:rsidRPr="00F25441">
        <w:rPr>
          <w:lang w:val="en-US"/>
        </w:rPr>
        <w:t xml:space="preserve">theoretical </w:t>
      </w:r>
      <w:r w:rsidR="00073791" w:rsidRPr="00F25441">
        <w:rPr>
          <w:lang w:val="en-US"/>
        </w:rPr>
        <w:t>narrative</w:t>
      </w:r>
      <w:r w:rsidR="004374DC" w:rsidRPr="00F25441">
        <w:rPr>
          <w:lang w:val="en-US"/>
        </w:rPr>
        <w:t xml:space="preserve"> </w:t>
      </w:r>
      <w:r w:rsidR="004A3732" w:rsidRPr="00F25441">
        <w:rPr>
          <w:lang w:val="en-US"/>
        </w:rPr>
        <w:t>of</w:t>
      </w:r>
      <w:r w:rsidR="00DD6B09" w:rsidRPr="00F25441">
        <w:rPr>
          <w:lang w:val="en-US"/>
        </w:rPr>
        <w:t xml:space="preserve"> </w:t>
      </w:r>
      <w:r w:rsidR="004374DC" w:rsidRPr="00F25441">
        <w:rPr>
          <w:lang w:val="en-US"/>
        </w:rPr>
        <w:t>why</w:t>
      </w:r>
      <w:r w:rsidR="00DD6B09" w:rsidRPr="00F25441">
        <w:rPr>
          <w:lang w:val="en-US"/>
        </w:rPr>
        <w:t xml:space="preserve"> institutions were relevant for CSP heterogeneity. Our next</w:t>
      </w:r>
      <w:r w:rsidR="00162882">
        <w:rPr>
          <w:lang w:val="en-US"/>
        </w:rPr>
        <w:t xml:space="preserve"> </w:t>
      </w:r>
      <w:r w:rsidR="00DD6B09" w:rsidRPr="00F25441">
        <w:rPr>
          <w:lang w:val="en-US"/>
        </w:rPr>
        <w:t xml:space="preserve">task was to quantify exactly how much institutions matter, and </w:t>
      </w:r>
      <w:r w:rsidR="00CD378B" w:rsidRPr="00F25441">
        <w:rPr>
          <w:lang w:val="en-US"/>
        </w:rPr>
        <w:t xml:space="preserve">then, to </w:t>
      </w:r>
      <w:r w:rsidR="00DD6B09" w:rsidRPr="00F25441">
        <w:rPr>
          <w:lang w:val="en-US"/>
        </w:rPr>
        <w:t xml:space="preserve">theoretically articulate and </w:t>
      </w:r>
      <w:r w:rsidR="004A3732" w:rsidRPr="00F25441">
        <w:rPr>
          <w:lang w:val="en-US"/>
        </w:rPr>
        <w:t xml:space="preserve">empirically </w:t>
      </w:r>
      <w:r w:rsidR="00DD6B09" w:rsidRPr="00F25441">
        <w:rPr>
          <w:lang w:val="en-US"/>
        </w:rPr>
        <w:t xml:space="preserve">test the mechanisms through which their impact materializes. In the next section, we briefly review our </w:t>
      </w:r>
      <w:r w:rsidR="00CD378B" w:rsidRPr="00F25441">
        <w:rPr>
          <w:lang w:val="en-US"/>
        </w:rPr>
        <w:t xml:space="preserve">empirical </w:t>
      </w:r>
      <w:r w:rsidR="00DD6B09" w:rsidRPr="00F25441">
        <w:rPr>
          <w:lang w:val="en-US"/>
        </w:rPr>
        <w:t>findings</w:t>
      </w:r>
      <w:r w:rsidR="00073791" w:rsidRPr="00F25441">
        <w:rPr>
          <w:lang w:val="en-US"/>
        </w:rPr>
        <w:t>.</w:t>
      </w:r>
    </w:p>
    <w:p w14:paraId="779511A8" w14:textId="377CFADB" w:rsidR="00162882" w:rsidRDefault="00F20BE4" w:rsidP="00910767">
      <w:pPr>
        <w:spacing w:line="480" w:lineRule="auto"/>
        <w:jc w:val="center"/>
        <w:rPr>
          <w:b/>
          <w:bCs/>
          <w:lang w:val="en-US"/>
        </w:rPr>
      </w:pPr>
      <w:r w:rsidRPr="00F25441">
        <w:rPr>
          <w:b/>
          <w:bCs/>
          <w:lang w:val="en-US"/>
        </w:rPr>
        <w:t>BRIEF OVERVIEW OF</w:t>
      </w:r>
      <w:r w:rsidR="000B17DF" w:rsidRPr="00F25441">
        <w:rPr>
          <w:b/>
          <w:bCs/>
          <w:lang w:val="en-US"/>
        </w:rPr>
        <w:t xml:space="preserve"> </w:t>
      </w:r>
      <w:r w:rsidR="006777A4" w:rsidRPr="00F25441">
        <w:rPr>
          <w:b/>
          <w:bCs/>
          <w:lang w:val="en-US"/>
        </w:rPr>
        <w:t xml:space="preserve">ORIGINAL </w:t>
      </w:r>
      <w:r w:rsidR="00EF3BB9" w:rsidRPr="00F25441">
        <w:rPr>
          <w:b/>
          <w:bCs/>
          <w:lang w:val="en-US"/>
        </w:rPr>
        <w:t>FINDINGS</w:t>
      </w:r>
      <w:r w:rsidR="00BF631B" w:rsidRPr="00F25441">
        <w:rPr>
          <w:b/>
          <w:bCs/>
          <w:lang w:val="en-US"/>
        </w:rPr>
        <w:t xml:space="preserve"> </w:t>
      </w:r>
      <w:r w:rsidR="00162882">
        <w:rPr>
          <w:b/>
          <w:bCs/>
          <w:lang w:val="en-US"/>
        </w:rPr>
        <w:t>AND</w:t>
      </w:r>
      <w:r w:rsidR="009E23B1" w:rsidRPr="00F25441">
        <w:rPr>
          <w:b/>
          <w:bCs/>
          <w:lang w:val="en-US"/>
        </w:rPr>
        <w:t xml:space="preserve"> </w:t>
      </w:r>
    </w:p>
    <w:p w14:paraId="1F24A378" w14:textId="2B72AAB9" w:rsidR="006777A4" w:rsidRPr="00F25441" w:rsidRDefault="00C919B7" w:rsidP="00910767">
      <w:pPr>
        <w:spacing w:line="480" w:lineRule="auto"/>
        <w:jc w:val="center"/>
        <w:rPr>
          <w:b/>
          <w:bCs/>
          <w:lang w:val="en-US"/>
        </w:rPr>
      </w:pPr>
      <w:r>
        <w:rPr>
          <w:b/>
          <w:bCs/>
          <w:lang w:val="en-US"/>
        </w:rPr>
        <w:t>REFLECTIONS ON DEVELOPMENTS IN FINANCIAL MARKETS SINCE 2012</w:t>
      </w:r>
    </w:p>
    <w:p w14:paraId="73123801" w14:textId="58F67912" w:rsidR="006777A4" w:rsidRPr="00F25441" w:rsidRDefault="007B00A5" w:rsidP="004A3732">
      <w:pPr>
        <w:spacing w:line="480" w:lineRule="auto"/>
        <w:jc w:val="both"/>
        <w:rPr>
          <w:lang w:val="en-US"/>
        </w:rPr>
      </w:pPr>
      <w:r w:rsidRPr="00F25441">
        <w:rPr>
          <w:lang w:val="en-US"/>
        </w:rPr>
        <w:t xml:space="preserve">We </w:t>
      </w:r>
      <w:r w:rsidR="00C77AA9" w:rsidRPr="00F25441">
        <w:rPr>
          <w:lang w:val="en-US"/>
        </w:rPr>
        <w:t>first performed</w:t>
      </w:r>
      <w:r w:rsidRPr="00F25441">
        <w:rPr>
          <w:lang w:val="en-US"/>
        </w:rPr>
        <w:t xml:space="preserve"> a variance of components analysis using a maximum likelihood methodology to evaluate the relative importance of firm-, industry- and national-level factors and found that </w:t>
      </w:r>
      <w:r w:rsidR="00844AB4" w:rsidRPr="00F25441">
        <w:rPr>
          <w:lang w:val="en-US"/>
        </w:rPr>
        <w:t>in</w:t>
      </w:r>
      <w:r w:rsidRPr="00F25441">
        <w:rPr>
          <w:lang w:val="en-US"/>
        </w:rPr>
        <w:t xml:space="preserve"> our dataset, explainable variation in CSP could be attributed to 70% firm-, 17% nation-, 11% industry- and 2% year-level effects. </w:t>
      </w:r>
      <w:r w:rsidR="008034DF" w:rsidRPr="00F25441">
        <w:rPr>
          <w:lang w:val="en-US"/>
        </w:rPr>
        <w:t>W</w:t>
      </w:r>
      <w:r w:rsidRPr="00F25441">
        <w:rPr>
          <w:lang w:val="en-US"/>
        </w:rPr>
        <w:t xml:space="preserve">hen we limited our sample to the five largest firms in each country, nation-level effects explained </w:t>
      </w:r>
      <w:r w:rsidR="00C77AA9" w:rsidRPr="00F25441">
        <w:rPr>
          <w:lang w:val="en-US"/>
        </w:rPr>
        <w:t xml:space="preserve">35% of the explainable variation in CSP. These results confirmed our </w:t>
      </w:r>
      <w:r w:rsidR="00844AB4" w:rsidRPr="00F25441">
        <w:rPr>
          <w:lang w:val="en-US"/>
        </w:rPr>
        <w:t>theoretical priors regarding</w:t>
      </w:r>
      <w:r w:rsidR="00C77AA9" w:rsidRPr="00F25441">
        <w:rPr>
          <w:lang w:val="en-US"/>
        </w:rPr>
        <w:t xml:space="preserve"> the importance of nation-level institutions </w:t>
      </w:r>
      <w:r w:rsidR="00DC3394" w:rsidRPr="00F25441">
        <w:rPr>
          <w:lang w:val="en-US"/>
        </w:rPr>
        <w:t>given</w:t>
      </w:r>
      <w:r w:rsidR="00844AB4" w:rsidRPr="00F25441">
        <w:rPr>
          <w:lang w:val="en-US"/>
        </w:rPr>
        <w:t xml:space="preserve"> that</w:t>
      </w:r>
      <w:r w:rsidR="00C77AA9" w:rsidRPr="00F25441">
        <w:rPr>
          <w:lang w:val="en-US"/>
        </w:rPr>
        <w:t xml:space="preserve"> the</w:t>
      </w:r>
      <w:r w:rsidR="008034DF" w:rsidRPr="00F25441">
        <w:rPr>
          <w:lang w:val="en-US"/>
        </w:rPr>
        <w:t xml:space="preserve"> magnitude of the</w:t>
      </w:r>
      <w:r w:rsidR="00C77AA9" w:rsidRPr="00F25441">
        <w:rPr>
          <w:lang w:val="en-US"/>
        </w:rPr>
        <w:t xml:space="preserve"> impact</w:t>
      </w:r>
      <w:r w:rsidR="006C32B1" w:rsidRPr="00F25441">
        <w:rPr>
          <w:lang w:val="en-US"/>
        </w:rPr>
        <w:t xml:space="preserve"> we estimated</w:t>
      </w:r>
      <w:r w:rsidR="00C77AA9" w:rsidRPr="00F25441">
        <w:rPr>
          <w:lang w:val="en-US"/>
        </w:rPr>
        <w:t xml:space="preserve"> compared favorably with studies on financial performance that estimated that industry effects could explain between </w:t>
      </w:r>
      <w:r w:rsidR="00C77AA9" w:rsidRPr="00F25441">
        <w:rPr>
          <w:lang w:val="en-US"/>
        </w:rPr>
        <w:lastRenderedPageBreak/>
        <w:t xml:space="preserve">15% to 19% of overall </w:t>
      </w:r>
      <w:r w:rsidR="00844AB4" w:rsidRPr="00F25441">
        <w:rPr>
          <w:lang w:val="en-US"/>
        </w:rPr>
        <w:t xml:space="preserve">(financial) </w:t>
      </w:r>
      <w:r w:rsidR="00C77AA9" w:rsidRPr="00F25441">
        <w:rPr>
          <w:lang w:val="en-US"/>
        </w:rPr>
        <w:t>performance variation</w:t>
      </w:r>
      <w:r w:rsidR="00F51554">
        <w:rPr>
          <w:lang w:val="en-US"/>
        </w:rPr>
        <w:t>. In fact, these estimates inspired an entire stream of work within strategic management including Michael Porter’s widely known Five Forces framework</w:t>
      </w:r>
      <w:r w:rsidR="005C7863">
        <w:rPr>
          <w:lang w:val="en-US"/>
        </w:rPr>
        <w:t>,</w:t>
      </w:r>
      <w:r w:rsidR="00F51554">
        <w:rPr>
          <w:lang w:val="en-US"/>
        </w:rPr>
        <w:t xml:space="preserve"> which sought to explain how industry structure impacts corporate (financial) performance. </w:t>
      </w:r>
      <w:r w:rsidR="005C7863">
        <w:rPr>
          <w:lang w:val="en-US"/>
        </w:rPr>
        <w:t xml:space="preserve">Our estimates of country-level effects showed that a similar exploration of nation-level institutions was warranted. </w:t>
      </w:r>
      <w:r w:rsidR="008052F0" w:rsidRPr="00F25441">
        <w:rPr>
          <w:lang w:val="en-US"/>
        </w:rPr>
        <w:t xml:space="preserve">Armed with these estimates, we formulated </w:t>
      </w:r>
      <w:r w:rsidR="00B837BF" w:rsidRPr="00F25441">
        <w:rPr>
          <w:lang w:val="en-US"/>
        </w:rPr>
        <w:t>ten</w:t>
      </w:r>
      <w:r w:rsidR="008052F0" w:rsidRPr="00F25441">
        <w:rPr>
          <w:lang w:val="en-US"/>
        </w:rPr>
        <w:t xml:space="preserve"> hypotheses </w:t>
      </w:r>
      <w:r w:rsidR="00834146" w:rsidRPr="00F25441">
        <w:rPr>
          <w:lang w:val="en-US"/>
        </w:rPr>
        <w:t xml:space="preserve">theoretically </w:t>
      </w:r>
      <w:r w:rsidR="008052F0" w:rsidRPr="00F25441">
        <w:rPr>
          <w:lang w:val="en-US"/>
        </w:rPr>
        <w:t>capturing the precise mechanisms through which the political system, the education and labor system, the financial system and the cultural system affected CSP variation across companies.</w:t>
      </w:r>
    </w:p>
    <w:p w14:paraId="5BA79373" w14:textId="028F8401" w:rsidR="008052F0" w:rsidRPr="00F25441" w:rsidRDefault="008052F0" w:rsidP="004A3732">
      <w:pPr>
        <w:spacing w:line="480" w:lineRule="auto"/>
        <w:jc w:val="both"/>
        <w:rPr>
          <w:lang w:val="en-US"/>
        </w:rPr>
      </w:pPr>
      <w:r w:rsidRPr="00F25441">
        <w:rPr>
          <w:lang w:val="en-US"/>
        </w:rPr>
        <w:tab/>
        <w:t xml:space="preserve">When it comes to the political system, we found that </w:t>
      </w:r>
      <w:r w:rsidR="00E5161E" w:rsidRPr="00F25441">
        <w:rPr>
          <w:lang w:val="en-US"/>
        </w:rPr>
        <w:t xml:space="preserve">laws and regulations that promote market competition are associated with lower CSP and that when managers have the power to take decisions that might be in the best interest of shareholders and potentially satisfy other stakeholders, CSP is higher. Rather intuitively, we found that CSP is higher for companies in countries in which corruption is less widespread but surprisingly, we found that firms in countries characterized politically by a leftist ideology score lower on CSP, thus revealing a </w:t>
      </w:r>
      <w:r w:rsidR="003A2210">
        <w:rPr>
          <w:lang w:val="en-US"/>
        </w:rPr>
        <w:t xml:space="preserve">potential </w:t>
      </w:r>
      <w:r w:rsidR="00E5161E" w:rsidRPr="00F25441">
        <w:rPr>
          <w:lang w:val="en-US"/>
        </w:rPr>
        <w:t xml:space="preserve">substitution effect between governments and companies with respect to the provision of socially responsible </w:t>
      </w:r>
      <w:r w:rsidR="00A61321" w:rsidRPr="00F25441">
        <w:rPr>
          <w:lang w:val="en-US"/>
        </w:rPr>
        <w:t>actions</w:t>
      </w:r>
      <w:r w:rsidR="00E5161E" w:rsidRPr="00F25441">
        <w:rPr>
          <w:lang w:val="en-US"/>
        </w:rPr>
        <w:t>. When it c</w:t>
      </w:r>
      <w:r w:rsidR="00A61321" w:rsidRPr="00F25441">
        <w:rPr>
          <w:lang w:val="en-US"/>
        </w:rPr>
        <w:t>o</w:t>
      </w:r>
      <w:r w:rsidR="00E5161E" w:rsidRPr="00F25441">
        <w:rPr>
          <w:lang w:val="en-US"/>
        </w:rPr>
        <w:t xml:space="preserve">mes to </w:t>
      </w:r>
      <w:r w:rsidR="00BC2B0B" w:rsidRPr="00F25441">
        <w:rPr>
          <w:lang w:val="en-US"/>
        </w:rPr>
        <w:t xml:space="preserve">the education and labor system, </w:t>
      </w:r>
      <w:r w:rsidR="007F1E77" w:rsidRPr="00F25441">
        <w:rPr>
          <w:lang w:val="en-US"/>
        </w:rPr>
        <w:t xml:space="preserve">we found that CSP is higher for companies in countries with a higher union labor density and essentially documented that CSP was becoming a key dimension of competition for companies that wanted to attract the best human capital: in countries with an abundance of skilled labor, companies were performing worse on CSP which </w:t>
      </w:r>
      <w:r w:rsidR="00AE226A" w:rsidRPr="00F25441">
        <w:rPr>
          <w:lang w:val="en-US"/>
        </w:rPr>
        <w:t>could plausibly imply</w:t>
      </w:r>
      <w:r w:rsidR="007F1E77" w:rsidRPr="00F25441">
        <w:rPr>
          <w:lang w:val="en-US"/>
        </w:rPr>
        <w:t xml:space="preserve"> that when skilled labor was </w:t>
      </w:r>
      <w:r w:rsidR="00E53723" w:rsidRPr="00F25441">
        <w:rPr>
          <w:lang w:val="en-US"/>
        </w:rPr>
        <w:t>limited</w:t>
      </w:r>
      <w:r w:rsidR="007F1E77" w:rsidRPr="00F25441">
        <w:rPr>
          <w:lang w:val="en-US"/>
        </w:rPr>
        <w:t>, companies increased their CSP to attract high quality employees.</w:t>
      </w:r>
    </w:p>
    <w:p w14:paraId="1B5C24DA" w14:textId="799E523D" w:rsidR="007F1E77" w:rsidRPr="00F25441" w:rsidRDefault="007F1E77" w:rsidP="004A3732">
      <w:pPr>
        <w:spacing w:line="480" w:lineRule="auto"/>
        <w:jc w:val="both"/>
        <w:rPr>
          <w:lang w:val="en-US"/>
        </w:rPr>
      </w:pPr>
      <w:r w:rsidRPr="00F25441">
        <w:rPr>
          <w:lang w:val="en-US"/>
        </w:rPr>
        <w:tab/>
      </w:r>
      <w:r w:rsidR="00B85277" w:rsidRPr="00F25441">
        <w:rPr>
          <w:lang w:val="en-US"/>
        </w:rPr>
        <w:t>Regarding the cultural system, we found evidence that cultural traits play a significant role in explaining CSP variation. Specifically, in countries characterized by higher levels of individualism, companies have a higher CSP</w:t>
      </w:r>
      <w:r w:rsidR="00B837BF" w:rsidRPr="00F25441">
        <w:rPr>
          <w:lang w:val="en-US"/>
        </w:rPr>
        <w:t xml:space="preserve"> </w:t>
      </w:r>
      <w:r w:rsidR="006E236B" w:rsidRPr="00F25441">
        <w:rPr>
          <w:lang w:val="en-US"/>
        </w:rPr>
        <w:t>suggesting</w:t>
      </w:r>
      <w:r w:rsidR="00B837BF" w:rsidRPr="00F25441">
        <w:rPr>
          <w:lang w:val="en-US"/>
        </w:rPr>
        <w:t xml:space="preserve"> that societies that encourage broader discretion of economic actors, socially responsible practices are more explicit, proactive, and </w:t>
      </w:r>
      <w:r w:rsidR="00B837BF" w:rsidRPr="00F25441">
        <w:rPr>
          <w:lang w:val="en-US"/>
        </w:rPr>
        <w:lastRenderedPageBreak/>
        <w:t xml:space="preserve">strategic, thus enhancing CSP. We also found that power distance generates a sense of noble obligation on the part of managers to consider and attend to the needs of their stakeholders, and of society at large. Finally, when it comes to the financial system, </w:t>
      </w:r>
      <w:r w:rsidR="008A3AF6" w:rsidRPr="00F25441">
        <w:rPr>
          <w:lang w:val="en-US"/>
        </w:rPr>
        <w:t>we showed that in countries with a credit-based model, companies are more likely to fare worse on CSP thus confirming that the efficiency of the capital allocation process in capital-market-based financial systems relative to credit-based systems outweighs any potentially negative impact on CSP due to short-termism</w:t>
      </w:r>
      <w:r w:rsidR="00AE226A" w:rsidRPr="00F25441">
        <w:rPr>
          <w:lang w:val="en-US"/>
        </w:rPr>
        <w:t xml:space="preserve"> associated with capital-market-based financial systems</w:t>
      </w:r>
      <w:r w:rsidR="008A3AF6" w:rsidRPr="00F25441">
        <w:rPr>
          <w:lang w:val="en-US"/>
        </w:rPr>
        <w:t xml:space="preserve">. Equivalently, we revealed that the longer-term horizon of debtholders in a credit-based financial system would not be enough to outweigh the inefficiencies caused by the allocation of capital by administrative processes rather than by markets. </w:t>
      </w:r>
      <w:r w:rsidR="00AE226A" w:rsidRPr="00F25441">
        <w:rPr>
          <w:lang w:val="en-US"/>
        </w:rPr>
        <w:t>Perhaps</w:t>
      </w:r>
      <w:r w:rsidR="00882EF0" w:rsidRPr="00F25441">
        <w:rPr>
          <w:lang w:val="en-US"/>
        </w:rPr>
        <w:t xml:space="preserve"> because SRI funds were a relatively </w:t>
      </w:r>
      <w:r w:rsidR="005A556C" w:rsidRPr="00F25441">
        <w:rPr>
          <w:lang w:val="en-US"/>
        </w:rPr>
        <w:t xml:space="preserve">very </w:t>
      </w:r>
      <w:r w:rsidR="00882EF0" w:rsidRPr="00F25441">
        <w:rPr>
          <w:lang w:val="en-US"/>
        </w:rPr>
        <w:t xml:space="preserve">small part of the total market </w:t>
      </w:r>
      <w:r w:rsidR="005A556C" w:rsidRPr="00F25441">
        <w:rPr>
          <w:lang w:val="en-US"/>
        </w:rPr>
        <w:t>in the years leading to</w:t>
      </w:r>
      <w:r w:rsidR="00882EF0" w:rsidRPr="00F25441">
        <w:rPr>
          <w:lang w:val="en-US"/>
        </w:rPr>
        <w:t xml:space="preserve"> 2012, the existence of an SRI index did not obtain significance and as such, did not impact CSP variation across companies.</w:t>
      </w:r>
    </w:p>
    <w:p w14:paraId="3E31B29B" w14:textId="549AE01A" w:rsidR="000E245F" w:rsidRPr="00F25441" w:rsidRDefault="00647EC1" w:rsidP="00647EC1">
      <w:pPr>
        <w:spacing w:line="480" w:lineRule="auto"/>
        <w:ind w:firstLine="720"/>
        <w:jc w:val="both"/>
        <w:rPr>
          <w:lang w:val="en-US"/>
        </w:rPr>
      </w:pPr>
      <w:r w:rsidRPr="00F25441">
        <w:rPr>
          <w:lang w:val="en-US"/>
        </w:rPr>
        <w:t>Overall</w:t>
      </w:r>
      <w:r w:rsidR="007745E0" w:rsidRPr="00F25441">
        <w:rPr>
          <w:lang w:val="en-US"/>
        </w:rPr>
        <w:t xml:space="preserve">, our empirical findings </w:t>
      </w:r>
      <w:r w:rsidR="00FE406D" w:rsidRPr="00F25441">
        <w:rPr>
          <w:lang w:val="en-US"/>
        </w:rPr>
        <w:t>showed</w:t>
      </w:r>
      <w:r w:rsidR="007745E0" w:rsidRPr="00F25441">
        <w:rPr>
          <w:lang w:val="en-US"/>
        </w:rPr>
        <w:t xml:space="preserve"> that in terms of economic effects, the political system was the most important factor impacting CSP variation</w:t>
      </w:r>
      <w:r w:rsidRPr="00F25441">
        <w:rPr>
          <w:lang w:val="en-US"/>
        </w:rPr>
        <w:t xml:space="preserve"> across firms,</w:t>
      </w:r>
      <w:r w:rsidR="007745E0" w:rsidRPr="00F25441">
        <w:rPr>
          <w:lang w:val="en-US"/>
        </w:rPr>
        <w:t xml:space="preserve"> whereas the impact of the financial system </w:t>
      </w:r>
      <w:r w:rsidRPr="00F25441">
        <w:rPr>
          <w:lang w:val="en-US"/>
        </w:rPr>
        <w:t xml:space="preserve">was the </w:t>
      </w:r>
      <w:r w:rsidR="004C4E4D" w:rsidRPr="00F25441">
        <w:rPr>
          <w:lang w:val="en-US"/>
        </w:rPr>
        <w:t>lowest</w:t>
      </w:r>
      <w:r w:rsidR="00FE406D" w:rsidRPr="00F25441">
        <w:rPr>
          <w:lang w:val="en-US"/>
        </w:rPr>
        <w:t xml:space="preserve">, which </w:t>
      </w:r>
      <w:r w:rsidR="000C1E56">
        <w:rPr>
          <w:lang w:val="en-US"/>
        </w:rPr>
        <w:t>in retrospect makes</w:t>
      </w:r>
      <w:r w:rsidR="00FE406D" w:rsidRPr="00F25441">
        <w:rPr>
          <w:lang w:val="en-US"/>
        </w:rPr>
        <w:t xml:space="preserve"> sense</w:t>
      </w:r>
      <w:r w:rsidR="007745E0" w:rsidRPr="00F25441">
        <w:rPr>
          <w:lang w:val="en-US"/>
        </w:rPr>
        <w:t xml:space="preserve"> </w:t>
      </w:r>
      <w:r w:rsidR="004C4E4D" w:rsidRPr="00F25441">
        <w:rPr>
          <w:lang w:val="en-US"/>
        </w:rPr>
        <w:t>given</w:t>
      </w:r>
      <w:r w:rsidR="007745E0" w:rsidRPr="00F25441">
        <w:rPr>
          <w:lang w:val="en-US"/>
        </w:rPr>
        <w:t xml:space="preserve"> that </w:t>
      </w:r>
      <w:r w:rsidR="004C4E4D" w:rsidRPr="00F25441">
        <w:rPr>
          <w:lang w:val="en-US"/>
        </w:rPr>
        <w:t>in</w:t>
      </w:r>
      <w:r w:rsidR="007745E0" w:rsidRPr="00F25441">
        <w:rPr>
          <w:lang w:val="en-US"/>
        </w:rPr>
        <w:t xml:space="preserve"> 2012, </w:t>
      </w:r>
      <w:r w:rsidRPr="00F25441">
        <w:rPr>
          <w:lang w:val="en-US"/>
        </w:rPr>
        <w:t>the vast majority of</w:t>
      </w:r>
      <w:r w:rsidR="007745E0" w:rsidRPr="00F25441">
        <w:rPr>
          <w:lang w:val="en-US"/>
        </w:rPr>
        <w:t xml:space="preserve"> investors, including asset owners</w:t>
      </w:r>
      <w:r w:rsidR="00AE226A" w:rsidRPr="00F25441">
        <w:rPr>
          <w:lang w:val="en-US"/>
        </w:rPr>
        <w:t xml:space="preserve"> </w:t>
      </w:r>
      <w:r w:rsidR="007745E0" w:rsidRPr="00F25441">
        <w:rPr>
          <w:lang w:val="en-US"/>
        </w:rPr>
        <w:t xml:space="preserve">as well as asset managers, had </w:t>
      </w:r>
      <w:r w:rsidRPr="00F25441">
        <w:rPr>
          <w:lang w:val="en-US"/>
        </w:rPr>
        <w:t>only just</w:t>
      </w:r>
      <w:r w:rsidR="007745E0" w:rsidRPr="00F25441">
        <w:rPr>
          <w:lang w:val="en-US"/>
        </w:rPr>
        <w:t xml:space="preserve"> began to understand the importance of non-financial disclosures and were, at best, at a</w:t>
      </w:r>
      <w:r w:rsidRPr="00F25441">
        <w:rPr>
          <w:lang w:val="en-US"/>
        </w:rPr>
        <w:t xml:space="preserve"> </w:t>
      </w:r>
      <w:r w:rsidR="007745E0" w:rsidRPr="00F25441">
        <w:rPr>
          <w:lang w:val="en-US"/>
        </w:rPr>
        <w:t xml:space="preserve">nascent </w:t>
      </w:r>
      <w:r w:rsidR="00877E50" w:rsidRPr="00F25441">
        <w:rPr>
          <w:lang w:val="en-US"/>
        </w:rPr>
        <w:t>phase</w:t>
      </w:r>
      <w:r w:rsidR="007745E0" w:rsidRPr="00F25441">
        <w:rPr>
          <w:lang w:val="en-US"/>
        </w:rPr>
        <w:t xml:space="preserve"> of </w:t>
      </w:r>
      <w:r w:rsidR="000C1E56">
        <w:rPr>
          <w:lang w:val="en-US"/>
        </w:rPr>
        <w:t>exploring</w:t>
      </w:r>
      <w:r w:rsidR="000C1E56" w:rsidRPr="00F25441">
        <w:rPr>
          <w:lang w:val="en-US"/>
        </w:rPr>
        <w:t xml:space="preserve"> </w:t>
      </w:r>
      <w:r w:rsidRPr="00F25441">
        <w:rPr>
          <w:lang w:val="en-US"/>
        </w:rPr>
        <w:t xml:space="preserve">how to </w:t>
      </w:r>
      <w:r w:rsidR="007745E0" w:rsidRPr="00F25441">
        <w:rPr>
          <w:lang w:val="en-US"/>
        </w:rPr>
        <w:t>incorporat</w:t>
      </w:r>
      <w:r w:rsidRPr="00F25441">
        <w:rPr>
          <w:lang w:val="en-US"/>
        </w:rPr>
        <w:t>e</w:t>
      </w:r>
      <w:r w:rsidR="007745E0" w:rsidRPr="00F25441">
        <w:rPr>
          <w:lang w:val="en-US"/>
        </w:rPr>
        <w:t xml:space="preserve"> any of this</w:t>
      </w:r>
      <w:r w:rsidR="000C1E56">
        <w:rPr>
          <w:lang w:val="en-US"/>
        </w:rPr>
        <w:t xml:space="preserve"> new</w:t>
      </w:r>
      <w:r w:rsidR="007745E0" w:rsidRPr="00F25441">
        <w:rPr>
          <w:lang w:val="en-US"/>
        </w:rPr>
        <w:t xml:space="preserve"> information</w:t>
      </w:r>
      <w:r w:rsidR="000C1E56">
        <w:rPr>
          <w:lang w:val="en-US"/>
        </w:rPr>
        <w:t xml:space="preserve"> on CSP</w:t>
      </w:r>
      <w:r w:rsidR="007745E0" w:rsidRPr="00F25441">
        <w:rPr>
          <w:lang w:val="en-US"/>
        </w:rPr>
        <w:t xml:space="preserve"> into their investment decisions. </w:t>
      </w:r>
      <w:r w:rsidR="005A1C56" w:rsidRPr="00F25441">
        <w:rPr>
          <w:lang w:val="en-US"/>
        </w:rPr>
        <w:t>I</w:t>
      </w:r>
      <w:r w:rsidRPr="00F25441">
        <w:rPr>
          <w:lang w:val="en-US"/>
        </w:rPr>
        <w:t xml:space="preserve">n fact, </w:t>
      </w:r>
      <w:r w:rsidR="007745E0" w:rsidRPr="00F25441">
        <w:rPr>
          <w:lang w:val="en-US"/>
        </w:rPr>
        <w:t>there lies</w:t>
      </w:r>
      <w:r w:rsidRPr="00F25441">
        <w:rPr>
          <w:lang w:val="en-US"/>
        </w:rPr>
        <w:t xml:space="preserve"> </w:t>
      </w:r>
      <w:r w:rsidR="007745E0" w:rsidRPr="00F25441">
        <w:rPr>
          <w:lang w:val="en-US"/>
        </w:rPr>
        <w:t>the</w:t>
      </w:r>
      <w:r w:rsidR="000C1E56">
        <w:rPr>
          <w:lang w:val="en-US"/>
        </w:rPr>
        <w:t xml:space="preserve"> major</w:t>
      </w:r>
      <w:r w:rsidR="007745E0" w:rsidRPr="00F25441">
        <w:rPr>
          <w:lang w:val="en-US"/>
        </w:rPr>
        <w:t xml:space="preserve"> </w:t>
      </w:r>
      <w:r w:rsidR="005A1C56" w:rsidRPr="00F25441">
        <w:rPr>
          <w:lang w:val="en-US"/>
        </w:rPr>
        <w:t xml:space="preserve">institutional </w:t>
      </w:r>
      <w:r w:rsidR="007745E0" w:rsidRPr="00F25441">
        <w:rPr>
          <w:lang w:val="en-US"/>
        </w:rPr>
        <w:t xml:space="preserve">shift that has taken place in the last 10 years since </w:t>
      </w:r>
      <w:r w:rsidR="005A1C56" w:rsidRPr="00F25441">
        <w:rPr>
          <w:lang w:val="en-US"/>
        </w:rPr>
        <w:t>our</w:t>
      </w:r>
      <w:r w:rsidR="007745E0" w:rsidRPr="00F25441">
        <w:rPr>
          <w:lang w:val="en-US"/>
        </w:rPr>
        <w:t xml:space="preserve"> article was written in terms </w:t>
      </w:r>
      <w:r w:rsidRPr="00F25441">
        <w:rPr>
          <w:lang w:val="en-US"/>
        </w:rPr>
        <w:t xml:space="preserve">of the extent and the speed </w:t>
      </w:r>
      <w:r w:rsidR="00FD193C" w:rsidRPr="00F25441">
        <w:rPr>
          <w:lang w:val="en-US"/>
        </w:rPr>
        <w:t>at</w:t>
      </w:r>
      <w:r w:rsidRPr="00F25441">
        <w:rPr>
          <w:lang w:val="en-US"/>
        </w:rPr>
        <w:t xml:space="preserve"> which capital markets have mobilized towards integrating CSP into their decision-making processes. </w:t>
      </w:r>
    </w:p>
    <w:p w14:paraId="1C7E1EFE" w14:textId="6523A216" w:rsidR="000E245F" w:rsidRPr="00F25441" w:rsidRDefault="000E245F" w:rsidP="002D5C7D">
      <w:pPr>
        <w:spacing w:line="480" w:lineRule="auto"/>
        <w:ind w:firstLine="720"/>
        <w:jc w:val="both"/>
        <w:rPr>
          <w:lang w:val="en-US"/>
        </w:rPr>
      </w:pPr>
      <w:r w:rsidRPr="00F25441">
        <w:rPr>
          <w:lang w:val="en-US"/>
        </w:rPr>
        <w:t xml:space="preserve">Specifically, the timing of our study, using data from 2002 to 2008, preceded significant developments in the financial system as it relates to taking </w:t>
      </w:r>
      <w:r w:rsidR="000C1E56">
        <w:rPr>
          <w:lang w:val="en-US"/>
        </w:rPr>
        <w:t xml:space="preserve">CSP </w:t>
      </w:r>
      <w:r w:rsidRPr="00F25441">
        <w:rPr>
          <w:lang w:val="en-US"/>
        </w:rPr>
        <w:t>into account. What has happened since then</w:t>
      </w:r>
      <w:r w:rsidR="008508FB">
        <w:rPr>
          <w:lang w:val="en-US"/>
        </w:rPr>
        <w:t xml:space="preserve"> exactly</w:t>
      </w:r>
      <w:r w:rsidRPr="00F25441">
        <w:rPr>
          <w:lang w:val="en-US"/>
        </w:rPr>
        <w:t>? First, we have witnessed a significant increase in the level of voluntary</w:t>
      </w:r>
      <w:r w:rsidR="009E23B1" w:rsidRPr="00F25441">
        <w:rPr>
          <w:lang w:val="en-US"/>
        </w:rPr>
        <w:t xml:space="preserve"> </w:t>
      </w:r>
      <w:r w:rsidRPr="00F25441">
        <w:rPr>
          <w:lang w:val="en-US"/>
        </w:rPr>
        <w:t xml:space="preserve">and mandatory reporting on CSP (Christensen, Serafeim and Sikochi 2021). </w:t>
      </w:r>
      <w:r w:rsidRPr="00F25441">
        <w:rPr>
          <w:lang w:val="en-US"/>
        </w:rPr>
        <w:lastRenderedPageBreak/>
        <w:t xml:space="preserve">Thousands of companies around the world have increased transparency </w:t>
      </w:r>
      <w:r w:rsidR="000C1E56">
        <w:rPr>
          <w:lang w:val="en-US"/>
        </w:rPr>
        <w:t xml:space="preserve">by </w:t>
      </w:r>
      <w:r w:rsidRPr="00F25441">
        <w:rPr>
          <w:lang w:val="en-US"/>
        </w:rPr>
        <w:t>reporting information in their CSR, sustainability, integrated, annual, or regulated reports and on their websites. Similarly, according to the UN Sustainable Stock Exchange initiative, as of 2022, 67 stock exchanges provided written guidance on CSP reporting and 33 had mandatory listing requirements.</w:t>
      </w:r>
      <w:r w:rsidR="00D53D9B">
        <w:rPr>
          <w:rStyle w:val="FootnoteReference"/>
          <w:lang w:val="en-US"/>
        </w:rPr>
        <w:footnoteReference w:id="2"/>
      </w:r>
      <w:r w:rsidRPr="00F25441">
        <w:rPr>
          <w:lang w:val="en-US"/>
        </w:rPr>
        <w:t xml:space="preserve"> Regulators have </w:t>
      </w:r>
      <w:r w:rsidR="000C1E56">
        <w:rPr>
          <w:lang w:val="en-US"/>
        </w:rPr>
        <w:t xml:space="preserve">increasingly </w:t>
      </w:r>
      <w:r w:rsidRPr="00F25441">
        <w:rPr>
          <w:lang w:val="en-US"/>
        </w:rPr>
        <w:t>adopted mandatory requirements for CSP reporting, referring to corporate reporting standards that emerged over time, such as those developed by the Global Reporting Initiative</w:t>
      </w:r>
      <w:r w:rsidR="000C1E56">
        <w:rPr>
          <w:lang w:val="en-US"/>
        </w:rPr>
        <w:t xml:space="preserve"> (GRI)</w:t>
      </w:r>
      <w:r w:rsidRPr="00F25441">
        <w:rPr>
          <w:lang w:val="en-US"/>
        </w:rPr>
        <w:t>, Sustainability Accounting Standards Board</w:t>
      </w:r>
      <w:r w:rsidR="000C1E56">
        <w:rPr>
          <w:lang w:val="en-US"/>
        </w:rPr>
        <w:t xml:space="preserve"> (SASB)</w:t>
      </w:r>
      <w:r w:rsidRPr="00F25441">
        <w:rPr>
          <w:lang w:val="en-US"/>
        </w:rPr>
        <w:t xml:space="preserve"> and Task Force on Climate-related Financial Disclosures</w:t>
      </w:r>
      <w:r w:rsidR="000C1E56">
        <w:rPr>
          <w:lang w:val="en-US"/>
        </w:rPr>
        <w:t xml:space="preserve"> (TCFD)</w:t>
      </w:r>
      <w:r w:rsidRPr="00F25441">
        <w:rPr>
          <w:lang w:val="en-US"/>
        </w:rPr>
        <w:t xml:space="preserve">. </w:t>
      </w:r>
      <w:r w:rsidR="009E23B1" w:rsidRPr="00F25441">
        <w:rPr>
          <w:lang w:val="en-US"/>
        </w:rPr>
        <w:t>Several</w:t>
      </w:r>
      <w:r w:rsidRPr="00F25441">
        <w:rPr>
          <w:lang w:val="en-US"/>
        </w:rPr>
        <w:t xml:space="preserve"> studies now document that the increase in transparency </w:t>
      </w:r>
      <w:r w:rsidR="000C1E56">
        <w:rPr>
          <w:lang w:val="en-US"/>
        </w:rPr>
        <w:t>may</w:t>
      </w:r>
      <w:r w:rsidR="000C1E56" w:rsidRPr="00F25441">
        <w:rPr>
          <w:lang w:val="en-US"/>
        </w:rPr>
        <w:t xml:space="preserve"> </w:t>
      </w:r>
      <w:r w:rsidRPr="00F25441">
        <w:rPr>
          <w:lang w:val="en-US"/>
        </w:rPr>
        <w:t xml:space="preserve">drive companies to improve their CSP (e.g., </w:t>
      </w:r>
      <w:proofErr w:type="spellStart"/>
      <w:r w:rsidRPr="00F25441">
        <w:rPr>
          <w:lang w:val="en-US"/>
        </w:rPr>
        <w:t>Downar</w:t>
      </w:r>
      <w:proofErr w:type="spellEnd"/>
      <w:r w:rsidRPr="00F25441">
        <w:rPr>
          <w:lang w:val="en-US"/>
        </w:rPr>
        <w:t xml:space="preserve"> et al., 2021).</w:t>
      </w:r>
      <w:r w:rsidR="009E23B1" w:rsidRPr="00F25441">
        <w:rPr>
          <w:lang w:val="en-US"/>
        </w:rPr>
        <w:t xml:space="preserve"> The differential increase in corporate transparency across countries </w:t>
      </w:r>
      <w:r w:rsidR="000C1E56">
        <w:rPr>
          <w:lang w:val="en-US"/>
        </w:rPr>
        <w:t>could therefore</w:t>
      </w:r>
      <w:r w:rsidR="000C1E56" w:rsidRPr="00F25441">
        <w:rPr>
          <w:lang w:val="en-US"/>
        </w:rPr>
        <w:t xml:space="preserve"> </w:t>
      </w:r>
      <w:r w:rsidR="009E23B1" w:rsidRPr="00F25441">
        <w:rPr>
          <w:lang w:val="en-US"/>
        </w:rPr>
        <w:t>systematically influence CSP but that effect could well be contingent on other country-level institutions, a question that future research could explore.</w:t>
      </w:r>
    </w:p>
    <w:p w14:paraId="2D77CAA5" w14:textId="2AD41E32" w:rsidR="000E245F" w:rsidRPr="00F25441" w:rsidRDefault="000E245F" w:rsidP="002D5C7D">
      <w:pPr>
        <w:spacing w:line="480" w:lineRule="auto"/>
        <w:ind w:firstLine="720"/>
        <w:jc w:val="both"/>
        <w:rPr>
          <w:lang w:val="en-US"/>
        </w:rPr>
      </w:pPr>
      <w:r w:rsidRPr="00F25441">
        <w:rPr>
          <w:lang w:val="en-US"/>
        </w:rPr>
        <w:t>Second, the assets under management claiming to incorporate CSP in their investment decisions and stewardship efforts when engaging with companies has also significantly increased because of product development, investment results, and societal motivations (Amel-Zadeh and Serafeim</w:t>
      </w:r>
      <w:r w:rsidR="00575F83">
        <w:rPr>
          <w:lang w:val="en-US"/>
        </w:rPr>
        <w:t>,</w:t>
      </w:r>
      <w:r w:rsidRPr="00F25441">
        <w:rPr>
          <w:lang w:val="en-US"/>
        </w:rPr>
        <w:t xml:space="preserve"> 2018). </w:t>
      </w:r>
      <w:r w:rsidR="004D6AFD">
        <w:rPr>
          <w:lang w:val="en-US"/>
        </w:rPr>
        <w:t xml:space="preserve">For example, according to the </w:t>
      </w:r>
      <w:r w:rsidR="004D6AFD" w:rsidRPr="00F25441">
        <w:rPr>
          <w:lang w:val="en-US"/>
        </w:rPr>
        <w:t>Global Sustainable Investment Alliance</w:t>
      </w:r>
      <w:r w:rsidR="004D6AFD">
        <w:rPr>
          <w:lang w:val="en-US"/>
        </w:rPr>
        <w:t xml:space="preserve"> (GSIA), </w:t>
      </w:r>
      <w:r w:rsidR="00F91D08">
        <w:rPr>
          <w:lang w:val="en-US"/>
        </w:rPr>
        <w:t xml:space="preserve">by 2020, </w:t>
      </w:r>
      <w:r w:rsidR="004D6AFD">
        <w:rPr>
          <w:lang w:val="en-US"/>
        </w:rPr>
        <w:t>investors with o</w:t>
      </w:r>
      <w:r w:rsidR="004D6AFD" w:rsidRPr="004D6AFD">
        <w:rPr>
          <w:lang w:val="en-US"/>
        </w:rPr>
        <w:t xml:space="preserve">ver $35 </w:t>
      </w:r>
      <w:r w:rsidR="00AC6B35">
        <w:rPr>
          <w:lang w:val="en-US"/>
        </w:rPr>
        <w:t>t</w:t>
      </w:r>
      <w:r w:rsidR="004D6AFD" w:rsidRPr="004D6AFD">
        <w:rPr>
          <w:lang w:val="en-US"/>
        </w:rPr>
        <w:t>rillion dollars of assets under management wish</w:t>
      </w:r>
      <w:r w:rsidR="008508FB">
        <w:rPr>
          <w:lang w:val="en-US"/>
        </w:rPr>
        <w:t>ed</w:t>
      </w:r>
      <w:r w:rsidR="004D6AFD" w:rsidRPr="004D6AFD">
        <w:rPr>
          <w:lang w:val="en-US"/>
        </w:rPr>
        <w:t xml:space="preserve"> to take </w:t>
      </w:r>
      <w:r w:rsidR="004D6AFD">
        <w:rPr>
          <w:lang w:val="en-US"/>
        </w:rPr>
        <w:t>CSP data into account in their investment decisions</w:t>
      </w:r>
      <w:r w:rsidR="004D6AFD" w:rsidRPr="004D6AFD">
        <w:rPr>
          <w:lang w:val="en-US"/>
        </w:rPr>
        <w:t>.</w:t>
      </w:r>
      <w:r w:rsidR="004D6AFD">
        <w:rPr>
          <w:lang w:val="en-US"/>
        </w:rPr>
        <w:t xml:space="preserve"> Yet t</w:t>
      </w:r>
      <w:r w:rsidR="00575F83" w:rsidRPr="00F25441">
        <w:rPr>
          <w:lang w:val="en-US"/>
        </w:rPr>
        <w:t>h</w:t>
      </w:r>
      <w:r w:rsidR="00575F83">
        <w:rPr>
          <w:lang w:val="en-US"/>
        </w:rPr>
        <w:t>is</w:t>
      </w:r>
      <w:r w:rsidR="00575F83" w:rsidRPr="00F25441">
        <w:rPr>
          <w:lang w:val="en-US"/>
        </w:rPr>
        <w:t xml:space="preserve"> </w:t>
      </w:r>
      <w:r w:rsidRPr="00F25441">
        <w:rPr>
          <w:lang w:val="en-US"/>
        </w:rPr>
        <w:t xml:space="preserve">increase has been </w:t>
      </w:r>
      <w:r w:rsidR="00575F83">
        <w:rPr>
          <w:lang w:val="en-US"/>
        </w:rPr>
        <w:t xml:space="preserve">unequally </w:t>
      </w:r>
      <w:r w:rsidRPr="00F25441">
        <w:rPr>
          <w:lang w:val="en-US"/>
        </w:rPr>
        <w:t>distributed across countries, according to</w:t>
      </w:r>
      <w:r w:rsidR="004D6AFD">
        <w:rPr>
          <w:lang w:val="en-US"/>
        </w:rPr>
        <w:t xml:space="preserve"> the same</w:t>
      </w:r>
      <w:r w:rsidRPr="00F25441">
        <w:rPr>
          <w:lang w:val="en-US"/>
        </w:rPr>
        <w:t xml:space="preserve"> data from</w:t>
      </w:r>
      <w:r w:rsidR="004D6AFD">
        <w:rPr>
          <w:lang w:val="en-US"/>
        </w:rPr>
        <w:t xml:space="preserve"> GSIA</w:t>
      </w:r>
      <w:r w:rsidRPr="00F25441">
        <w:rPr>
          <w:lang w:val="en-US"/>
        </w:rPr>
        <w:t>.</w:t>
      </w:r>
      <w:r w:rsidRPr="00F25441">
        <w:rPr>
          <w:rStyle w:val="FootnoteReference"/>
          <w:lang w:val="en-US"/>
        </w:rPr>
        <w:footnoteReference w:id="3"/>
      </w:r>
      <w:r w:rsidRPr="00F25441">
        <w:rPr>
          <w:lang w:val="en-US"/>
        </w:rPr>
        <w:t xml:space="preserve"> It is</w:t>
      </w:r>
      <w:r w:rsidR="00575F83">
        <w:rPr>
          <w:lang w:val="en-US"/>
        </w:rPr>
        <w:t>, of course, challenging to produce</w:t>
      </w:r>
      <w:r w:rsidRPr="00F25441">
        <w:rPr>
          <w:lang w:val="en-US"/>
        </w:rPr>
        <w:t xml:space="preserve"> an exact number on the </w:t>
      </w:r>
      <w:r w:rsidR="00575F83">
        <w:rPr>
          <w:lang w:val="en-US"/>
        </w:rPr>
        <w:t>real</w:t>
      </w:r>
      <w:r w:rsidRPr="00F25441">
        <w:rPr>
          <w:lang w:val="en-US"/>
        </w:rPr>
        <w:t xml:space="preserve"> percentage of assets under management using </w:t>
      </w:r>
      <w:r w:rsidR="00575F83">
        <w:rPr>
          <w:lang w:val="en-US"/>
        </w:rPr>
        <w:t xml:space="preserve">CSP data </w:t>
      </w:r>
      <w:r w:rsidRPr="00F25441">
        <w:rPr>
          <w:lang w:val="en-US"/>
        </w:rPr>
        <w:t xml:space="preserve">in a meaningful way because of </w:t>
      </w:r>
      <w:r w:rsidR="00575F83">
        <w:rPr>
          <w:lang w:val="en-US"/>
        </w:rPr>
        <w:t xml:space="preserve">greenwashing (see later discussion on </w:t>
      </w:r>
      <w:r w:rsidRPr="00F25441">
        <w:rPr>
          <w:lang w:val="en-US"/>
        </w:rPr>
        <w:t>CSR decoupling</w:t>
      </w:r>
      <w:r w:rsidR="00575F83">
        <w:rPr>
          <w:lang w:val="en-US"/>
        </w:rPr>
        <w:t>),</w:t>
      </w:r>
      <w:r w:rsidRPr="00F25441">
        <w:rPr>
          <w:lang w:val="en-US"/>
        </w:rPr>
        <w:t xml:space="preserve"> </w:t>
      </w:r>
      <w:r w:rsidR="008508FB">
        <w:rPr>
          <w:lang w:val="en-US"/>
        </w:rPr>
        <w:t>b</w:t>
      </w:r>
      <w:r w:rsidRPr="00F25441">
        <w:rPr>
          <w:lang w:val="en-US"/>
        </w:rPr>
        <w:t xml:space="preserve">ut there is no doubt that </w:t>
      </w:r>
      <w:r w:rsidR="00575F83">
        <w:rPr>
          <w:lang w:val="en-US"/>
        </w:rPr>
        <w:t xml:space="preserve">a lot </w:t>
      </w:r>
      <w:r w:rsidRPr="00F25441">
        <w:rPr>
          <w:lang w:val="en-US"/>
        </w:rPr>
        <w:t xml:space="preserve">more </w:t>
      </w:r>
      <w:r w:rsidR="00575F83">
        <w:rPr>
          <w:lang w:val="en-US"/>
        </w:rPr>
        <w:t>funds are</w:t>
      </w:r>
      <w:r w:rsidRPr="00F25441">
        <w:rPr>
          <w:lang w:val="en-US"/>
        </w:rPr>
        <w:t xml:space="preserve"> invested today </w:t>
      </w:r>
      <w:r w:rsidR="008508FB">
        <w:rPr>
          <w:lang w:val="en-US"/>
        </w:rPr>
        <w:t xml:space="preserve">by </w:t>
      </w:r>
      <w:r w:rsidRPr="00F25441">
        <w:rPr>
          <w:lang w:val="en-US"/>
        </w:rPr>
        <w:t xml:space="preserve">using CSP data </w:t>
      </w:r>
      <w:r w:rsidR="00575F83">
        <w:rPr>
          <w:lang w:val="en-US"/>
        </w:rPr>
        <w:t>for</w:t>
      </w:r>
      <w:r w:rsidR="00575F83" w:rsidRPr="00F25441">
        <w:rPr>
          <w:lang w:val="en-US"/>
        </w:rPr>
        <w:t xml:space="preserve"> </w:t>
      </w:r>
      <w:r w:rsidRPr="00F25441">
        <w:rPr>
          <w:lang w:val="en-US"/>
        </w:rPr>
        <w:t xml:space="preserve">analyzing the risk, return, and impact of companies and </w:t>
      </w:r>
      <w:r w:rsidR="00575F83">
        <w:rPr>
          <w:lang w:val="en-US"/>
        </w:rPr>
        <w:t>for</w:t>
      </w:r>
      <w:r w:rsidRPr="00F25441">
        <w:rPr>
          <w:lang w:val="en-US"/>
        </w:rPr>
        <w:t xml:space="preserve"> driving private and public </w:t>
      </w:r>
      <w:r w:rsidRPr="00F25441">
        <w:rPr>
          <w:lang w:val="en-US"/>
        </w:rPr>
        <w:lastRenderedPageBreak/>
        <w:t>engagements with corporate management and boards. In turn</w:t>
      </w:r>
      <w:r w:rsidR="00575F83">
        <w:rPr>
          <w:lang w:val="en-US"/>
        </w:rPr>
        <w:t>,</w:t>
      </w:r>
      <w:r w:rsidRPr="00F25441">
        <w:rPr>
          <w:lang w:val="en-US"/>
        </w:rPr>
        <w:t xml:space="preserve"> th</w:t>
      </w:r>
      <w:r w:rsidR="00575F83">
        <w:rPr>
          <w:lang w:val="en-US"/>
        </w:rPr>
        <w:t>e</w:t>
      </w:r>
      <w:r w:rsidRPr="00F25441">
        <w:rPr>
          <w:lang w:val="en-US"/>
        </w:rPr>
        <w:t>se engagements seem to be associated</w:t>
      </w:r>
      <w:r w:rsidR="00575F83" w:rsidRPr="00F25441" w:rsidDel="00575F83">
        <w:rPr>
          <w:lang w:val="en-US"/>
        </w:rPr>
        <w:t xml:space="preserve"> </w:t>
      </w:r>
      <w:r w:rsidRPr="00F25441">
        <w:rPr>
          <w:lang w:val="en-US"/>
        </w:rPr>
        <w:t>with improvements in CSP of firms engaged</w:t>
      </w:r>
      <w:r w:rsidR="00575F83">
        <w:rPr>
          <w:lang w:val="en-US"/>
        </w:rPr>
        <w:t xml:space="preserve">, </w:t>
      </w:r>
      <w:r w:rsidR="00575F83" w:rsidRPr="00F25441">
        <w:rPr>
          <w:lang w:val="en-US"/>
        </w:rPr>
        <w:t>when investors are influential and capable</w:t>
      </w:r>
      <w:r w:rsidRPr="00F25441">
        <w:rPr>
          <w:lang w:val="en-US"/>
        </w:rPr>
        <w:t xml:space="preserve"> (</w:t>
      </w:r>
      <w:r w:rsidR="00C1217C">
        <w:rPr>
          <w:lang w:val="en-US"/>
        </w:rPr>
        <w:t xml:space="preserve">e.g., </w:t>
      </w:r>
      <w:r w:rsidRPr="00F25441">
        <w:rPr>
          <w:lang w:val="en-US"/>
        </w:rPr>
        <w:t>Dimson, Karakas, and Li 2021).</w:t>
      </w:r>
      <w:r w:rsidR="009E23B1" w:rsidRPr="00F25441">
        <w:rPr>
          <w:lang w:val="en-US"/>
        </w:rPr>
        <w:t xml:space="preserve"> How th</w:t>
      </w:r>
      <w:r w:rsidR="00C1217C">
        <w:rPr>
          <w:lang w:val="en-US"/>
        </w:rPr>
        <w:t>e</w:t>
      </w:r>
      <w:r w:rsidR="009E23B1" w:rsidRPr="00F25441">
        <w:rPr>
          <w:lang w:val="en-US"/>
        </w:rPr>
        <w:t xml:space="preserve">se </w:t>
      </w:r>
      <w:r w:rsidR="00C1217C">
        <w:rPr>
          <w:lang w:val="en-US"/>
        </w:rPr>
        <w:t xml:space="preserve">important </w:t>
      </w:r>
      <w:r w:rsidR="009E23B1" w:rsidRPr="00F25441">
        <w:rPr>
          <w:lang w:val="en-US"/>
        </w:rPr>
        <w:t xml:space="preserve">developments are influencing CSP </w:t>
      </w:r>
      <w:r w:rsidR="00C1217C">
        <w:rPr>
          <w:lang w:val="en-US"/>
        </w:rPr>
        <w:t>across</w:t>
      </w:r>
      <w:r w:rsidR="00C1217C" w:rsidRPr="00F25441">
        <w:rPr>
          <w:lang w:val="en-US"/>
        </w:rPr>
        <w:t xml:space="preserve"> </w:t>
      </w:r>
      <w:r w:rsidR="009E23B1" w:rsidRPr="00F25441">
        <w:rPr>
          <w:lang w:val="en-US"/>
        </w:rPr>
        <w:t>different countries m</w:t>
      </w:r>
      <w:r w:rsidR="00C1217C">
        <w:rPr>
          <w:lang w:val="en-US"/>
        </w:rPr>
        <w:t>ay</w:t>
      </w:r>
      <w:r w:rsidR="009E23B1" w:rsidRPr="00F25441">
        <w:rPr>
          <w:lang w:val="en-US"/>
        </w:rPr>
        <w:t xml:space="preserve"> </w:t>
      </w:r>
      <w:r w:rsidR="008508FB">
        <w:rPr>
          <w:lang w:val="en-US"/>
        </w:rPr>
        <w:t xml:space="preserve">critically </w:t>
      </w:r>
      <w:r w:rsidR="009E23B1" w:rsidRPr="00F25441">
        <w:rPr>
          <w:lang w:val="en-US"/>
        </w:rPr>
        <w:t xml:space="preserve">depend on the corporate governance norms and systems </w:t>
      </w:r>
      <w:r w:rsidR="00C1217C">
        <w:rPr>
          <w:lang w:val="en-US"/>
        </w:rPr>
        <w:t>in</w:t>
      </w:r>
      <w:r w:rsidR="009E23B1" w:rsidRPr="00F25441">
        <w:rPr>
          <w:lang w:val="en-US"/>
        </w:rPr>
        <w:t xml:space="preserve"> each country, </w:t>
      </w:r>
      <w:r w:rsidR="00C1217C">
        <w:rPr>
          <w:lang w:val="en-US"/>
        </w:rPr>
        <w:t>including</w:t>
      </w:r>
      <w:r w:rsidR="009E23B1" w:rsidRPr="00F25441">
        <w:rPr>
          <w:lang w:val="en-US"/>
        </w:rPr>
        <w:t xml:space="preserve"> shareholder rights and powers, ownership structures, and board director effectiveness</w:t>
      </w:r>
      <w:r w:rsidR="008508FB">
        <w:rPr>
          <w:lang w:val="en-US"/>
        </w:rPr>
        <w:t>;</w:t>
      </w:r>
      <w:r w:rsidR="00E73D47">
        <w:rPr>
          <w:lang w:val="en-US"/>
        </w:rPr>
        <w:t xml:space="preserve"> another set of </w:t>
      </w:r>
      <w:r w:rsidR="008508FB">
        <w:rPr>
          <w:lang w:val="en-US"/>
        </w:rPr>
        <w:t xml:space="preserve">important </w:t>
      </w:r>
      <w:r w:rsidR="00E73D47">
        <w:rPr>
          <w:lang w:val="en-US"/>
        </w:rPr>
        <w:t>questions that future research could explore</w:t>
      </w:r>
      <w:r w:rsidR="009E23B1" w:rsidRPr="00F25441">
        <w:rPr>
          <w:lang w:val="en-US"/>
        </w:rPr>
        <w:t xml:space="preserve">. </w:t>
      </w:r>
    </w:p>
    <w:p w14:paraId="67A5E3A5" w14:textId="269727FA" w:rsidR="000E245F" w:rsidRPr="00F25441" w:rsidRDefault="000E245F" w:rsidP="002D5C7D">
      <w:pPr>
        <w:spacing w:line="480" w:lineRule="auto"/>
        <w:ind w:firstLine="720"/>
        <w:jc w:val="both"/>
        <w:rPr>
          <w:lang w:val="en-US"/>
        </w:rPr>
      </w:pPr>
      <w:r w:rsidRPr="00F25441">
        <w:rPr>
          <w:lang w:val="en-US"/>
        </w:rPr>
        <w:t xml:space="preserve">Third, </w:t>
      </w:r>
      <w:r w:rsidR="00E73D47">
        <w:rPr>
          <w:lang w:val="en-US"/>
        </w:rPr>
        <w:t xml:space="preserve">in the last few years, </w:t>
      </w:r>
      <w:r w:rsidRPr="00F25441">
        <w:rPr>
          <w:lang w:val="en-US"/>
        </w:rPr>
        <w:t xml:space="preserve">new financial instruments have emerged that did not even exist or barely existed when we conducted our study. For example, </w:t>
      </w:r>
      <w:r w:rsidR="00E73D47">
        <w:rPr>
          <w:lang w:val="en-US"/>
        </w:rPr>
        <w:t xml:space="preserve">the </w:t>
      </w:r>
      <w:r w:rsidRPr="00F25441">
        <w:rPr>
          <w:lang w:val="en-US"/>
        </w:rPr>
        <w:t>use of proceeds instruments, such as green or sustainability bonds or loans, that restrict the capital raised to be deployed towards improving CSP</w:t>
      </w:r>
      <w:r w:rsidR="00E73D47">
        <w:rPr>
          <w:lang w:val="en-US"/>
        </w:rPr>
        <w:t>,</w:t>
      </w:r>
      <w:r w:rsidRPr="00F25441">
        <w:rPr>
          <w:lang w:val="en-US"/>
        </w:rPr>
        <w:t xml:space="preserve"> has increased exponentially in the last ten years (Baker et al.</w:t>
      </w:r>
      <w:r w:rsidR="00E73D47">
        <w:rPr>
          <w:lang w:val="en-US"/>
        </w:rPr>
        <w:t>,</w:t>
      </w:r>
      <w:r w:rsidRPr="00F25441">
        <w:rPr>
          <w:lang w:val="en-US"/>
        </w:rPr>
        <w:t xml:space="preserve"> 2022). Several studies suggested that</w:t>
      </w:r>
      <w:r w:rsidR="00E73D47">
        <w:rPr>
          <w:lang w:val="en-US"/>
        </w:rPr>
        <w:t xml:space="preserve"> these</w:t>
      </w:r>
      <w:r w:rsidRPr="00F25441">
        <w:rPr>
          <w:lang w:val="en-US"/>
        </w:rPr>
        <w:t xml:space="preserve"> instruments could act as commitment devices that lead to better CSP performance (</w:t>
      </w:r>
      <w:r w:rsidR="00E73D47">
        <w:rPr>
          <w:lang w:val="en-US"/>
        </w:rPr>
        <w:t xml:space="preserve">e.g., </w:t>
      </w:r>
      <w:r w:rsidRPr="00F25441">
        <w:rPr>
          <w:lang w:val="en-US"/>
        </w:rPr>
        <w:t>Flammer</w:t>
      </w:r>
      <w:r w:rsidR="00E73D47">
        <w:rPr>
          <w:lang w:val="en-US"/>
        </w:rPr>
        <w:t>,</w:t>
      </w:r>
      <w:r w:rsidRPr="00F25441">
        <w:rPr>
          <w:lang w:val="en-US"/>
        </w:rPr>
        <w:t xml:space="preserve"> 2021). </w:t>
      </w:r>
      <w:r w:rsidR="00E73D47">
        <w:rPr>
          <w:lang w:val="en-US"/>
        </w:rPr>
        <w:t>Relatedly, s</w:t>
      </w:r>
      <w:r w:rsidRPr="00F25441">
        <w:rPr>
          <w:lang w:val="en-US"/>
        </w:rPr>
        <w:t>ustainability-linked bonds or loans that make interest paid a function of a firm’s future CSP did not even exist in 2012 but now</w:t>
      </w:r>
      <w:r w:rsidR="00E73D47">
        <w:rPr>
          <w:lang w:val="en-US"/>
        </w:rPr>
        <w:t>,</w:t>
      </w:r>
      <w:r w:rsidRPr="00F25441">
        <w:rPr>
          <w:lang w:val="en-US"/>
        </w:rPr>
        <w:t xml:space="preserve"> hundreds of billions of dollars have been issued. The design of th</w:t>
      </w:r>
      <w:r w:rsidR="00E73D47">
        <w:rPr>
          <w:lang w:val="en-US"/>
        </w:rPr>
        <w:t>e</w:t>
      </w:r>
      <w:r w:rsidRPr="00F25441">
        <w:rPr>
          <w:lang w:val="en-US"/>
        </w:rPr>
        <w:t>se financial instruments</w:t>
      </w:r>
      <w:r w:rsidR="009E23B1" w:rsidRPr="00F25441">
        <w:rPr>
          <w:lang w:val="en-US"/>
        </w:rPr>
        <w:t xml:space="preserve">, such as </w:t>
      </w:r>
      <w:r w:rsidR="00B23640">
        <w:rPr>
          <w:lang w:val="en-US"/>
        </w:rPr>
        <w:t xml:space="preserve">the choice of </w:t>
      </w:r>
      <w:r w:rsidR="00101AFF" w:rsidRPr="00F25441">
        <w:rPr>
          <w:lang w:val="en-US"/>
        </w:rPr>
        <w:t>Key Performance Indicator</w:t>
      </w:r>
      <w:r w:rsidR="00B23640">
        <w:rPr>
          <w:lang w:val="en-US"/>
        </w:rPr>
        <w:t>s</w:t>
      </w:r>
      <w:r w:rsidR="00101AFF" w:rsidRPr="00F25441">
        <w:rPr>
          <w:lang w:val="en-US"/>
        </w:rPr>
        <w:t>, target ambition, and materiality,</w:t>
      </w:r>
      <w:r w:rsidRPr="00F25441">
        <w:rPr>
          <w:lang w:val="en-US"/>
        </w:rPr>
        <w:t xml:space="preserve"> could </w:t>
      </w:r>
      <w:r w:rsidR="00E73D47">
        <w:rPr>
          <w:lang w:val="en-US"/>
        </w:rPr>
        <w:t xml:space="preserve">significantly </w:t>
      </w:r>
      <w:r w:rsidRPr="00F25441">
        <w:rPr>
          <w:lang w:val="en-US"/>
        </w:rPr>
        <w:t>influence how effective they are in motivating improvements in CSP over time (Loumioti and Serafeim 2022).</w:t>
      </w:r>
      <w:r w:rsidR="00101AFF" w:rsidRPr="00F25441">
        <w:rPr>
          <w:lang w:val="en-US"/>
        </w:rPr>
        <w:t xml:space="preserve"> In turn, design choices could become standardized in contracts through influential banks and other financial institutions in different countries, suggesting significant heterogeneity across countries in</w:t>
      </w:r>
      <w:r w:rsidR="00E73D47">
        <w:rPr>
          <w:lang w:val="en-US"/>
        </w:rPr>
        <w:t xml:space="preserve"> terms of</w:t>
      </w:r>
      <w:r w:rsidR="00101AFF" w:rsidRPr="00F25441">
        <w:rPr>
          <w:lang w:val="en-US"/>
        </w:rPr>
        <w:t xml:space="preserve"> how effective those instruments might be in influencing CSP.</w:t>
      </w:r>
      <w:r w:rsidR="00E73D47">
        <w:rPr>
          <w:lang w:val="en-US"/>
        </w:rPr>
        <w:t xml:space="preserve"> As more products are introduced into the market, and as we accumulate more years of data from across the world, future studies could focus on exploring the variety of instruments and their potentially differential effectiveness across institutional contexts.</w:t>
      </w:r>
    </w:p>
    <w:p w14:paraId="6A2104A5" w14:textId="4E475EF9" w:rsidR="000E245F" w:rsidRPr="00F25441" w:rsidRDefault="00A05A3A" w:rsidP="002D5C7D">
      <w:pPr>
        <w:spacing w:line="480" w:lineRule="auto"/>
        <w:ind w:firstLine="720"/>
        <w:jc w:val="both"/>
        <w:rPr>
          <w:lang w:val="en-US"/>
        </w:rPr>
      </w:pPr>
      <w:r>
        <w:rPr>
          <w:lang w:val="en-US"/>
        </w:rPr>
        <w:lastRenderedPageBreak/>
        <w:t>In sum</w:t>
      </w:r>
      <w:r w:rsidR="00101AFF" w:rsidRPr="00F25441">
        <w:rPr>
          <w:lang w:val="en-US"/>
        </w:rPr>
        <w:t>, a</w:t>
      </w:r>
      <w:r w:rsidR="000E245F" w:rsidRPr="00F25441">
        <w:rPr>
          <w:lang w:val="en-US"/>
        </w:rPr>
        <w:t xml:space="preserve">ll three </w:t>
      </w:r>
      <w:r>
        <w:rPr>
          <w:lang w:val="en-US"/>
        </w:rPr>
        <w:t xml:space="preserve">major </w:t>
      </w:r>
      <w:r w:rsidR="000E245F" w:rsidRPr="00F25441">
        <w:rPr>
          <w:lang w:val="en-US"/>
        </w:rPr>
        <w:t xml:space="preserve">developments </w:t>
      </w:r>
      <w:r>
        <w:rPr>
          <w:lang w:val="en-US"/>
        </w:rPr>
        <w:t>discussed here</w:t>
      </w:r>
      <w:r w:rsidR="000E245F" w:rsidRPr="00F25441">
        <w:rPr>
          <w:lang w:val="en-US"/>
        </w:rPr>
        <w:t>,</w:t>
      </w:r>
      <w:r>
        <w:rPr>
          <w:lang w:val="en-US"/>
        </w:rPr>
        <w:t xml:space="preserve"> i.e.,</w:t>
      </w:r>
      <w:r w:rsidR="000E245F" w:rsidRPr="00F25441">
        <w:rPr>
          <w:lang w:val="en-US"/>
        </w:rPr>
        <w:t xml:space="preserve"> CSP disclosure, investor integration of CSP data, and </w:t>
      </w:r>
      <w:r w:rsidR="00DE57AC">
        <w:rPr>
          <w:lang w:val="en-US"/>
        </w:rPr>
        <w:t xml:space="preserve">emergence of new </w:t>
      </w:r>
      <w:r w:rsidR="000E245F" w:rsidRPr="00F25441">
        <w:rPr>
          <w:lang w:val="en-US"/>
        </w:rPr>
        <w:t>financial instruments that are contingent on CSP characteristics vary significantly across countries</w:t>
      </w:r>
      <w:r>
        <w:rPr>
          <w:lang w:val="en-US"/>
        </w:rPr>
        <w:t xml:space="preserve"> and as such, they</w:t>
      </w:r>
      <w:r w:rsidR="000E245F" w:rsidRPr="00F25441">
        <w:rPr>
          <w:lang w:val="en-US"/>
        </w:rPr>
        <w:t xml:space="preserve"> present </w:t>
      </w:r>
      <w:r>
        <w:rPr>
          <w:lang w:val="en-US"/>
        </w:rPr>
        <w:t>fruitful</w:t>
      </w:r>
      <w:r w:rsidRPr="00F25441">
        <w:rPr>
          <w:lang w:val="en-US"/>
        </w:rPr>
        <w:t xml:space="preserve"> </w:t>
      </w:r>
      <w:r w:rsidR="000E245F" w:rsidRPr="00F25441">
        <w:rPr>
          <w:lang w:val="en-US"/>
        </w:rPr>
        <w:t xml:space="preserve">opportunities for researchers to </w:t>
      </w:r>
      <w:r>
        <w:rPr>
          <w:lang w:val="en-US"/>
        </w:rPr>
        <w:t>undertake empirical and theoretical studies</w:t>
      </w:r>
      <w:r w:rsidR="000E245F" w:rsidRPr="00F25441">
        <w:rPr>
          <w:lang w:val="en-US"/>
        </w:rPr>
        <w:t xml:space="preserve"> that</w:t>
      </w:r>
      <w:r>
        <w:rPr>
          <w:lang w:val="en-US"/>
        </w:rPr>
        <w:t xml:space="preserve"> would</w:t>
      </w:r>
      <w:r w:rsidR="000E245F" w:rsidRPr="00F25441">
        <w:rPr>
          <w:lang w:val="en-US"/>
        </w:rPr>
        <w:t xml:space="preserve"> allow us to gain a deeper understanding of how financial markets affect CSP.  </w:t>
      </w:r>
    </w:p>
    <w:p w14:paraId="66BB21BB" w14:textId="5A8D2A50" w:rsidR="002D5C7D" w:rsidRPr="00F25441" w:rsidRDefault="00647EC1" w:rsidP="0085435C">
      <w:pPr>
        <w:spacing w:line="480" w:lineRule="auto"/>
        <w:ind w:firstLine="720"/>
        <w:jc w:val="both"/>
        <w:rPr>
          <w:lang w:val="en-US"/>
        </w:rPr>
      </w:pPr>
      <w:r w:rsidRPr="00F25441">
        <w:rPr>
          <w:lang w:val="en-US"/>
        </w:rPr>
        <w:t xml:space="preserve">We </w:t>
      </w:r>
      <w:r w:rsidR="000E245F" w:rsidRPr="00F25441">
        <w:rPr>
          <w:lang w:val="en-US"/>
        </w:rPr>
        <w:t xml:space="preserve">now </w:t>
      </w:r>
      <w:r w:rsidR="0050059A" w:rsidRPr="00F25441">
        <w:rPr>
          <w:lang w:val="en-US"/>
        </w:rPr>
        <w:t>turn to</w:t>
      </w:r>
      <w:r w:rsidR="00EA6A52" w:rsidRPr="00F25441">
        <w:rPr>
          <w:lang w:val="en-US"/>
        </w:rPr>
        <w:t xml:space="preserve"> </w:t>
      </w:r>
      <w:r w:rsidR="000B17DF" w:rsidRPr="00F25441">
        <w:rPr>
          <w:lang w:val="en-US"/>
        </w:rPr>
        <w:t>discuss</w:t>
      </w:r>
      <w:r w:rsidR="0050059A" w:rsidRPr="00F25441">
        <w:rPr>
          <w:lang w:val="en-US"/>
        </w:rPr>
        <w:t>ing</w:t>
      </w:r>
      <w:r w:rsidR="00EF3BB9" w:rsidRPr="00F25441">
        <w:rPr>
          <w:lang w:val="en-US"/>
        </w:rPr>
        <w:t xml:space="preserve"> some</w:t>
      </w:r>
      <w:r w:rsidR="00383C1D" w:rsidRPr="00F25441">
        <w:rPr>
          <w:lang w:val="en-US"/>
        </w:rPr>
        <w:t xml:space="preserve"> of the academic</w:t>
      </w:r>
      <w:r w:rsidR="00EF3BB9" w:rsidRPr="00F25441">
        <w:rPr>
          <w:lang w:val="en-US"/>
        </w:rPr>
        <w:t xml:space="preserve"> articles </w:t>
      </w:r>
      <w:r w:rsidR="0085435C">
        <w:rPr>
          <w:lang w:val="en-US"/>
        </w:rPr>
        <w:t xml:space="preserve">in the IB literature </w:t>
      </w:r>
      <w:r w:rsidR="00EF3BB9" w:rsidRPr="00F25441">
        <w:rPr>
          <w:lang w:val="en-US"/>
        </w:rPr>
        <w:t>that</w:t>
      </w:r>
      <w:r w:rsidR="0050059A" w:rsidRPr="00F25441">
        <w:rPr>
          <w:lang w:val="en-US"/>
        </w:rPr>
        <w:t xml:space="preserve"> we believe</w:t>
      </w:r>
      <w:r w:rsidR="000E245F" w:rsidRPr="00F25441">
        <w:rPr>
          <w:lang w:val="en-US"/>
        </w:rPr>
        <w:t xml:space="preserve"> have already</w:t>
      </w:r>
      <w:r w:rsidR="00EF3BB9" w:rsidRPr="00F25441">
        <w:rPr>
          <w:lang w:val="en-US"/>
        </w:rPr>
        <w:t xml:space="preserve"> extended our work</w:t>
      </w:r>
      <w:r w:rsidR="000B17DF" w:rsidRPr="00F25441">
        <w:rPr>
          <w:lang w:val="en-US"/>
        </w:rPr>
        <w:t xml:space="preserve"> in important ways</w:t>
      </w:r>
      <w:r w:rsidR="00EF3BB9" w:rsidRPr="00F25441">
        <w:rPr>
          <w:lang w:val="en-US"/>
        </w:rPr>
        <w:t xml:space="preserve"> and </w:t>
      </w:r>
      <w:r w:rsidR="000B17DF" w:rsidRPr="00F25441">
        <w:rPr>
          <w:lang w:val="en-US"/>
        </w:rPr>
        <w:t>thus</w:t>
      </w:r>
      <w:r w:rsidR="0050059A" w:rsidRPr="00F25441">
        <w:rPr>
          <w:lang w:val="en-US"/>
        </w:rPr>
        <w:t>,</w:t>
      </w:r>
      <w:r w:rsidR="000B17DF" w:rsidRPr="00F25441">
        <w:rPr>
          <w:lang w:val="en-US"/>
        </w:rPr>
        <w:t xml:space="preserve"> </w:t>
      </w:r>
      <w:r w:rsidR="00EF3BB9" w:rsidRPr="00F25441">
        <w:rPr>
          <w:lang w:val="en-US"/>
        </w:rPr>
        <w:t xml:space="preserve">generated important contributions to JIBS and the </w:t>
      </w:r>
      <w:r w:rsidR="0085435C">
        <w:rPr>
          <w:lang w:val="en-US"/>
        </w:rPr>
        <w:t>academic</w:t>
      </w:r>
      <w:r w:rsidR="00EF3BB9" w:rsidRPr="00F25441">
        <w:rPr>
          <w:lang w:val="en-US"/>
        </w:rPr>
        <w:t xml:space="preserve"> literature more broadly.</w:t>
      </w:r>
    </w:p>
    <w:p w14:paraId="45FF3E66" w14:textId="749D3273" w:rsidR="007A0A70" w:rsidRDefault="007A0A70" w:rsidP="000B17DF">
      <w:pPr>
        <w:spacing w:line="480" w:lineRule="auto"/>
        <w:jc w:val="center"/>
        <w:rPr>
          <w:b/>
          <w:bCs/>
          <w:lang w:val="en-US"/>
        </w:rPr>
      </w:pPr>
      <w:r>
        <w:rPr>
          <w:b/>
          <w:bCs/>
          <w:lang w:val="en-US"/>
        </w:rPr>
        <w:t>FOLLOW-UP</w:t>
      </w:r>
      <w:r w:rsidRPr="00F25441">
        <w:rPr>
          <w:b/>
          <w:bCs/>
          <w:lang w:val="en-US"/>
        </w:rPr>
        <w:t xml:space="preserve"> </w:t>
      </w:r>
      <w:r w:rsidR="000B17DF" w:rsidRPr="00F25441">
        <w:rPr>
          <w:b/>
          <w:bCs/>
          <w:lang w:val="en-US"/>
        </w:rPr>
        <w:t>WORK</w:t>
      </w:r>
      <w:r>
        <w:rPr>
          <w:b/>
          <w:bCs/>
          <w:lang w:val="en-US"/>
        </w:rPr>
        <w:t xml:space="preserve"> IN IB LITERATURE</w:t>
      </w:r>
      <w:r w:rsidR="000B17DF" w:rsidRPr="00F25441">
        <w:rPr>
          <w:b/>
          <w:bCs/>
          <w:lang w:val="en-US"/>
        </w:rPr>
        <w:t xml:space="preserve"> AND </w:t>
      </w:r>
    </w:p>
    <w:p w14:paraId="41C50BEF" w14:textId="461F9E0D" w:rsidR="000B17DF" w:rsidRPr="00F25441" w:rsidRDefault="000B17DF" w:rsidP="000B17DF">
      <w:pPr>
        <w:spacing w:line="480" w:lineRule="auto"/>
        <w:jc w:val="center"/>
        <w:rPr>
          <w:lang w:val="en-US"/>
        </w:rPr>
      </w:pPr>
      <w:r w:rsidRPr="00F25441">
        <w:rPr>
          <w:b/>
          <w:bCs/>
          <w:lang w:val="en-US"/>
        </w:rPr>
        <w:t>FUTURE RESEARCH DIRECTIONS</w:t>
      </w:r>
    </w:p>
    <w:p w14:paraId="17E98A83" w14:textId="0FE5640F" w:rsidR="00647EC1" w:rsidRPr="00F25441" w:rsidRDefault="00AA6BD9" w:rsidP="00647EC1">
      <w:pPr>
        <w:spacing w:line="480" w:lineRule="auto"/>
        <w:ind w:firstLine="720"/>
        <w:jc w:val="both"/>
        <w:rPr>
          <w:lang w:val="en-US"/>
        </w:rPr>
      </w:pPr>
      <w:r w:rsidRPr="00F25441">
        <w:rPr>
          <w:lang w:val="en-US"/>
        </w:rPr>
        <w:t>A</w:t>
      </w:r>
      <w:r w:rsidR="00DA1EE0" w:rsidRPr="00F25441">
        <w:rPr>
          <w:lang w:val="en-US"/>
        </w:rPr>
        <w:t xml:space="preserve">ccording to Google Scholar, </w:t>
      </w:r>
      <w:r w:rsidRPr="00F25441">
        <w:rPr>
          <w:lang w:val="en-US"/>
        </w:rPr>
        <w:t xml:space="preserve">as of October 2022 </w:t>
      </w:r>
      <w:r w:rsidR="00783327" w:rsidRPr="00F25441">
        <w:rPr>
          <w:lang w:val="en-US"/>
        </w:rPr>
        <w:t>our study</w:t>
      </w:r>
      <w:r w:rsidR="00FA186B" w:rsidRPr="00F25441">
        <w:rPr>
          <w:lang w:val="en-US"/>
        </w:rPr>
        <w:t xml:space="preserve"> </w:t>
      </w:r>
      <w:r w:rsidR="00783327" w:rsidRPr="00F25441">
        <w:rPr>
          <w:lang w:val="en-US"/>
        </w:rPr>
        <w:t xml:space="preserve">accumulated over 1,200 citations </w:t>
      </w:r>
      <w:r w:rsidRPr="00F25441">
        <w:rPr>
          <w:lang w:val="en-US"/>
        </w:rPr>
        <w:t>in</w:t>
      </w:r>
      <w:r w:rsidR="00DA1EE0" w:rsidRPr="00F25441">
        <w:rPr>
          <w:lang w:val="en-US"/>
        </w:rPr>
        <w:t xml:space="preserve"> articles</w:t>
      </w:r>
      <w:r w:rsidR="00783327" w:rsidRPr="00F25441">
        <w:rPr>
          <w:lang w:val="en-US"/>
        </w:rPr>
        <w:t xml:space="preserve"> </w:t>
      </w:r>
      <w:r w:rsidRPr="00F25441">
        <w:rPr>
          <w:lang w:val="en-US"/>
        </w:rPr>
        <w:t>published</w:t>
      </w:r>
      <w:r w:rsidR="00783327" w:rsidRPr="00F25441">
        <w:rPr>
          <w:lang w:val="en-US"/>
        </w:rPr>
        <w:t xml:space="preserve"> across </w:t>
      </w:r>
      <w:r w:rsidRPr="00F25441">
        <w:rPr>
          <w:lang w:val="en-US"/>
        </w:rPr>
        <w:t>various</w:t>
      </w:r>
      <w:r w:rsidR="00DA1EE0" w:rsidRPr="00F25441">
        <w:rPr>
          <w:lang w:val="en-US"/>
        </w:rPr>
        <w:t xml:space="preserve"> academic</w:t>
      </w:r>
      <w:r w:rsidR="00783327" w:rsidRPr="00F25441">
        <w:rPr>
          <w:lang w:val="en-US"/>
        </w:rPr>
        <w:t xml:space="preserve"> disciplines including</w:t>
      </w:r>
      <w:r w:rsidR="00DA1EE0" w:rsidRPr="00F25441">
        <w:rPr>
          <w:lang w:val="en-US"/>
        </w:rPr>
        <w:t xml:space="preserve"> </w:t>
      </w:r>
      <w:r w:rsidR="006317B9">
        <w:rPr>
          <w:lang w:val="en-US"/>
        </w:rPr>
        <w:t>IB</w:t>
      </w:r>
      <w:r w:rsidR="006E785A" w:rsidRPr="00F25441">
        <w:rPr>
          <w:lang w:val="en-US"/>
        </w:rPr>
        <w:t xml:space="preserve">, </w:t>
      </w:r>
      <w:r w:rsidR="00DA1EE0" w:rsidRPr="00F25441">
        <w:rPr>
          <w:lang w:val="en-US"/>
        </w:rPr>
        <w:t xml:space="preserve">strategic </w:t>
      </w:r>
      <w:r w:rsidR="00783327" w:rsidRPr="00F25441">
        <w:rPr>
          <w:lang w:val="en-US"/>
        </w:rPr>
        <w:t xml:space="preserve">management, economics, accounting and finance, </w:t>
      </w:r>
      <w:r w:rsidR="006E785A" w:rsidRPr="00F25441">
        <w:rPr>
          <w:lang w:val="en-US"/>
        </w:rPr>
        <w:t xml:space="preserve">and </w:t>
      </w:r>
      <w:r w:rsidR="00783327" w:rsidRPr="00F25441">
        <w:rPr>
          <w:lang w:val="en-US"/>
        </w:rPr>
        <w:t xml:space="preserve">business ethics, to name a few. </w:t>
      </w:r>
      <w:r w:rsidR="005A6FD9" w:rsidRPr="00F25441">
        <w:rPr>
          <w:lang w:val="en-US"/>
        </w:rPr>
        <w:t>It would</w:t>
      </w:r>
      <w:r w:rsidR="0075662A" w:rsidRPr="00F25441">
        <w:rPr>
          <w:lang w:val="en-US"/>
        </w:rPr>
        <w:t xml:space="preserve"> therefore</w:t>
      </w:r>
      <w:r w:rsidR="005A6FD9" w:rsidRPr="00F25441">
        <w:rPr>
          <w:lang w:val="en-US"/>
        </w:rPr>
        <w:t xml:space="preserve"> fall beyond the scope of this Retrospective piece to attempt a comprehensive review </w:t>
      </w:r>
      <w:r w:rsidR="0075662A" w:rsidRPr="00F25441">
        <w:rPr>
          <w:lang w:val="en-US"/>
        </w:rPr>
        <w:t xml:space="preserve">of this entire stream of work </w:t>
      </w:r>
      <w:r w:rsidR="005A6FD9" w:rsidRPr="00F25441">
        <w:rPr>
          <w:lang w:val="en-US"/>
        </w:rPr>
        <w:t xml:space="preserve">but instead, we would like to highlight what we consider to be some of the most </w:t>
      </w:r>
      <w:r w:rsidR="006E785A" w:rsidRPr="00F25441">
        <w:rPr>
          <w:lang w:val="en-US"/>
        </w:rPr>
        <w:t>promising</w:t>
      </w:r>
      <w:r w:rsidR="005A6FD9" w:rsidRPr="00F25441">
        <w:rPr>
          <w:lang w:val="en-US"/>
        </w:rPr>
        <w:t xml:space="preserve"> extensions of our </w:t>
      </w:r>
      <w:r w:rsidR="006E785A" w:rsidRPr="00F25441">
        <w:rPr>
          <w:lang w:val="en-US"/>
        </w:rPr>
        <w:t>paper</w:t>
      </w:r>
      <w:r w:rsidR="009F5A19" w:rsidRPr="00F25441">
        <w:rPr>
          <w:lang w:val="en-US"/>
        </w:rPr>
        <w:t>, especially</w:t>
      </w:r>
      <w:r w:rsidR="006E785A" w:rsidRPr="00F25441">
        <w:rPr>
          <w:lang w:val="en-US"/>
        </w:rPr>
        <w:t xml:space="preserve"> in terms of opening </w:t>
      </w:r>
      <w:r w:rsidR="00263D5F">
        <w:rPr>
          <w:lang w:val="en-US"/>
        </w:rPr>
        <w:t xml:space="preserve">additional </w:t>
      </w:r>
      <w:r w:rsidR="006E785A" w:rsidRPr="00F25441">
        <w:rPr>
          <w:lang w:val="en-US"/>
        </w:rPr>
        <w:t>avenues for future research</w:t>
      </w:r>
      <w:r w:rsidR="009F5A19" w:rsidRPr="00F25441">
        <w:rPr>
          <w:lang w:val="en-US"/>
        </w:rPr>
        <w:t xml:space="preserve"> within the IB literature</w:t>
      </w:r>
      <w:r w:rsidR="00AE340B" w:rsidRPr="00F25441">
        <w:rPr>
          <w:lang w:val="en-US"/>
        </w:rPr>
        <w:t>.</w:t>
      </w:r>
    </w:p>
    <w:p w14:paraId="59CB26FF" w14:textId="17C1E521" w:rsidR="00A2791F" w:rsidRPr="00F25441" w:rsidRDefault="00835948" w:rsidP="00A40522">
      <w:pPr>
        <w:spacing w:line="480" w:lineRule="auto"/>
        <w:ind w:firstLine="720"/>
        <w:jc w:val="both"/>
        <w:rPr>
          <w:lang w:val="en-US"/>
        </w:rPr>
      </w:pPr>
      <w:r w:rsidRPr="00F25441">
        <w:rPr>
          <w:lang w:val="en-US"/>
        </w:rPr>
        <w:t>Toward</w:t>
      </w:r>
      <w:r w:rsidR="00A40522" w:rsidRPr="00F25441">
        <w:rPr>
          <w:lang w:val="en-US"/>
        </w:rPr>
        <w:t>s</w:t>
      </w:r>
      <w:r w:rsidR="007F3E6A" w:rsidRPr="00F25441">
        <w:rPr>
          <w:lang w:val="en-US"/>
        </w:rPr>
        <w:t xml:space="preserve"> </w:t>
      </w:r>
      <w:r w:rsidRPr="00F25441">
        <w:rPr>
          <w:lang w:val="en-US"/>
        </w:rPr>
        <w:t>the end of</w:t>
      </w:r>
      <w:r w:rsidR="002122AB" w:rsidRPr="00F25441">
        <w:rPr>
          <w:lang w:val="en-US"/>
        </w:rPr>
        <w:t xml:space="preserve"> our 2012 article,</w:t>
      </w:r>
      <w:r w:rsidRPr="00F25441">
        <w:rPr>
          <w:lang w:val="en-US"/>
        </w:rPr>
        <w:t xml:space="preserve"> </w:t>
      </w:r>
      <w:r w:rsidR="002122AB" w:rsidRPr="00F25441">
        <w:rPr>
          <w:lang w:val="en-US"/>
        </w:rPr>
        <w:t>as a robustness check</w:t>
      </w:r>
      <w:r w:rsidRPr="00F25441">
        <w:rPr>
          <w:lang w:val="en-US"/>
        </w:rPr>
        <w:t xml:space="preserve">, we distinguished between domestic and multinational companies (MNEs) and noted that for </w:t>
      </w:r>
      <w:r w:rsidR="004453EB">
        <w:rPr>
          <w:lang w:val="en-US"/>
        </w:rPr>
        <w:t xml:space="preserve">the </w:t>
      </w:r>
      <w:r w:rsidRPr="00F25441">
        <w:rPr>
          <w:lang w:val="en-US"/>
        </w:rPr>
        <w:t xml:space="preserve">latter, it was important to consider and further explore the influence of both home- as well as host-country institutions. This is because MNEs typically operate across several countries and </w:t>
      </w:r>
      <w:r w:rsidR="00A40522" w:rsidRPr="00F25441">
        <w:rPr>
          <w:lang w:val="en-US"/>
        </w:rPr>
        <w:t xml:space="preserve">hence, </w:t>
      </w:r>
      <w:r w:rsidR="00216CA3" w:rsidRPr="00F25441">
        <w:rPr>
          <w:lang w:val="en-US"/>
        </w:rPr>
        <w:t xml:space="preserve">across </w:t>
      </w:r>
      <w:r w:rsidR="004453EB">
        <w:rPr>
          <w:lang w:val="en-US"/>
        </w:rPr>
        <w:t xml:space="preserve">different </w:t>
      </w:r>
      <w:r w:rsidRPr="00F25441">
        <w:rPr>
          <w:lang w:val="en-US"/>
        </w:rPr>
        <w:t>institutional domains</w:t>
      </w:r>
      <w:r w:rsidR="00A40522" w:rsidRPr="00F25441">
        <w:rPr>
          <w:lang w:val="en-US"/>
        </w:rPr>
        <w:t>,</w:t>
      </w:r>
      <w:r w:rsidRPr="00F25441">
        <w:rPr>
          <w:lang w:val="en-US"/>
        </w:rPr>
        <w:t xml:space="preserve"> </w:t>
      </w:r>
      <w:r w:rsidR="007F3E6A" w:rsidRPr="00F25441">
        <w:rPr>
          <w:lang w:val="en-US"/>
        </w:rPr>
        <w:t>yet</w:t>
      </w:r>
      <w:r w:rsidRPr="00F25441">
        <w:rPr>
          <w:lang w:val="en-US"/>
        </w:rPr>
        <w:t xml:space="preserve"> the impact of this </w:t>
      </w:r>
      <w:r w:rsidR="007F3E6A" w:rsidRPr="00F25441">
        <w:rPr>
          <w:lang w:val="en-US"/>
        </w:rPr>
        <w:t xml:space="preserve">institutional </w:t>
      </w:r>
      <w:r w:rsidRPr="00F25441">
        <w:rPr>
          <w:lang w:val="en-US"/>
        </w:rPr>
        <w:t>diversity on CSP variation remained un</w:t>
      </w:r>
      <w:r w:rsidR="00A40522" w:rsidRPr="00F25441">
        <w:rPr>
          <w:lang w:val="en-US"/>
        </w:rPr>
        <w:t>der</w:t>
      </w:r>
      <w:r w:rsidRPr="00F25441">
        <w:rPr>
          <w:lang w:val="en-US"/>
        </w:rPr>
        <w:t>explored. We were th</w:t>
      </w:r>
      <w:r w:rsidR="00A40522" w:rsidRPr="00F25441">
        <w:rPr>
          <w:lang w:val="en-US"/>
        </w:rPr>
        <w:t>erefore</w:t>
      </w:r>
      <w:r w:rsidRPr="00F25441">
        <w:rPr>
          <w:lang w:val="en-US"/>
        </w:rPr>
        <w:t xml:space="preserve"> excited to read </w:t>
      </w:r>
      <w:proofErr w:type="spellStart"/>
      <w:r w:rsidRPr="00F25441">
        <w:rPr>
          <w:lang w:val="en-US"/>
        </w:rPr>
        <w:t>Rathert</w:t>
      </w:r>
      <w:proofErr w:type="spellEnd"/>
      <w:r w:rsidRPr="00F25441">
        <w:rPr>
          <w:lang w:val="en-US"/>
        </w:rPr>
        <w:t xml:space="preserve"> (2016)</w:t>
      </w:r>
      <w:r w:rsidR="00616A18" w:rsidRPr="00F25441">
        <w:rPr>
          <w:lang w:val="en-US"/>
        </w:rPr>
        <w:t xml:space="preserve"> who focused on labor rights and asked the critical question of how host-country institutions affect CSR adoption by MNEs. </w:t>
      </w:r>
      <w:r w:rsidR="00216CA3" w:rsidRPr="00F25441">
        <w:rPr>
          <w:lang w:val="en-US"/>
        </w:rPr>
        <w:t>Interestingly</w:t>
      </w:r>
      <w:r w:rsidR="00616A18" w:rsidRPr="00F25441">
        <w:rPr>
          <w:lang w:val="en-US"/>
        </w:rPr>
        <w:t xml:space="preserve">, </w:t>
      </w:r>
      <w:proofErr w:type="spellStart"/>
      <w:r w:rsidR="00616A18" w:rsidRPr="00F25441">
        <w:rPr>
          <w:lang w:val="en-US"/>
        </w:rPr>
        <w:t>Rathert</w:t>
      </w:r>
      <w:proofErr w:type="spellEnd"/>
      <w:r w:rsidR="00616A18" w:rsidRPr="00F25441">
        <w:rPr>
          <w:lang w:val="en-US"/>
        </w:rPr>
        <w:t xml:space="preserve"> (2016) finds that </w:t>
      </w:r>
      <w:r w:rsidR="00FB38C3" w:rsidRPr="00F25441">
        <w:rPr>
          <w:lang w:val="en-US"/>
        </w:rPr>
        <w:t xml:space="preserve">issue salience is associated with a higher likelihood of </w:t>
      </w:r>
      <w:r w:rsidR="00FB38C3" w:rsidRPr="00F25441">
        <w:rPr>
          <w:lang w:val="en-US"/>
        </w:rPr>
        <w:lastRenderedPageBreak/>
        <w:t xml:space="preserve">standards-based CSR adoption – i.e., </w:t>
      </w:r>
      <w:r w:rsidR="004A1567" w:rsidRPr="00F25441">
        <w:rPr>
          <w:lang w:val="en-US"/>
        </w:rPr>
        <w:t>policies that set minimum standards for stakeholders with limited impairment of managerial autonomy –</w:t>
      </w:r>
      <w:r w:rsidR="00FB38C3" w:rsidRPr="00F25441">
        <w:rPr>
          <w:lang w:val="en-US"/>
        </w:rPr>
        <w:t xml:space="preserve"> while stakeholder power is associated with a higher likelihood of rights-based CSR adoption – i.e., </w:t>
      </w:r>
      <w:r w:rsidR="004A1567" w:rsidRPr="00F25441">
        <w:rPr>
          <w:lang w:val="en-US"/>
        </w:rPr>
        <w:t xml:space="preserve">policies that award enabling rights to stakeholders, which limit managerial autonomy more extensively. This finding does not only highlight the </w:t>
      </w:r>
      <w:r w:rsidR="007F3E6A" w:rsidRPr="00F25441">
        <w:rPr>
          <w:lang w:val="en-US"/>
        </w:rPr>
        <w:t>importance of</w:t>
      </w:r>
      <w:r w:rsidR="004A1567" w:rsidRPr="00F25441">
        <w:rPr>
          <w:lang w:val="en-US"/>
        </w:rPr>
        <w:t xml:space="preserve"> distinguish</w:t>
      </w:r>
      <w:r w:rsidR="007F3E6A" w:rsidRPr="00F25441">
        <w:rPr>
          <w:lang w:val="en-US"/>
        </w:rPr>
        <w:t>ing</w:t>
      </w:r>
      <w:r w:rsidR="004A1567" w:rsidRPr="00F25441">
        <w:rPr>
          <w:lang w:val="en-US"/>
        </w:rPr>
        <w:t xml:space="preserve"> between home- and host-country institutions but also, </w:t>
      </w:r>
      <w:r w:rsidR="00E1038D" w:rsidRPr="00F25441">
        <w:rPr>
          <w:lang w:val="en-US"/>
        </w:rPr>
        <w:t>the need to explore heterogeneity within CSR actions.</w:t>
      </w:r>
    </w:p>
    <w:p w14:paraId="6157B6F4" w14:textId="77777777" w:rsidR="006317B9" w:rsidRDefault="00A40522" w:rsidP="004A1567">
      <w:pPr>
        <w:spacing w:line="480" w:lineRule="auto"/>
        <w:ind w:firstLine="720"/>
        <w:jc w:val="both"/>
        <w:rPr>
          <w:lang w:val="en-US"/>
        </w:rPr>
      </w:pPr>
      <w:r w:rsidRPr="00F25441">
        <w:rPr>
          <w:lang w:val="en-US"/>
        </w:rPr>
        <w:t xml:space="preserve">Specifically, </w:t>
      </w:r>
      <w:r w:rsidR="004A1567" w:rsidRPr="00F25441">
        <w:rPr>
          <w:lang w:val="en-US"/>
        </w:rPr>
        <w:t xml:space="preserve">future research </w:t>
      </w:r>
      <w:r w:rsidR="00216CA3" w:rsidRPr="00F25441">
        <w:rPr>
          <w:lang w:val="en-US"/>
        </w:rPr>
        <w:t>c</w:t>
      </w:r>
      <w:r w:rsidR="004A1567" w:rsidRPr="00F25441">
        <w:rPr>
          <w:lang w:val="en-US"/>
        </w:rPr>
        <w:t>ould seek to understand the potential interplay between home- and host-country institutions</w:t>
      </w:r>
      <w:r w:rsidR="006317B9">
        <w:rPr>
          <w:lang w:val="en-US"/>
        </w:rPr>
        <w:t xml:space="preserve"> in greater depth</w:t>
      </w:r>
      <w:r w:rsidR="004A1567" w:rsidRPr="00F25441">
        <w:rPr>
          <w:lang w:val="en-US"/>
        </w:rPr>
        <w:t>: for example, is it the case that MNEs enter countries in which the institutional structures are similar to their home country so as to leverage their CSR practices and generate better CSP or is it the case that MNEs seek to enter countries that</w:t>
      </w:r>
      <w:r w:rsidR="007F3E6A" w:rsidRPr="00F25441">
        <w:rPr>
          <w:lang w:val="en-US"/>
        </w:rPr>
        <w:t>,</w:t>
      </w:r>
      <w:r w:rsidR="004A1567" w:rsidRPr="00F25441">
        <w:rPr>
          <w:lang w:val="en-US"/>
        </w:rPr>
        <w:t xml:space="preserve"> unlike their home countries</w:t>
      </w:r>
      <w:r w:rsidR="007F3E6A" w:rsidRPr="00F25441">
        <w:rPr>
          <w:lang w:val="en-US"/>
        </w:rPr>
        <w:t>,</w:t>
      </w:r>
      <w:r w:rsidR="004A1567" w:rsidRPr="00F25441">
        <w:rPr>
          <w:lang w:val="en-US"/>
        </w:rPr>
        <w:t xml:space="preserve"> allow them more discretion in their adoption of CSR practices</w:t>
      </w:r>
      <w:r w:rsidRPr="00F25441">
        <w:rPr>
          <w:lang w:val="en-US"/>
        </w:rPr>
        <w:t>, thus creating arbitrage opportunities</w:t>
      </w:r>
      <w:r w:rsidR="004A1567" w:rsidRPr="00F25441">
        <w:rPr>
          <w:lang w:val="en-US"/>
        </w:rPr>
        <w:t xml:space="preserve">? And </w:t>
      </w:r>
      <w:r w:rsidRPr="00F25441">
        <w:rPr>
          <w:lang w:val="en-US"/>
        </w:rPr>
        <w:t xml:space="preserve">if so, </w:t>
      </w:r>
      <w:r w:rsidR="004A1567" w:rsidRPr="00F25441">
        <w:rPr>
          <w:lang w:val="en-US"/>
        </w:rPr>
        <w:t xml:space="preserve">what are the potentially differential implications in terms of the variation in outcomes – i.e., variation in CSP – that result from the adoption of </w:t>
      </w:r>
      <w:r w:rsidR="00216CA3" w:rsidRPr="00F25441">
        <w:rPr>
          <w:lang w:val="en-US"/>
        </w:rPr>
        <w:t>different</w:t>
      </w:r>
      <w:r w:rsidR="004A1567" w:rsidRPr="00F25441">
        <w:rPr>
          <w:lang w:val="en-US"/>
        </w:rPr>
        <w:t xml:space="preserve"> CSR practices? </w:t>
      </w:r>
    </w:p>
    <w:p w14:paraId="53884419" w14:textId="692C012D" w:rsidR="004A1567" w:rsidRPr="00F25441" w:rsidRDefault="00F54A89" w:rsidP="004A1567">
      <w:pPr>
        <w:spacing w:line="480" w:lineRule="auto"/>
        <w:ind w:firstLine="720"/>
        <w:jc w:val="both"/>
        <w:rPr>
          <w:lang w:val="en-US"/>
        </w:rPr>
      </w:pPr>
      <w:r w:rsidRPr="00F25441">
        <w:rPr>
          <w:lang w:val="en-US"/>
        </w:rPr>
        <w:t xml:space="preserve">The study raises two more important questions that we think future research </w:t>
      </w:r>
      <w:r w:rsidR="007D6805">
        <w:rPr>
          <w:lang w:val="en-US"/>
        </w:rPr>
        <w:t>c</w:t>
      </w:r>
      <w:r w:rsidRPr="00F25441">
        <w:rPr>
          <w:lang w:val="en-US"/>
        </w:rPr>
        <w:t xml:space="preserve">ould seek to address. First, </w:t>
      </w:r>
      <w:r w:rsidR="00BF631B" w:rsidRPr="00F25441">
        <w:rPr>
          <w:lang w:val="en-US"/>
        </w:rPr>
        <w:t xml:space="preserve">scholars </w:t>
      </w:r>
      <w:r w:rsidR="00216CA3" w:rsidRPr="00F25441">
        <w:rPr>
          <w:lang w:val="en-US"/>
        </w:rPr>
        <w:t>could</w:t>
      </w:r>
      <w:r w:rsidR="00BF631B" w:rsidRPr="00F25441">
        <w:rPr>
          <w:lang w:val="en-US"/>
        </w:rPr>
        <w:t xml:space="preserve"> </w:t>
      </w:r>
      <w:r w:rsidR="006317B9">
        <w:rPr>
          <w:lang w:val="en-US"/>
        </w:rPr>
        <w:t>investigate</w:t>
      </w:r>
      <w:r w:rsidR="006317B9" w:rsidRPr="00F25441">
        <w:rPr>
          <w:lang w:val="en-US"/>
        </w:rPr>
        <w:t xml:space="preserve"> </w:t>
      </w:r>
      <w:r w:rsidR="00BF631B" w:rsidRPr="00F25441">
        <w:rPr>
          <w:lang w:val="en-US"/>
        </w:rPr>
        <w:t xml:space="preserve">whether institutional diversity across countries differentially </w:t>
      </w:r>
      <w:r w:rsidR="00216CA3" w:rsidRPr="00F25441">
        <w:rPr>
          <w:lang w:val="en-US"/>
        </w:rPr>
        <w:t>impacts</w:t>
      </w:r>
      <w:r w:rsidR="00BF631B" w:rsidRPr="00F25441">
        <w:rPr>
          <w:lang w:val="en-US"/>
        </w:rPr>
        <w:t xml:space="preserve"> different types of CSR activities and </w:t>
      </w:r>
      <w:r w:rsidR="00195795" w:rsidRPr="00F25441">
        <w:rPr>
          <w:lang w:val="en-US"/>
        </w:rPr>
        <w:t xml:space="preserve">their </w:t>
      </w:r>
      <w:r w:rsidR="00BF631B" w:rsidRPr="00F25441">
        <w:rPr>
          <w:lang w:val="en-US"/>
        </w:rPr>
        <w:t xml:space="preserve">associated outcomes. In </w:t>
      </w:r>
      <w:r w:rsidR="006317B9">
        <w:rPr>
          <w:lang w:val="en-US"/>
        </w:rPr>
        <w:t>this sense</w:t>
      </w:r>
      <w:r w:rsidR="00BF631B" w:rsidRPr="00F25441">
        <w:rPr>
          <w:lang w:val="en-US"/>
        </w:rPr>
        <w:t xml:space="preserve">, </w:t>
      </w:r>
      <w:r w:rsidR="00195795" w:rsidRPr="00F25441">
        <w:rPr>
          <w:lang w:val="en-US"/>
        </w:rPr>
        <w:t xml:space="preserve">it is no longer </w:t>
      </w:r>
      <w:r w:rsidR="007D6805">
        <w:rPr>
          <w:lang w:val="en-US"/>
        </w:rPr>
        <w:t>enough</w:t>
      </w:r>
      <w:r w:rsidR="007D6805" w:rsidRPr="00F25441">
        <w:rPr>
          <w:lang w:val="en-US"/>
        </w:rPr>
        <w:t xml:space="preserve"> </w:t>
      </w:r>
      <w:r w:rsidR="00195795" w:rsidRPr="00F25441">
        <w:rPr>
          <w:lang w:val="en-US"/>
        </w:rPr>
        <w:t xml:space="preserve">to focus on “CSR activities” but rather, given the diversity of environmental, social and governance </w:t>
      </w:r>
      <w:r w:rsidR="00A40522" w:rsidRPr="00F25441">
        <w:rPr>
          <w:lang w:val="en-US"/>
        </w:rPr>
        <w:t>actions</w:t>
      </w:r>
      <w:r w:rsidR="00195795" w:rsidRPr="00F25441">
        <w:rPr>
          <w:lang w:val="en-US"/>
        </w:rPr>
        <w:t xml:space="preserve"> </w:t>
      </w:r>
      <w:r w:rsidR="00A40522" w:rsidRPr="00F25441">
        <w:rPr>
          <w:lang w:val="en-US"/>
        </w:rPr>
        <w:t>typically</w:t>
      </w:r>
      <w:r w:rsidR="00195795" w:rsidRPr="00F25441">
        <w:rPr>
          <w:lang w:val="en-US"/>
        </w:rPr>
        <w:t xml:space="preserve"> aggregated together, scholars should develop theoretically driven classifications, like </w:t>
      </w:r>
      <w:proofErr w:type="spellStart"/>
      <w:r w:rsidR="00195795" w:rsidRPr="00F25441">
        <w:rPr>
          <w:lang w:val="en-US"/>
        </w:rPr>
        <w:t>Rathert</w:t>
      </w:r>
      <w:proofErr w:type="spellEnd"/>
      <w:r w:rsidR="00195795" w:rsidRPr="00F25441">
        <w:rPr>
          <w:lang w:val="en-US"/>
        </w:rPr>
        <w:t xml:space="preserve"> (2016) did, allowing us to develop a more nuanced understanding </w:t>
      </w:r>
      <w:r w:rsidR="009F6EE6" w:rsidRPr="00F25441">
        <w:rPr>
          <w:lang w:val="en-US"/>
        </w:rPr>
        <w:t xml:space="preserve">of how MNEs choose which CSR activities to </w:t>
      </w:r>
      <w:r w:rsidR="00AE226A" w:rsidRPr="00F25441">
        <w:rPr>
          <w:lang w:val="en-US"/>
        </w:rPr>
        <w:t>pursue</w:t>
      </w:r>
      <w:r w:rsidR="009F6EE6" w:rsidRPr="00F25441">
        <w:rPr>
          <w:lang w:val="en-US"/>
        </w:rPr>
        <w:t xml:space="preserve"> in each of the countries that they operate</w:t>
      </w:r>
      <w:r w:rsidR="00195795" w:rsidRPr="00F25441">
        <w:rPr>
          <w:lang w:val="en-US"/>
        </w:rPr>
        <w:t xml:space="preserve">. Second, </w:t>
      </w:r>
      <w:r w:rsidR="00745DB8" w:rsidRPr="00F25441">
        <w:rPr>
          <w:lang w:val="en-US"/>
        </w:rPr>
        <w:t xml:space="preserve">we </w:t>
      </w:r>
      <w:r w:rsidR="00FB46A1" w:rsidRPr="00F25441">
        <w:rPr>
          <w:lang w:val="en-US"/>
        </w:rPr>
        <w:t xml:space="preserve">think </w:t>
      </w:r>
      <w:r w:rsidR="00745DB8" w:rsidRPr="00F25441">
        <w:rPr>
          <w:lang w:val="en-US"/>
        </w:rPr>
        <w:t>that f</w:t>
      </w:r>
      <w:r w:rsidR="000972F1" w:rsidRPr="00F25441">
        <w:rPr>
          <w:lang w:val="en-US"/>
        </w:rPr>
        <w:t>ollow-up work</w:t>
      </w:r>
      <w:r w:rsidR="00745DB8" w:rsidRPr="00F25441">
        <w:rPr>
          <w:lang w:val="en-US"/>
        </w:rPr>
        <w:t xml:space="preserve"> </w:t>
      </w:r>
      <w:r w:rsidR="00FB46A1" w:rsidRPr="00F25441">
        <w:rPr>
          <w:lang w:val="en-US"/>
        </w:rPr>
        <w:t>could theoretically and empirically</w:t>
      </w:r>
      <w:r w:rsidR="00745DB8" w:rsidRPr="00F25441">
        <w:rPr>
          <w:lang w:val="en-US"/>
        </w:rPr>
        <w:t xml:space="preserve"> distinguish between </w:t>
      </w:r>
      <w:r w:rsidR="009F6EE6" w:rsidRPr="00F25441">
        <w:rPr>
          <w:lang w:val="en-US"/>
        </w:rPr>
        <w:t xml:space="preserve">more </w:t>
      </w:r>
      <w:r w:rsidR="00FB46A1" w:rsidRPr="00F25441">
        <w:rPr>
          <w:lang w:val="en-US"/>
        </w:rPr>
        <w:t xml:space="preserve">centralized </w:t>
      </w:r>
      <w:r w:rsidR="006317B9">
        <w:rPr>
          <w:lang w:val="en-US"/>
        </w:rPr>
        <w:t>versus</w:t>
      </w:r>
      <w:r w:rsidR="009F6EE6" w:rsidRPr="00F25441">
        <w:rPr>
          <w:lang w:val="en-US"/>
        </w:rPr>
        <w:t xml:space="preserve"> </w:t>
      </w:r>
      <w:r w:rsidR="00FB46A1" w:rsidRPr="00F25441">
        <w:rPr>
          <w:lang w:val="en-US"/>
        </w:rPr>
        <w:t>decentralized</w:t>
      </w:r>
      <w:r w:rsidR="000972F1" w:rsidRPr="00F25441">
        <w:rPr>
          <w:lang w:val="en-US"/>
        </w:rPr>
        <w:t xml:space="preserve"> MNEs and explore how the relationship between headquarters and subsidiaries interacts with institutional diversity to drive differential adoption of CSR practices and/or differential outcomes of such CSR practices </w:t>
      </w:r>
      <w:r w:rsidR="000972F1" w:rsidRPr="00F25441">
        <w:rPr>
          <w:lang w:val="en-US"/>
        </w:rPr>
        <w:lastRenderedPageBreak/>
        <w:t>in terms of CSP variation.</w:t>
      </w:r>
      <w:r w:rsidR="001C524E" w:rsidRPr="00F25441">
        <w:rPr>
          <w:lang w:val="en-US"/>
        </w:rPr>
        <w:t xml:space="preserve"> In short, there is still a lot of work that needs to be done to </w:t>
      </w:r>
      <w:r w:rsidR="009F6EE6" w:rsidRPr="00F25441">
        <w:rPr>
          <w:lang w:val="en-US"/>
        </w:rPr>
        <w:t>fully</w:t>
      </w:r>
      <w:r w:rsidR="001C524E" w:rsidRPr="00F25441">
        <w:rPr>
          <w:lang w:val="en-US"/>
        </w:rPr>
        <w:t xml:space="preserve"> understand the adoption of CSR practices, and the resulting CSP, for MNEs </w:t>
      </w:r>
      <w:r w:rsidR="00216CA3" w:rsidRPr="00F25441">
        <w:rPr>
          <w:lang w:val="en-US"/>
        </w:rPr>
        <w:t>with</w:t>
      </w:r>
      <w:r w:rsidR="001C524E" w:rsidRPr="00F25441">
        <w:rPr>
          <w:lang w:val="en-US"/>
        </w:rPr>
        <w:t xml:space="preserve"> a footprint in multiple countries and across</w:t>
      </w:r>
      <w:r w:rsidR="002272B0">
        <w:rPr>
          <w:lang w:val="en-US"/>
        </w:rPr>
        <w:t xml:space="preserve"> multiple</w:t>
      </w:r>
      <w:r w:rsidR="001C524E" w:rsidRPr="00F25441">
        <w:rPr>
          <w:lang w:val="en-US"/>
        </w:rPr>
        <w:t xml:space="preserve"> institutional contexts.</w:t>
      </w:r>
    </w:p>
    <w:p w14:paraId="2DFE3B78" w14:textId="1C4A1B0B" w:rsidR="001C524E" w:rsidRPr="00F25441" w:rsidRDefault="00544DA0" w:rsidP="004A1567">
      <w:pPr>
        <w:spacing w:line="480" w:lineRule="auto"/>
        <w:ind w:firstLine="720"/>
        <w:jc w:val="both"/>
        <w:rPr>
          <w:lang w:val="en-US"/>
        </w:rPr>
      </w:pPr>
      <w:r w:rsidRPr="00F25441">
        <w:rPr>
          <w:lang w:val="en-US"/>
        </w:rPr>
        <w:t xml:space="preserve">We would also like to highlight </w:t>
      </w:r>
      <w:r w:rsidR="003D7AD1" w:rsidRPr="00F25441">
        <w:rPr>
          <w:lang w:val="en-US"/>
        </w:rPr>
        <w:t xml:space="preserve">the </w:t>
      </w:r>
      <w:r w:rsidR="009156F5" w:rsidRPr="00F25441">
        <w:rPr>
          <w:lang w:val="en-US"/>
        </w:rPr>
        <w:t xml:space="preserve">study by El Ghoul, </w:t>
      </w:r>
      <w:proofErr w:type="spellStart"/>
      <w:r w:rsidR="009156F5" w:rsidRPr="00F25441">
        <w:rPr>
          <w:lang w:val="en-US"/>
        </w:rPr>
        <w:t>Guedhami</w:t>
      </w:r>
      <w:proofErr w:type="spellEnd"/>
      <w:r w:rsidR="009156F5" w:rsidRPr="00F25441">
        <w:rPr>
          <w:lang w:val="en-US"/>
        </w:rPr>
        <w:t xml:space="preserve"> and Kim (2017) who creatively dr</w:t>
      </w:r>
      <w:r w:rsidR="00E7051F">
        <w:rPr>
          <w:lang w:val="en-US"/>
        </w:rPr>
        <w:t>a</w:t>
      </w:r>
      <w:r w:rsidR="009156F5" w:rsidRPr="00F25441">
        <w:rPr>
          <w:lang w:val="en-US"/>
        </w:rPr>
        <w:t>w upon transaction costs theories and the resource-based view of the firm to theoretically argue and empirically show that in countries with institutional voids, i.e., countries characterized by the absence of market-supporting institutions, the role of CSR in reducing transaction costs and enhancing access to scarce resources is more pronounced (provided that in such countries, transactions costs are</w:t>
      </w:r>
      <w:r w:rsidR="0073190E" w:rsidRPr="00F25441">
        <w:rPr>
          <w:lang w:val="en-US"/>
        </w:rPr>
        <w:t xml:space="preserve"> typically</w:t>
      </w:r>
      <w:r w:rsidR="009156F5" w:rsidRPr="00F25441">
        <w:rPr>
          <w:lang w:val="en-US"/>
        </w:rPr>
        <w:t xml:space="preserve"> higher). </w:t>
      </w:r>
      <w:r w:rsidR="0034360E" w:rsidRPr="00F25441">
        <w:rPr>
          <w:lang w:val="en-US"/>
        </w:rPr>
        <w:t xml:space="preserve">This finding relates both to our JIBS 2012 paper, but also our SMJ 2014 paper (Cheng, Ioannou &amp; Serafeim, 2014) in which we showed that CSR </w:t>
      </w:r>
      <w:r w:rsidR="0073190E" w:rsidRPr="00F25441">
        <w:rPr>
          <w:lang w:val="en-US"/>
        </w:rPr>
        <w:t>action</w:t>
      </w:r>
      <w:r w:rsidR="0034360E" w:rsidRPr="00F25441">
        <w:rPr>
          <w:lang w:val="en-US"/>
        </w:rPr>
        <w:t xml:space="preserve">s reduce agency costs and information asymmetry problems thus enabling firms to access capital at better terms. Accordingly, El Ghoul et al. (2017) </w:t>
      </w:r>
      <w:proofErr w:type="gramStart"/>
      <w:r w:rsidR="00F03F02" w:rsidRPr="00F25441">
        <w:rPr>
          <w:lang w:val="en-US"/>
        </w:rPr>
        <w:t>argue</w:t>
      </w:r>
      <w:proofErr w:type="gramEnd"/>
      <w:r w:rsidR="00F03F02" w:rsidRPr="00F25441">
        <w:rPr>
          <w:lang w:val="en-US"/>
        </w:rPr>
        <w:t xml:space="preserve"> that </w:t>
      </w:r>
      <w:r w:rsidR="00756BAB" w:rsidRPr="00F25441">
        <w:rPr>
          <w:lang w:val="en-US"/>
        </w:rPr>
        <w:t>in the absence of robust equity and credit markets, companies are more likely to face difficulties raising capital externally because of potential agency costs and informational asymmetry. Therefore, by increasing transparency and mitigating managerial opportunism</w:t>
      </w:r>
      <w:r w:rsidR="00DE03DB" w:rsidRPr="00F25441">
        <w:rPr>
          <w:lang w:val="en-US"/>
        </w:rPr>
        <w:t>,</w:t>
      </w:r>
      <w:r w:rsidR="00756BAB" w:rsidRPr="00F25441">
        <w:rPr>
          <w:lang w:val="en-US"/>
        </w:rPr>
        <w:t xml:space="preserve"> CSR actions enable firms to overcome institutional limitations and access finance at better terms. They also find that </w:t>
      </w:r>
      <w:r w:rsidR="00121745" w:rsidRPr="00F25441">
        <w:rPr>
          <w:lang w:val="en-US"/>
        </w:rPr>
        <w:t xml:space="preserve">CSR is associated with “greater investment and lower default risk in countries with more limited business freedom, and lower payable turnover and higher future sales growth in countries with weaker legal institutions and more limited property rights.” (p. 375). </w:t>
      </w:r>
    </w:p>
    <w:p w14:paraId="563BB7F6" w14:textId="6A2AD958" w:rsidR="00FB38C3" w:rsidRPr="00F25441" w:rsidRDefault="001C2803" w:rsidP="00FB38C3">
      <w:pPr>
        <w:spacing w:line="480" w:lineRule="auto"/>
        <w:jc w:val="both"/>
        <w:rPr>
          <w:lang w:val="en-US"/>
        </w:rPr>
      </w:pPr>
      <w:r w:rsidRPr="00F25441">
        <w:rPr>
          <w:lang w:val="en-US"/>
        </w:rPr>
        <w:tab/>
      </w:r>
      <w:r w:rsidR="00A4446F">
        <w:rPr>
          <w:lang w:val="en-US"/>
        </w:rPr>
        <w:t>We think t</w:t>
      </w:r>
      <w:r w:rsidRPr="00F25441">
        <w:rPr>
          <w:lang w:val="en-US"/>
        </w:rPr>
        <w:t xml:space="preserve">his study is important because not only does it </w:t>
      </w:r>
      <w:r w:rsidR="00DE03DB" w:rsidRPr="00F25441">
        <w:rPr>
          <w:lang w:val="en-US"/>
        </w:rPr>
        <w:t>explore</w:t>
      </w:r>
      <w:r w:rsidRPr="00F25441">
        <w:rPr>
          <w:lang w:val="en-US"/>
        </w:rPr>
        <w:t xml:space="preserve"> institutional variation across countries and the implications for </w:t>
      </w:r>
      <w:r w:rsidR="00DE03DB" w:rsidRPr="00F25441">
        <w:rPr>
          <w:lang w:val="en-US"/>
        </w:rPr>
        <w:t>the</w:t>
      </w:r>
      <w:r w:rsidR="00126C27" w:rsidRPr="00F25441">
        <w:rPr>
          <w:lang w:val="en-US"/>
        </w:rPr>
        <w:t xml:space="preserve"> financial</w:t>
      </w:r>
      <w:r w:rsidR="00DE03DB" w:rsidRPr="00F25441">
        <w:rPr>
          <w:lang w:val="en-US"/>
        </w:rPr>
        <w:t xml:space="preserve"> benefits generated through </w:t>
      </w:r>
      <w:r w:rsidRPr="00F25441">
        <w:rPr>
          <w:lang w:val="en-US"/>
        </w:rPr>
        <w:t>CSR but</w:t>
      </w:r>
      <w:r w:rsidR="00A707F3" w:rsidRPr="00F25441">
        <w:rPr>
          <w:lang w:val="en-US"/>
        </w:rPr>
        <w:t xml:space="preserve"> also</w:t>
      </w:r>
      <w:r w:rsidRPr="00F25441">
        <w:rPr>
          <w:lang w:val="en-US"/>
        </w:rPr>
        <w:t xml:space="preserve">, it shows that rather </w:t>
      </w:r>
      <w:r w:rsidR="00DE03DB" w:rsidRPr="00F25441">
        <w:rPr>
          <w:lang w:val="en-US"/>
        </w:rPr>
        <w:t>than</w:t>
      </w:r>
      <w:r w:rsidRPr="00F25441">
        <w:rPr>
          <w:lang w:val="en-US"/>
        </w:rPr>
        <w:t xml:space="preserve"> taking institutional structures for granted, companies may proactively and indeed, strategically, respond</w:t>
      </w:r>
      <w:r w:rsidR="00DE03DB" w:rsidRPr="00F25441">
        <w:rPr>
          <w:lang w:val="en-US"/>
        </w:rPr>
        <w:t xml:space="preserve"> to them</w:t>
      </w:r>
      <w:r w:rsidRPr="00F25441">
        <w:rPr>
          <w:lang w:val="en-US"/>
        </w:rPr>
        <w:t xml:space="preserve"> </w:t>
      </w:r>
      <w:r w:rsidR="00A4446F">
        <w:rPr>
          <w:lang w:val="en-US"/>
        </w:rPr>
        <w:t>in a way that allows them to</w:t>
      </w:r>
      <w:r w:rsidRPr="00F25441">
        <w:rPr>
          <w:lang w:val="en-US"/>
        </w:rPr>
        <w:t xml:space="preserve"> not only overcome </w:t>
      </w:r>
      <w:r w:rsidR="0073190E" w:rsidRPr="00F25441">
        <w:rPr>
          <w:lang w:val="en-US"/>
        </w:rPr>
        <w:t xml:space="preserve">these </w:t>
      </w:r>
      <w:r w:rsidRPr="00F25441">
        <w:rPr>
          <w:lang w:val="en-US"/>
        </w:rPr>
        <w:t xml:space="preserve">contextual limitations but also, </w:t>
      </w:r>
      <w:r w:rsidR="00A4446F">
        <w:rPr>
          <w:lang w:val="en-US"/>
        </w:rPr>
        <w:t>to</w:t>
      </w:r>
      <w:r w:rsidRPr="00F25441">
        <w:rPr>
          <w:lang w:val="en-US"/>
        </w:rPr>
        <w:t xml:space="preserve"> </w:t>
      </w:r>
      <w:r w:rsidR="00DE03DB" w:rsidRPr="00F25441">
        <w:rPr>
          <w:lang w:val="en-US"/>
        </w:rPr>
        <w:t xml:space="preserve">leverage them </w:t>
      </w:r>
      <w:r w:rsidR="00A4446F">
        <w:rPr>
          <w:lang w:val="en-US"/>
        </w:rPr>
        <w:t>to</w:t>
      </w:r>
      <w:r w:rsidR="00DE03DB" w:rsidRPr="00F25441">
        <w:rPr>
          <w:lang w:val="en-US"/>
        </w:rPr>
        <w:t xml:space="preserve"> </w:t>
      </w:r>
      <w:r w:rsidRPr="00F25441">
        <w:rPr>
          <w:lang w:val="en-US"/>
        </w:rPr>
        <w:t xml:space="preserve">generate new sources of competitive </w:t>
      </w:r>
      <w:r w:rsidRPr="00F25441">
        <w:rPr>
          <w:lang w:val="en-US"/>
        </w:rPr>
        <w:lastRenderedPageBreak/>
        <w:t xml:space="preserve">advantage (e.g., better access to finance, or higher future sales growth). </w:t>
      </w:r>
      <w:r w:rsidR="00D33D58" w:rsidRPr="00F25441">
        <w:rPr>
          <w:lang w:val="en-US"/>
        </w:rPr>
        <w:t xml:space="preserve">Building </w:t>
      </w:r>
      <w:r w:rsidR="0073190E" w:rsidRPr="00F25441">
        <w:rPr>
          <w:lang w:val="en-US"/>
        </w:rPr>
        <w:t>o</w:t>
      </w:r>
      <w:r w:rsidR="00D33D58" w:rsidRPr="00F25441">
        <w:rPr>
          <w:lang w:val="en-US"/>
        </w:rPr>
        <w:t xml:space="preserve">n these insights, future research could therefore explore more broadly how CSR practices combine or interact with institutional structures to drive corporate financial </w:t>
      </w:r>
      <w:r w:rsidR="00D33D58" w:rsidRPr="00F25441">
        <w:rPr>
          <w:i/>
          <w:iCs/>
          <w:lang w:val="en-US"/>
        </w:rPr>
        <w:t>and</w:t>
      </w:r>
      <w:r w:rsidR="00D33D58" w:rsidRPr="00F25441">
        <w:rPr>
          <w:lang w:val="en-US"/>
        </w:rPr>
        <w:t xml:space="preserve"> social performance. In</w:t>
      </w:r>
      <w:r w:rsidR="00A707F3" w:rsidRPr="00F25441">
        <w:rPr>
          <w:lang w:val="en-US"/>
        </w:rPr>
        <w:t xml:space="preserve"> fact</w:t>
      </w:r>
      <w:r w:rsidR="00D33D58" w:rsidRPr="00F25441">
        <w:rPr>
          <w:lang w:val="en-US"/>
        </w:rPr>
        <w:t>, El Ghoul at al. (2017) find that CSR is more positively related to firm value in countries with weaker market institutions but do not</w:t>
      </w:r>
      <w:r w:rsidR="00126C27" w:rsidRPr="00F25441">
        <w:rPr>
          <w:lang w:val="en-US"/>
        </w:rPr>
        <w:t xml:space="preserve"> directly</w:t>
      </w:r>
      <w:r w:rsidR="00D33D58" w:rsidRPr="00F25441">
        <w:rPr>
          <w:lang w:val="en-US"/>
        </w:rPr>
        <w:t xml:space="preserve"> explore </w:t>
      </w:r>
      <w:r w:rsidR="00B93E00" w:rsidRPr="00F25441">
        <w:rPr>
          <w:lang w:val="en-US"/>
        </w:rPr>
        <w:t xml:space="preserve">whether the outcome of these CSR activities, i.e., CSP, is higher or lower in these countries. We strongly believe that maintaining focus </w:t>
      </w:r>
      <w:r w:rsidR="00B93E00" w:rsidRPr="00F25441">
        <w:rPr>
          <w:i/>
          <w:iCs/>
          <w:lang w:val="en-US"/>
        </w:rPr>
        <w:t>both</w:t>
      </w:r>
      <w:r w:rsidR="00B93E00" w:rsidRPr="00F25441">
        <w:rPr>
          <w:lang w:val="en-US"/>
        </w:rPr>
        <w:t xml:space="preserve"> on financial as well as social performance is an important premise for future research in IB that </w:t>
      </w:r>
      <w:r w:rsidR="0073190E" w:rsidRPr="00F25441">
        <w:rPr>
          <w:lang w:val="en-US"/>
        </w:rPr>
        <w:t>aims</w:t>
      </w:r>
      <w:r w:rsidR="00B93E00" w:rsidRPr="00F25441">
        <w:rPr>
          <w:lang w:val="en-US"/>
        </w:rPr>
        <w:t xml:space="preserve"> to remain relevant and </w:t>
      </w:r>
      <w:r w:rsidR="00126C27" w:rsidRPr="00F25441">
        <w:rPr>
          <w:lang w:val="en-US"/>
        </w:rPr>
        <w:t xml:space="preserve">to </w:t>
      </w:r>
      <w:r w:rsidR="00A707F3" w:rsidRPr="00F25441">
        <w:rPr>
          <w:lang w:val="en-US"/>
        </w:rPr>
        <w:t xml:space="preserve">meaningfully </w:t>
      </w:r>
      <w:r w:rsidR="00B93E00" w:rsidRPr="00F25441">
        <w:rPr>
          <w:lang w:val="en-US"/>
        </w:rPr>
        <w:t xml:space="preserve">contribute to managerial practice and policymaking. </w:t>
      </w:r>
    </w:p>
    <w:p w14:paraId="14433DD0" w14:textId="1992A5FF" w:rsidR="00065384" w:rsidRPr="00F25441" w:rsidRDefault="00683D80" w:rsidP="00065384">
      <w:pPr>
        <w:spacing w:line="480" w:lineRule="auto"/>
        <w:jc w:val="both"/>
        <w:rPr>
          <w:lang w:val="en-US"/>
        </w:rPr>
      </w:pPr>
      <w:r w:rsidRPr="00F25441">
        <w:rPr>
          <w:lang w:val="en-US"/>
        </w:rPr>
        <w:tab/>
        <w:t xml:space="preserve">Consequently, </w:t>
      </w:r>
      <w:r w:rsidR="00D15759" w:rsidRPr="00F25441">
        <w:rPr>
          <w:lang w:val="en-US"/>
        </w:rPr>
        <w:t>we would welcome studies</w:t>
      </w:r>
      <w:r w:rsidR="004C1D6E" w:rsidRPr="00F25441">
        <w:rPr>
          <w:lang w:val="en-US"/>
        </w:rPr>
        <w:t xml:space="preserve"> </w:t>
      </w:r>
      <w:r w:rsidR="00D15759" w:rsidRPr="00F25441">
        <w:rPr>
          <w:lang w:val="en-US"/>
        </w:rPr>
        <w:t xml:space="preserve">that explore how strategic actions taken by companies, especially </w:t>
      </w:r>
      <w:r w:rsidR="0073190E" w:rsidRPr="00F25441">
        <w:rPr>
          <w:lang w:val="en-US"/>
        </w:rPr>
        <w:t>in terms of CSR</w:t>
      </w:r>
      <w:r w:rsidR="00D15759" w:rsidRPr="00F25441">
        <w:rPr>
          <w:lang w:val="en-US"/>
        </w:rPr>
        <w:t xml:space="preserve"> (but not only), could enhance their ability to differentiate through superior social performance and furthermore,</w:t>
      </w:r>
      <w:r w:rsidR="0073190E" w:rsidRPr="00F25441">
        <w:rPr>
          <w:lang w:val="en-US"/>
        </w:rPr>
        <w:t xml:space="preserve"> studies</w:t>
      </w:r>
      <w:r w:rsidR="00D15759" w:rsidRPr="00F25441">
        <w:rPr>
          <w:lang w:val="en-US"/>
        </w:rPr>
        <w:t xml:space="preserve"> that explore the institutional conditions under which </w:t>
      </w:r>
      <w:r w:rsidR="00D15759" w:rsidRPr="00F25441">
        <w:rPr>
          <w:i/>
          <w:iCs/>
          <w:lang w:val="en-US"/>
        </w:rPr>
        <w:t>synergistic</w:t>
      </w:r>
      <w:r w:rsidR="00D15759" w:rsidRPr="00F25441">
        <w:rPr>
          <w:lang w:val="en-US"/>
        </w:rPr>
        <w:t xml:space="preserve"> creation of social </w:t>
      </w:r>
      <w:r w:rsidR="004C1D6E" w:rsidRPr="00F25441">
        <w:rPr>
          <w:i/>
          <w:iCs/>
          <w:lang w:val="en-US"/>
        </w:rPr>
        <w:t>and</w:t>
      </w:r>
      <w:r w:rsidR="00D15759" w:rsidRPr="00F25441">
        <w:rPr>
          <w:lang w:val="en-US"/>
        </w:rPr>
        <w:t xml:space="preserve"> financial value becomes</w:t>
      </w:r>
      <w:r w:rsidR="0073190E" w:rsidRPr="00F25441">
        <w:rPr>
          <w:lang w:val="en-US"/>
        </w:rPr>
        <w:t xml:space="preserve"> relatively</w:t>
      </w:r>
      <w:r w:rsidR="00D15759" w:rsidRPr="00F25441">
        <w:rPr>
          <w:lang w:val="en-US"/>
        </w:rPr>
        <w:t xml:space="preserve"> more or less likely. In doing</w:t>
      </w:r>
      <w:r w:rsidR="00952165">
        <w:rPr>
          <w:lang w:val="en-US"/>
        </w:rPr>
        <w:t xml:space="preserve"> so</w:t>
      </w:r>
      <w:r w:rsidR="00D15759" w:rsidRPr="00F25441">
        <w:rPr>
          <w:lang w:val="en-US"/>
        </w:rPr>
        <w:t xml:space="preserve">, </w:t>
      </w:r>
      <w:r w:rsidR="004C1D6E" w:rsidRPr="00F25441">
        <w:rPr>
          <w:lang w:val="en-US"/>
        </w:rPr>
        <w:t>scholars</w:t>
      </w:r>
      <w:r w:rsidR="00D15759" w:rsidRPr="00F25441">
        <w:rPr>
          <w:lang w:val="en-US"/>
        </w:rPr>
        <w:t xml:space="preserve"> could inform policymaking, </w:t>
      </w:r>
      <w:r w:rsidR="00DD5343" w:rsidRPr="00F25441">
        <w:rPr>
          <w:lang w:val="en-US"/>
        </w:rPr>
        <w:t xml:space="preserve">especially </w:t>
      </w:r>
      <w:r w:rsidR="0073190E" w:rsidRPr="00F25441">
        <w:rPr>
          <w:lang w:val="en-US"/>
        </w:rPr>
        <w:t>policy initiatives aiming</w:t>
      </w:r>
      <w:r w:rsidR="00DD5343" w:rsidRPr="00F25441">
        <w:rPr>
          <w:lang w:val="en-US"/>
        </w:rPr>
        <w:t xml:space="preserve"> </w:t>
      </w:r>
      <w:r w:rsidR="004C1D6E" w:rsidRPr="00F25441">
        <w:rPr>
          <w:lang w:val="en-US"/>
        </w:rPr>
        <w:t>at</w:t>
      </w:r>
      <w:r w:rsidR="00DD5343" w:rsidRPr="00F25441">
        <w:rPr>
          <w:lang w:val="en-US"/>
        </w:rPr>
        <w:t xml:space="preserve"> design</w:t>
      </w:r>
      <w:r w:rsidR="004C1D6E" w:rsidRPr="00F25441">
        <w:rPr>
          <w:lang w:val="en-US"/>
        </w:rPr>
        <w:t>ing</w:t>
      </w:r>
      <w:r w:rsidR="00DD5343" w:rsidRPr="00F25441">
        <w:rPr>
          <w:lang w:val="en-US"/>
        </w:rPr>
        <w:t xml:space="preserve"> or reform</w:t>
      </w:r>
      <w:r w:rsidR="004C1D6E" w:rsidRPr="00F25441">
        <w:rPr>
          <w:lang w:val="en-US"/>
        </w:rPr>
        <w:t>ing</w:t>
      </w:r>
      <w:r w:rsidR="00DD5343" w:rsidRPr="00F25441">
        <w:rPr>
          <w:lang w:val="en-US"/>
        </w:rPr>
        <w:t xml:space="preserve"> institutions in a way that allows </w:t>
      </w:r>
      <w:r w:rsidR="0073190E" w:rsidRPr="00F25441">
        <w:rPr>
          <w:lang w:val="en-US"/>
        </w:rPr>
        <w:t>companies</w:t>
      </w:r>
      <w:r w:rsidR="00DD5343" w:rsidRPr="00F25441">
        <w:rPr>
          <w:lang w:val="en-US"/>
        </w:rPr>
        <w:t xml:space="preserve"> to thrive while achieving a positive societal impact.</w:t>
      </w:r>
      <w:r w:rsidR="0073190E" w:rsidRPr="00F25441">
        <w:rPr>
          <w:lang w:val="en-US"/>
        </w:rPr>
        <w:t xml:space="preserve"> </w:t>
      </w:r>
      <w:r w:rsidR="004C1D6E" w:rsidRPr="00F25441">
        <w:rPr>
          <w:lang w:val="en-US"/>
        </w:rPr>
        <w:t>In fact, w</w:t>
      </w:r>
      <w:r w:rsidR="00695959" w:rsidRPr="00F25441">
        <w:rPr>
          <w:lang w:val="en-US"/>
        </w:rPr>
        <w:t xml:space="preserve">e predict that </w:t>
      </w:r>
      <w:r w:rsidR="00E23A70" w:rsidRPr="00F25441">
        <w:rPr>
          <w:lang w:val="en-US"/>
        </w:rPr>
        <w:t>the nascent</w:t>
      </w:r>
      <w:r w:rsidR="004C1D6E" w:rsidRPr="00F25441">
        <w:rPr>
          <w:lang w:val="en-US"/>
        </w:rPr>
        <w:t xml:space="preserve"> debate on</w:t>
      </w:r>
      <w:r w:rsidR="006E1AF6" w:rsidRPr="00F25441">
        <w:rPr>
          <w:lang w:val="en-US"/>
        </w:rPr>
        <w:t xml:space="preserve"> reforming</w:t>
      </w:r>
      <w:r w:rsidR="004C1D6E" w:rsidRPr="00F25441">
        <w:rPr>
          <w:lang w:val="en-US"/>
        </w:rPr>
        <w:t xml:space="preserve"> national and global</w:t>
      </w:r>
      <w:r w:rsidR="00695959" w:rsidRPr="00F25441">
        <w:rPr>
          <w:lang w:val="en-US"/>
        </w:rPr>
        <w:t xml:space="preserve"> institutions will become even more </w:t>
      </w:r>
      <w:r w:rsidR="006E1AF6" w:rsidRPr="00F25441">
        <w:rPr>
          <w:lang w:val="en-US"/>
        </w:rPr>
        <w:t>prevalen</w:t>
      </w:r>
      <w:r w:rsidR="00695959" w:rsidRPr="00F25441">
        <w:rPr>
          <w:lang w:val="en-US"/>
        </w:rPr>
        <w:t xml:space="preserve">t in the </w:t>
      </w:r>
      <w:r w:rsidR="006E1AF6" w:rsidRPr="00F25441">
        <w:rPr>
          <w:lang w:val="en-US"/>
        </w:rPr>
        <w:t>years</w:t>
      </w:r>
      <w:r w:rsidR="00695959" w:rsidRPr="00F25441">
        <w:rPr>
          <w:lang w:val="en-US"/>
        </w:rPr>
        <w:t xml:space="preserve"> ahead given how </w:t>
      </w:r>
      <w:r w:rsidR="006E1AF6" w:rsidRPr="00F25441">
        <w:rPr>
          <w:lang w:val="en-US"/>
        </w:rPr>
        <w:t>far behind we are lagging in terms of achieving the Sustainable Development Goals</w:t>
      </w:r>
      <w:r w:rsidR="00A276B7" w:rsidRPr="00F25441">
        <w:rPr>
          <w:lang w:val="en-US"/>
        </w:rPr>
        <w:t xml:space="preserve"> (SDGs)</w:t>
      </w:r>
      <w:r w:rsidR="006E1AF6" w:rsidRPr="00F25441">
        <w:rPr>
          <w:lang w:val="en-US"/>
        </w:rPr>
        <w:t xml:space="preserve">. Indicatively, the annual Gatekeepers Report published by the Bill and Melinda Gates Foundation concludes </w:t>
      </w:r>
      <w:r w:rsidR="004C1D6E" w:rsidRPr="00F25441">
        <w:rPr>
          <w:lang w:val="en-US"/>
        </w:rPr>
        <w:t xml:space="preserve">in 2022 </w:t>
      </w:r>
      <w:r w:rsidR="006E1AF6" w:rsidRPr="00F25441">
        <w:rPr>
          <w:lang w:val="en-US"/>
        </w:rPr>
        <w:t xml:space="preserve">that the vast majority of the 17 goals agreed back in 2015 will miss their 2030 </w:t>
      </w:r>
      <w:r w:rsidR="00EE4298" w:rsidRPr="00F25441">
        <w:rPr>
          <w:lang w:val="en-US"/>
        </w:rPr>
        <w:t>deadline</w:t>
      </w:r>
      <w:r w:rsidR="006E1AF6" w:rsidRPr="00F25441">
        <w:rPr>
          <w:rStyle w:val="FootnoteReference"/>
          <w:lang w:val="en-US"/>
        </w:rPr>
        <w:footnoteReference w:id="4"/>
      </w:r>
      <w:r w:rsidR="006E1AF6" w:rsidRPr="00F25441">
        <w:rPr>
          <w:lang w:val="en-US"/>
        </w:rPr>
        <w:t xml:space="preserve"> while </w:t>
      </w:r>
      <w:r w:rsidR="00952165">
        <w:rPr>
          <w:lang w:val="en-US"/>
        </w:rPr>
        <w:t xml:space="preserve">at the same time, </w:t>
      </w:r>
      <w:r w:rsidR="006E1AF6" w:rsidRPr="00F25441">
        <w:rPr>
          <w:lang w:val="en-US"/>
        </w:rPr>
        <w:t xml:space="preserve">according to estimates by the OECD, </w:t>
      </w:r>
      <w:r w:rsidR="00EE4298" w:rsidRPr="00F25441">
        <w:rPr>
          <w:lang w:val="en-US"/>
        </w:rPr>
        <w:t xml:space="preserve">pre-COVID, the annual financing gap for achieving the SDGs was 2.5 trillion dollars and may have increased by about 1-2 trillion dollars in the post-COVID period because developing countries faced an estimated gap of an addition 1 trillion dollars in emergency and response </w:t>
      </w:r>
      <w:r w:rsidR="00EE4298" w:rsidRPr="00F25441">
        <w:rPr>
          <w:lang w:val="en-US"/>
        </w:rPr>
        <w:lastRenderedPageBreak/>
        <w:t>spending.</w:t>
      </w:r>
      <w:r w:rsidR="00EE4298" w:rsidRPr="00F25441">
        <w:rPr>
          <w:rStyle w:val="FootnoteReference"/>
          <w:lang w:val="en-US"/>
        </w:rPr>
        <w:footnoteReference w:id="5"/>
      </w:r>
      <w:r w:rsidR="00AA0913" w:rsidRPr="00F25441">
        <w:rPr>
          <w:lang w:val="en-US"/>
        </w:rPr>
        <w:t xml:space="preserve"> </w:t>
      </w:r>
      <w:r w:rsidR="00952165">
        <w:rPr>
          <w:lang w:val="en-US"/>
        </w:rPr>
        <w:t>Accordingly</w:t>
      </w:r>
      <w:r w:rsidR="00065384" w:rsidRPr="00F25441">
        <w:rPr>
          <w:lang w:val="en-US"/>
        </w:rPr>
        <w:t xml:space="preserve">, future scholarship </w:t>
      </w:r>
      <w:r w:rsidR="00952165">
        <w:rPr>
          <w:lang w:val="en-US"/>
        </w:rPr>
        <w:t>c</w:t>
      </w:r>
      <w:r w:rsidR="00065384" w:rsidRPr="00F25441">
        <w:rPr>
          <w:lang w:val="en-US"/>
        </w:rPr>
        <w:t xml:space="preserve">ould seek to understand the conditions under which national and international institutions </w:t>
      </w:r>
      <w:r w:rsidR="00952165">
        <w:rPr>
          <w:lang w:val="en-US"/>
        </w:rPr>
        <w:t>may</w:t>
      </w:r>
      <w:r w:rsidR="00065384" w:rsidRPr="00F25441">
        <w:rPr>
          <w:lang w:val="en-US"/>
        </w:rPr>
        <w:t xml:space="preserve"> increase the speed and magnitude of change towards </w:t>
      </w:r>
      <w:r w:rsidR="00A276B7" w:rsidRPr="00F25441">
        <w:rPr>
          <w:lang w:val="en-US"/>
        </w:rPr>
        <w:t xml:space="preserve">achieving the SDGs </w:t>
      </w:r>
      <w:r w:rsidR="00065384" w:rsidRPr="00F25441">
        <w:rPr>
          <w:lang w:val="en-US"/>
        </w:rPr>
        <w:t xml:space="preserve">and </w:t>
      </w:r>
      <w:r w:rsidR="00280E6A" w:rsidRPr="00F25441">
        <w:rPr>
          <w:lang w:val="en-US"/>
        </w:rPr>
        <w:t xml:space="preserve">do so </w:t>
      </w:r>
      <w:r w:rsidR="00065384" w:rsidRPr="00F25441">
        <w:rPr>
          <w:lang w:val="en-US"/>
        </w:rPr>
        <w:t>by leverag</w:t>
      </w:r>
      <w:r w:rsidR="00280E6A" w:rsidRPr="00F25441">
        <w:rPr>
          <w:lang w:val="en-US"/>
        </w:rPr>
        <w:t>ing</w:t>
      </w:r>
      <w:r w:rsidR="00065384" w:rsidRPr="00F25441">
        <w:rPr>
          <w:lang w:val="en-US"/>
        </w:rPr>
        <w:t xml:space="preserve"> the power of business, as an institution, to innovate and scale up solutions.</w:t>
      </w:r>
    </w:p>
    <w:p w14:paraId="353F8162" w14:textId="2C929B81" w:rsidR="008F3A29" w:rsidRPr="00F25441" w:rsidRDefault="00065384" w:rsidP="00BC0A42">
      <w:pPr>
        <w:spacing w:line="480" w:lineRule="auto"/>
        <w:jc w:val="both"/>
        <w:rPr>
          <w:lang w:val="en-US"/>
        </w:rPr>
      </w:pPr>
      <w:r w:rsidRPr="00F25441">
        <w:rPr>
          <w:lang w:val="en-US"/>
        </w:rPr>
        <w:tab/>
      </w:r>
      <w:r w:rsidR="00280E6A" w:rsidRPr="00F25441">
        <w:rPr>
          <w:lang w:val="en-US"/>
        </w:rPr>
        <w:t xml:space="preserve">Arguably, one of the main reasons why we are lagging so far behind </w:t>
      </w:r>
      <w:r w:rsidR="00A64BAF" w:rsidRPr="00F25441">
        <w:rPr>
          <w:lang w:val="en-US"/>
        </w:rPr>
        <w:t xml:space="preserve">in terms of achieving </w:t>
      </w:r>
      <w:r w:rsidR="00F4768A">
        <w:rPr>
          <w:lang w:val="en-US"/>
        </w:rPr>
        <w:t>the SDGs</w:t>
      </w:r>
      <w:r w:rsidR="00A64BAF" w:rsidRPr="00F25441">
        <w:rPr>
          <w:lang w:val="en-US"/>
        </w:rPr>
        <w:t xml:space="preserve"> </w:t>
      </w:r>
      <w:r w:rsidR="00280E6A" w:rsidRPr="00F25441">
        <w:rPr>
          <w:lang w:val="en-US"/>
        </w:rPr>
        <w:t>is the plague of</w:t>
      </w:r>
      <w:r w:rsidR="00A276B7" w:rsidRPr="00F25441">
        <w:rPr>
          <w:lang w:val="en-US"/>
        </w:rPr>
        <w:t xml:space="preserve"> ‘cheap talk,’ or specifically in the context of environment,</w:t>
      </w:r>
      <w:r w:rsidR="00280E6A" w:rsidRPr="00F25441">
        <w:rPr>
          <w:lang w:val="en-US"/>
        </w:rPr>
        <w:t xml:space="preserve"> </w:t>
      </w:r>
      <w:r w:rsidR="00F4768A">
        <w:rPr>
          <w:lang w:val="en-US"/>
        </w:rPr>
        <w:t>“</w:t>
      </w:r>
      <w:r w:rsidR="00280E6A" w:rsidRPr="00F25441">
        <w:rPr>
          <w:lang w:val="en-US"/>
        </w:rPr>
        <w:t>greenwashing</w:t>
      </w:r>
      <w:r w:rsidR="00F4768A">
        <w:rPr>
          <w:lang w:val="en-US"/>
        </w:rPr>
        <w:t>”</w:t>
      </w:r>
      <w:r w:rsidR="00280E6A" w:rsidRPr="00F25441">
        <w:rPr>
          <w:lang w:val="en-US"/>
        </w:rPr>
        <w:t xml:space="preserve">: the fact that companies (or </w:t>
      </w:r>
      <w:r w:rsidR="00A64BAF" w:rsidRPr="00F25441">
        <w:rPr>
          <w:lang w:val="en-US"/>
        </w:rPr>
        <w:t xml:space="preserve">oftentimes </w:t>
      </w:r>
      <w:r w:rsidR="00280E6A" w:rsidRPr="00F25441">
        <w:rPr>
          <w:lang w:val="en-US"/>
        </w:rPr>
        <w:t xml:space="preserve">countries </w:t>
      </w:r>
      <w:r w:rsidR="00A64BAF" w:rsidRPr="00F25441">
        <w:rPr>
          <w:lang w:val="en-US"/>
        </w:rPr>
        <w:t>even</w:t>
      </w:r>
      <w:r w:rsidR="00280E6A" w:rsidRPr="00F25441">
        <w:rPr>
          <w:lang w:val="en-US"/>
        </w:rPr>
        <w:t xml:space="preserve">) do not </w:t>
      </w:r>
      <w:r w:rsidR="00A64BAF" w:rsidRPr="00F25441">
        <w:rPr>
          <w:lang w:val="en-US"/>
        </w:rPr>
        <w:t>“</w:t>
      </w:r>
      <w:r w:rsidR="00280E6A" w:rsidRPr="00F25441">
        <w:rPr>
          <w:lang w:val="en-US"/>
        </w:rPr>
        <w:t>walk the talk</w:t>
      </w:r>
      <w:r w:rsidR="00A64BAF" w:rsidRPr="00F25441">
        <w:rPr>
          <w:lang w:val="en-US"/>
        </w:rPr>
        <w:t>”</w:t>
      </w:r>
      <w:r w:rsidR="00280E6A" w:rsidRPr="00F25441">
        <w:rPr>
          <w:lang w:val="en-US"/>
        </w:rPr>
        <w:t xml:space="preserve"> when it comes to their </w:t>
      </w:r>
      <w:r w:rsidR="00F4768A">
        <w:rPr>
          <w:lang w:val="en-US"/>
        </w:rPr>
        <w:t>social and environmental</w:t>
      </w:r>
      <w:r w:rsidR="00F4768A" w:rsidRPr="00F25441">
        <w:rPr>
          <w:lang w:val="en-US"/>
        </w:rPr>
        <w:t xml:space="preserve"> </w:t>
      </w:r>
      <w:r w:rsidR="00280E6A" w:rsidRPr="00F25441">
        <w:rPr>
          <w:lang w:val="en-US"/>
        </w:rPr>
        <w:t xml:space="preserve">commitments. This is a phenomenon that in academia we often term as “CSR decoupling” </w:t>
      </w:r>
      <w:r w:rsidR="00A64BAF" w:rsidRPr="00F25441">
        <w:rPr>
          <w:lang w:val="en-US"/>
        </w:rPr>
        <w:t>and</w:t>
      </w:r>
      <w:r w:rsidR="00280E6A" w:rsidRPr="00F25441">
        <w:rPr>
          <w:lang w:val="en-US"/>
        </w:rPr>
        <w:t xml:space="preserve"> despite its prevalence in the real </w:t>
      </w:r>
      <w:r w:rsidR="006D0526" w:rsidRPr="00F25441">
        <w:rPr>
          <w:lang w:val="en-US"/>
        </w:rPr>
        <w:t>world in</w:t>
      </w:r>
      <w:r w:rsidR="00280E6A" w:rsidRPr="00F25441">
        <w:rPr>
          <w:lang w:val="en-US"/>
        </w:rPr>
        <w:t xml:space="preserve"> recent years</w:t>
      </w:r>
      <w:r w:rsidR="00BC0A42" w:rsidRPr="00F25441">
        <w:rPr>
          <w:lang w:val="en-US"/>
        </w:rPr>
        <w:t xml:space="preserve"> – especially in financial markets but also more </w:t>
      </w:r>
      <w:r w:rsidR="00D27B47">
        <w:rPr>
          <w:lang w:val="en-US"/>
        </w:rPr>
        <w:t>generally</w:t>
      </w:r>
      <w:r w:rsidR="00D27B47" w:rsidRPr="00F25441">
        <w:rPr>
          <w:lang w:val="en-US"/>
        </w:rPr>
        <w:t xml:space="preserve"> </w:t>
      </w:r>
      <w:r w:rsidR="00BC0A42" w:rsidRPr="00F25441">
        <w:rPr>
          <w:lang w:val="en-US"/>
        </w:rPr>
        <w:t>–</w:t>
      </w:r>
      <w:r w:rsidR="00280E6A" w:rsidRPr="00F25441">
        <w:rPr>
          <w:lang w:val="en-US"/>
        </w:rPr>
        <w:t xml:space="preserve"> </w:t>
      </w:r>
      <w:r w:rsidR="00A64BAF" w:rsidRPr="00F25441">
        <w:rPr>
          <w:lang w:val="en-US"/>
        </w:rPr>
        <w:t xml:space="preserve">it is a phenomenon that remains </w:t>
      </w:r>
      <w:r w:rsidR="00876FA6" w:rsidRPr="00F25441">
        <w:rPr>
          <w:lang w:val="en-US"/>
        </w:rPr>
        <w:t xml:space="preserve">relatively </w:t>
      </w:r>
      <w:r w:rsidR="00280E6A" w:rsidRPr="00F25441">
        <w:rPr>
          <w:lang w:val="en-US"/>
        </w:rPr>
        <w:t>understudie</w:t>
      </w:r>
      <w:r w:rsidR="00A64BAF" w:rsidRPr="00F25441">
        <w:rPr>
          <w:lang w:val="en-US"/>
        </w:rPr>
        <w:t>d</w:t>
      </w:r>
      <w:r w:rsidR="00280E6A" w:rsidRPr="00F25441">
        <w:rPr>
          <w:lang w:val="en-US"/>
        </w:rPr>
        <w:t xml:space="preserve">. Therefore, we were very encouraged to </w:t>
      </w:r>
      <w:r w:rsidR="006D0526" w:rsidRPr="00F25441">
        <w:rPr>
          <w:lang w:val="en-US"/>
        </w:rPr>
        <w:t>read</w:t>
      </w:r>
      <w:r w:rsidR="00280E6A" w:rsidRPr="00F25441">
        <w:rPr>
          <w:lang w:val="en-US"/>
        </w:rPr>
        <w:t xml:space="preserve"> the study by </w:t>
      </w:r>
      <w:proofErr w:type="spellStart"/>
      <w:r w:rsidR="00280E6A" w:rsidRPr="00F25441">
        <w:rPr>
          <w:lang w:val="en-US"/>
        </w:rPr>
        <w:t>Tashman</w:t>
      </w:r>
      <w:proofErr w:type="spellEnd"/>
      <w:r w:rsidR="00280E6A" w:rsidRPr="00F25441">
        <w:rPr>
          <w:lang w:val="en-US"/>
        </w:rPr>
        <w:t xml:space="preserve">, </w:t>
      </w:r>
      <w:proofErr w:type="spellStart"/>
      <w:r w:rsidR="00280E6A" w:rsidRPr="00F25441">
        <w:rPr>
          <w:lang w:val="en-US"/>
        </w:rPr>
        <w:t>Marano</w:t>
      </w:r>
      <w:proofErr w:type="spellEnd"/>
      <w:r w:rsidR="00280E6A" w:rsidRPr="00F25441">
        <w:rPr>
          <w:lang w:val="en-US"/>
        </w:rPr>
        <w:t xml:space="preserve"> and </w:t>
      </w:r>
      <w:proofErr w:type="spellStart"/>
      <w:r w:rsidR="00280E6A" w:rsidRPr="00F25441">
        <w:rPr>
          <w:lang w:val="en-US"/>
        </w:rPr>
        <w:t>Kostova</w:t>
      </w:r>
      <w:proofErr w:type="spellEnd"/>
      <w:r w:rsidR="00280E6A" w:rsidRPr="00F25441">
        <w:rPr>
          <w:lang w:val="en-US"/>
        </w:rPr>
        <w:t xml:space="preserve"> (2019) in which the authors explore the issue of CSR decoupling in the context of emerging markets MNEs</w:t>
      </w:r>
      <w:r w:rsidR="006D0526" w:rsidRPr="00F25441">
        <w:rPr>
          <w:lang w:val="en-US"/>
        </w:rPr>
        <w:t>. They find that the prevalence of institutional voids in the home countries of these MNEs drives them to engage in higher levels of CSR decoupling; this implies</w:t>
      </w:r>
      <w:r w:rsidR="00876FA6" w:rsidRPr="00F25441">
        <w:rPr>
          <w:lang w:val="en-US"/>
        </w:rPr>
        <w:t>, in turn,</w:t>
      </w:r>
      <w:r w:rsidR="006D0526" w:rsidRPr="00F25441">
        <w:rPr>
          <w:lang w:val="en-US"/>
        </w:rPr>
        <w:t xml:space="preserve"> that there is less institutional pressure on </w:t>
      </w:r>
      <w:r w:rsidR="00590981" w:rsidRPr="00F25441">
        <w:rPr>
          <w:lang w:val="en-US"/>
        </w:rPr>
        <w:t>them</w:t>
      </w:r>
      <w:r w:rsidR="006D0526" w:rsidRPr="00F25441">
        <w:rPr>
          <w:lang w:val="en-US"/>
        </w:rPr>
        <w:t xml:space="preserve"> to implement substantive CSR actions prior to internationalizing. </w:t>
      </w:r>
      <w:r w:rsidR="00590981" w:rsidRPr="00F25441">
        <w:rPr>
          <w:lang w:val="en-US"/>
        </w:rPr>
        <w:t xml:space="preserve">They also find that even after they internationalize, emerging market MNEs may find it easier to engage in symbolic CSR reporting rather than undertaking substantive CSR actions. </w:t>
      </w:r>
    </w:p>
    <w:p w14:paraId="2FF8AD25" w14:textId="18F2E536" w:rsidR="00371A00" w:rsidRPr="00F25441" w:rsidRDefault="00590981" w:rsidP="00832D68">
      <w:pPr>
        <w:spacing w:line="480" w:lineRule="auto"/>
        <w:ind w:firstLine="720"/>
        <w:jc w:val="both"/>
        <w:rPr>
          <w:lang w:val="en-US"/>
        </w:rPr>
      </w:pPr>
      <w:r w:rsidRPr="00F25441">
        <w:rPr>
          <w:lang w:val="en-US"/>
        </w:rPr>
        <w:t xml:space="preserve">Taken together, these </w:t>
      </w:r>
      <w:r w:rsidR="00876FA6" w:rsidRPr="00F25441">
        <w:rPr>
          <w:lang w:val="en-US"/>
        </w:rPr>
        <w:t xml:space="preserve">results </w:t>
      </w:r>
      <w:r w:rsidRPr="00F25441">
        <w:rPr>
          <w:lang w:val="en-US"/>
        </w:rPr>
        <w:t xml:space="preserve">underscore the crucial role that institutions can play, especially in the context of emerging markets, but also more broadly, </w:t>
      </w:r>
      <w:r w:rsidR="004E3163">
        <w:rPr>
          <w:lang w:val="en-US"/>
        </w:rPr>
        <w:t>in</w:t>
      </w:r>
      <w:r w:rsidR="004E3163" w:rsidRPr="00F25441">
        <w:rPr>
          <w:lang w:val="en-US"/>
        </w:rPr>
        <w:t xml:space="preserve"> </w:t>
      </w:r>
      <w:r w:rsidRPr="00F25441">
        <w:rPr>
          <w:lang w:val="en-US"/>
        </w:rPr>
        <w:t xml:space="preserve">the elimination of </w:t>
      </w:r>
      <w:r w:rsidR="00A276B7" w:rsidRPr="00F25441">
        <w:rPr>
          <w:lang w:val="en-US"/>
        </w:rPr>
        <w:t xml:space="preserve">CSR decoupling </w:t>
      </w:r>
      <w:r w:rsidR="000A6B0C" w:rsidRPr="00F25441">
        <w:rPr>
          <w:lang w:val="en-US"/>
        </w:rPr>
        <w:t>given</w:t>
      </w:r>
      <w:r w:rsidR="00876FA6" w:rsidRPr="00F25441">
        <w:rPr>
          <w:lang w:val="en-US"/>
        </w:rPr>
        <w:t xml:space="preserve"> </w:t>
      </w:r>
      <w:r w:rsidRPr="00F25441">
        <w:rPr>
          <w:lang w:val="en-US"/>
        </w:rPr>
        <w:t>the</w:t>
      </w:r>
      <w:r w:rsidR="008F3A29" w:rsidRPr="00F25441">
        <w:rPr>
          <w:lang w:val="en-US"/>
        </w:rPr>
        <w:t xml:space="preserve"> negative</w:t>
      </w:r>
      <w:r w:rsidRPr="00F25441">
        <w:rPr>
          <w:lang w:val="en-US"/>
        </w:rPr>
        <w:t xml:space="preserve"> imprinting effect that institutional voids have on corporate behavior. </w:t>
      </w:r>
      <w:r w:rsidR="00876FA6" w:rsidRPr="00F25441">
        <w:rPr>
          <w:lang w:val="en-US"/>
        </w:rPr>
        <w:t>However</w:t>
      </w:r>
      <w:r w:rsidRPr="00F25441">
        <w:rPr>
          <w:lang w:val="en-US"/>
        </w:rPr>
        <w:t xml:space="preserve">, there is still a lot that we do not fully </w:t>
      </w:r>
      <w:r w:rsidR="00876FA6" w:rsidRPr="00F25441">
        <w:rPr>
          <w:lang w:val="en-US"/>
        </w:rPr>
        <w:t>understand,</w:t>
      </w:r>
      <w:r w:rsidRPr="00F25441">
        <w:rPr>
          <w:lang w:val="en-US"/>
        </w:rPr>
        <w:t xml:space="preserve"> and that future work </w:t>
      </w:r>
      <w:r w:rsidR="008F3A29" w:rsidRPr="00F25441">
        <w:rPr>
          <w:lang w:val="en-US"/>
        </w:rPr>
        <w:t>should</w:t>
      </w:r>
      <w:r w:rsidRPr="00F25441">
        <w:rPr>
          <w:lang w:val="en-US"/>
        </w:rPr>
        <w:t xml:space="preserve"> seek to explore: </w:t>
      </w:r>
      <w:r w:rsidR="00876FA6" w:rsidRPr="00F25441">
        <w:rPr>
          <w:lang w:val="en-US"/>
        </w:rPr>
        <w:t xml:space="preserve">what are the mechanisms through which home- and host-country </w:t>
      </w:r>
      <w:r w:rsidR="00876FA6" w:rsidRPr="00F25441">
        <w:rPr>
          <w:lang w:val="en-US"/>
        </w:rPr>
        <w:lastRenderedPageBreak/>
        <w:t xml:space="preserve">institutions </w:t>
      </w:r>
      <w:r w:rsidR="000A6B0C" w:rsidRPr="00F25441">
        <w:rPr>
          <w:lang w:val="en-US"/>
        </w:rPr>
        <w:t xml:space="preserve">may </w:t>
      </w:r>
      <w:r w:rsidR="00876FA6" w:rsidRPr="00F25441">
        <w:rPr>
          <w:lang w:val="en-US"/>
        </w:rPr>
        <w:t xml:space="preserve">interact to drive or prevent CSR decoupling? What types of institutional arrangements </w:t>
      </w:r>
      <w:r w:rsidR="000A6B0C" w:rsidRPr="00F25441">
        <w:rPr>
          <w:lang w:val="en-US"/>
        </w:rPr>
        <w:t xml:space="preserve">both </w:t>
      </w:r>
      <w:r w:rsidR="00BC0A42" w:rsidRPr="00F25441">
        <w:rPr>
          <w:lang w:val="en-US"/>
        </w:rPr>
        <w:t>at</w:t>
      </w:r>
      <w:r w:rsidR="000A6B0C" w:rsidRPr="00F25441">
        <w:rPr>
          <w:lang w:val="en-US"/>
        </w:rPr>
        <w:t xml:space="preserve"> home as well as </w:t>
      </w:r>
      <w:r w:rsidR="00BC0A42" w:rsidRPr="00F25441">
        <w:rPr>
          <w:lang w:val="en-US"/>
        </w:rPr>
        <w:t>at</w:t>
      </w:r>
      <w:r w:rsidR="000A6B0C" w:rsidRPr="00F25441">
        <w:rPr>
          <w:lang w:val="en-US"/>
        </w:rPr>
        <w:t xml:space="preserve"> host country </w:t>
      </w:r>
      <w:r w:rsidR="00876FA6" w:rsidRPr="00F25441">
        <w:rPr>
          <w:lang w:val="en-US"/>
        </w:rPr>
        <w:t xml:space="preserve">impact the probability that a firm </w:t>
      </w:r>
      <w:r w:rsidR="006E16C8">
        <w:rPr>
          <w:lang w:val="en-US"/>
        </w:rPr>
        <w:t xml:space="preserve">that decouples substantive from symbolic CSR </w:t>
      </w:r>
      <w:r w:rsidR="00876FA6" w:rsidRPr="00F25441">
        <w:rPr>
          <w:lang w:val="en-US"/>
        </w:rPr>
        <w:t xml:space="preserve">will be exposed? </w:t>
      </w:r>
      <w:r w:rsidR="006A7C3C" w:rsidRPr="00F25441">
        <w:rPr>
          <w:lang w:val="en-US"/>
        </w:rPr>
        <w:t>How would the degree of internationalization affect this relationship?</w:t>
      </w:r>
      <w:r w:rsidR="00BC0A42" w:rsidRPr="00F25441">
        <w:rPr>
          <w:lang w:val="en-US"/>
        </w:rPr>
        <w:t xml:space="preserve"> How does institutional diversity affect the choices that companies make in terms of which CSR activities to substantively pursue and while ones to pursue only symbolically?</w:t>
      </w:r>
      <w:r w:rsidR="006A7C3C" w:rsidRPr="00F25441">
        <w:rPr>
          <w:lang w:val="en-US"/>
        </w:rPr>
        <w:t xml:space="preserve"> </w:t>
      </w:r>
      <w:r w:rsidR="00876FA6" w:rsidRPr="00F25441">
        <w:rPr>
          <w:lang w:val="en-US"/>
        </w:rPr>
        <w:t xml:space="preserve">To what extent and how do institutions </w:t>
      </w:r>
      <w:r w:rsidR="000A6B0C" w:rsidRPr="00F25441">
        <w:rPr>
          <w:lang w:val="en-US"/>
        </w:rPr>
        <w:t>affect</w:t>
      </w:r>
      <w:r w:rsidR="00876FA6" w:rsidRPr="00F25441">
        <w:rPr>
          <w:lang w:val="en-US"/>
        </w:rPr>
        <w:t xml:space="preserve"> how firms are penalized</w:t>
      </w:r>
      <w:r w:rsidR="008F3A29" w:rsidRPr="00F25441">
        <w:rPr>
          <w:lang w:val="en-US"/>
        </w:rPr>
        <w:t xml:space="preserve"> by their stakeholders</w:t>
      </w:r>
      <w:r w:rsidR="00876FA6" w:rsidRPr="00F25441">
        <w:rPr>
          <w:lang w:val="en-US"/>
        </w:rPr>
        <w:t xml:space="preserve"> </w:t>
      </w:r>
      <w:r w:rsidR="000A6B0C" w:rsidRPr="00F25441">
        <w:rPr>
          <w:lang w:val="en-US"/>
        </w:rPr>
        <w:t xml:space="preserve">when </w:t>
      </w:r>
      <w:r w:rsidR="00876FA6" w:rsidRPr="00F25441">
        <w:rPr>
          <w:lang w:val="en-US"/>
        </w:rPr>
        <w:t xml:space="preserve">they are </w:t>
      </w:r>
      <w:r w:rsidR="008F3A29" w:rsidRPr="00F25441">
        <w:rPr>
          <w:lang w:val="en-US"/>
        </w:rPr>
        <w:t xml:space="preserve">exposed </w:t>
      </w:r>
      <w:r w:rsidR="006E16C8">
        <w:rPr>
          <w:lang w:val="en-US"/>
        </w:rPr>
        <w:t>for not walking the talk</w:t>
      </w:r>
      <w:r w:rsidR="008F3A29" w:rsidRPr="00F25441">
        <w:rPr>
          <w:lang w:val="en-US"/>
        </w:rPr>
        <w:t xml:space="preserve">? </w:t>
      </w:r>
      <w:r w:rsidR="00CB7EA4" w:rsidRPr="00F25441">
        <w:rPr>
          <w:lang w:val="en-US"/>
        </w:rPr>
        <w:t xml:space="preserve">How could institutions prevent </w:t>
      </w:r>
      <w:r w:rsidR="006E16C8">
        <w:rPr>
          <w:lang w:val="en-US"/>
        </w:rPr>
        <w:t>CSR decoupling</w:t>
      </w:r>
      <w:r w:rsidR="006E16C8" w:rsidRPr="00F25441">
        <w:rPr>
          <w:lang w:val="en-US"/>
        </w:rPr>
        <w:t xml:space="preserve"> </w:t>
      </w:r>
      <w:r w:rsidR="00CB7EA4" w:rsidRPr="00F25441">
        <w:rPr>
          <w:lang w:val="en-US"/>
        </w:rPr>
        <w:t>while, at the same time, enabling firms to pursue higher levels of social performance</w:t>
      </w:r>
      <w:r w:rsidR="000A6B0C" w:rsidRPr="00F25441">
        <w:rPr>
          <w:lang w:val="en-US"/>
        </w:rPr>
        <w:t xml:space="preserve"> and profitability</w:t>
      </w:r>
      <w:r w:rsidR="00CB7EA4" w:rsidRPr="00F25441">
        <w:rPr>
          <w:lang w:val="en-US"/>
        </w:rPr>
        <w:t xml:space="preserve">? </w:t>
      </w:r>
    </w:p>
    <w:p w14:paraId="1C1C51DA" w14:textId="4B6D4310" w:rsidR="004445AC" w:rsidRPr="00F25441" w:rsidRDefault="00BC0A42" w:rsidP="006E16C8">
      <w:pPr>
        <w:spacing w:line="480" w:lineRule="auto"/>
        <w:jc w:val="both"/>
        <w:rPr>
          <w:lang w:val="en-US"/>
        </w:rPr>
      </w:pPr>
      <w:r w:rsidRPr="00F25441">
        <w:rPr>
          <w:lang w:val="en-US"/>
        </w:rPr>
        <w:tab/>
      </w:r>
      <w:r w:rsidR="00BF2F29" w:rsidRPr="00F25441">
        <w:rPr>
          <w:lang w:val="en-US"/>
        </w:rPr>
        <w:t>In sum</w:t>
      </w:r>
      <w:r w:rsidR="006E16C8">
        <w:rPr>
          <w:lang w:val="en-US"/>
        </w:rPr>
        <w:t>,</w:t>
      </w:r>
      <w:r w:rsidR="00BF2F29" w:rsidRPr="00F25441">
        <w:rPr>
          <w:lang w:val="en-US"/>
        </w:rPr>
        <w:t xml:space="preserve"> </w:t>
      </w:r>
      <w:r w:rsidR="00703F6D">
        <w:rPr>
          <w:lang w:val="en-US"/>
        </w:rPr>
        <w:t xml:space="preserve">we believe that pursuing these </w:t>
      </w:r>
      <w:r w:rsidR="009E2D90" w:rsidRPr="00F25441">
        <w:rPr>
          <w:lang w:val="en-US"/>
        </w:rPr>
        <w:t>wide</w:t>
      </w:r>
      <w:r w:rsidR="00BF2F29" w:rsidRPr="00F25441">
        <w:rPr>
          <w:lang w:val="en-US"/>
        </w:rPr>
        <w:t xml:space="preserve"> avenues of future research could really </w:t>
      </w:r>
      <w:r w:rsidR="009E2D90" w:rsidRPr="00F25441">
        <w:rPr>
          <w:lang w:val="en-US"/>
        </w:rPr>
        <w:t>enhance</w:t>
      </w:r>
      <w:r w:rsidR="00BF2F29" w:rsidRPr="00F25441">
        <w:rPr>
          <w:lang w:val="en-US"/>
        </w:rPr>
        <w:t xml:space="preserve"> our understanding of the link between institutions and </w:t>
      </w:r>
      <w:r w:rsidR="00703F6D">
        <w:rPr>
          <w:lang w:val="en-US"/>
        </w:rPr>
        <w:t xml:space="preserve">variation in </w:t>
      </w:r>
      <w:r w:rsidR="00BF2F29" w:rsidRPr="00F25441">
        <w:rPr>
          <w:lang w:val="en-US"/>
        </w:rPr>
        <w:t>CSP</w:t>
      </w:r>
      <w:r w:rsidR="009E2D90" w:rsidRPr="00F25441">
        <w:rPr>
          <w:lang w:val="en-US"/>
        </w:rPr>
        <w:t>. This is not to suggest that the</w:t>
      </w:r>
      <w:r w:rsidR="00703F6D">
        <w:rPr>
          <w:lang w:val="en-US"/>
        </w:rPr>
        <w:t>se</w:t>
      </w:r>
      <w:r w:rsidR="009E2D90" w:rsidRPr="00F25441">
        <w:rPr>
          <w:lang w:val="en-US"/>
        </w:rPr>
        <w:t xml:space="preserve"> avenues are the only ones</w:t>
      </w:r>
      <w:r w:rsidR="00703F6D">
        <w:rPr>
          <w:lang w:val="en-US"/>
        </w:rPr>
        <w:t xml:space="preserve"> available</w:t>
      </w:r>
      <w:r w:rsidR="009E2D90" w:rsidRPr="00F25441">
        <w:rPr>
          <w:lang w:val="en-US"/>
        </w:rPr>
        <w:t xml:space="preserve">, </w:t>
      </w:r>
      <w:r w:rsidR="00703F6D">
        <w:rPr>
          <w:lang w:val="en-US"/>
        </w:rPr>
        <w:t xml:space="preserve">but </w:t>
      </w:r>
      <w:r w:rsidR="009E2D90" w:rsidRPr="00F25441">
        <w:rPr>
          <w:lang w:val="en-US"/>
        </w:rPr>
        <w:t>we do</w:t>
      </w:r>
      <w:r w:rsidR="002F7C43">
        <w:rPr>
          <w:lang w:val="en-US"/>
        </w:rPr>
        <w:t xml:space="preserve"> believe</w:t>
      </w:r>
      <w:r w:rsidR="00703F6D" w:rsidRPr="00F25441">
        <w:rPr>
          <w:lang w:val="en-US"/>
        </w:rPr>
        <w:t xml:space="preserve"> </w:t>
      </w:r>
      <w:r w:rsidR="009E2D90" w:rsidRPr="00F25441">
        <w:rPr>
          <w:lang w:val="en-US"/>
        </w:rPr>
        <w:t xml:space="preserve">that pursuing research in these </w:t>
      </w:r>
      <w:proofErr w:type="gramStart"/>
      <w:r w:rsidR="009E2D90" w:rsidRPr="00F25441">
        <w:rPr>
          <w:lang w:val="en-US"/>
        </w:rPr>
        <w:t>particular directions</w:t>
      </w:r>
      <w:proofErr w:type="gramEnd"/>
      <w:r w:rsidR="009E2D90" w:rsidRPr="00F25441">
        <w:rPr>
          <w:lang w:val="en-US"/>
        </w:rPr>
        <w:t xml:space="preserve"> </w:t>
      </w:r>
      <w:r w:rsidR="00703F6D">
        <w:rPr>
          <w:lang w:val="en-US"/>
        </w:rPr>
        <w:t>can</w:t>
      </w:r>
      <w:r w:rsidR="00703F6D" w:rsidRPr="00F25441">
        <w:rPr>
          <w:lang w:val="en-US"/>
        </w:rPr>
        <w:t xml:space="preserve"> </w:t>
      </w:r>
      <w:r w:rsidR="00703F6D">
        <w:rPr>
          <w:lang w:val="en-US"/>
        </w:rPr>
        <w:t>meaningfully</w:t>
      </w:r>
      <w:r w:rsidR="00703F6D" w:rsidRPr="00F25441">
        <w:rPr>
          <w:lang w:val="en-US"/>
        </w:rPr>
        <w:t xml:space="preserve"> </w:t>
      </w:r>
      <w:r w:rsidR="009E2D90" w:rsidRPr="00F25441">
        <w:rPr>
          <w:lang w:val="en-US"/>
        </w:rPr>
        <w:t xml:space="preserve">enhance and deepen our understanding of the link between institutional diversity and heterogeneity of CSP by </w:t>
      </w:r>
      <w:r w:rsidR="00703F6D">
        <w:rPr>
          <w:lang w:val="en-US"/>
        </w:rPr>
        <w:t>developing</w:t>
      </w:r>
      <w:r w:rsidR="00703F6D" w:rsidRPr="00F25441">
        <w:rPr>
          <w:lang w:val="en-US"/>
        </w:rPr>
        <w:t xml:space="preserve"> </w:t>
      </w:r>
      <w:r w:rsidR="009E2D90" w:rsidRPr="00F25441">
        <w:rPr>
          <w:lang w:val="en-US"/>
        </w:rPr>
        <w:t xml:space="preserve">a more nuanced approach toward corporate decision making </w:t>
      </w:r>
      <w:r w:rsidR="002F7C43">
        <w:rPr>
          <w:lang w:val="en-US"/>
        </w:rPr>
        <w:t xml:space="preserve">and </w:t>
      </w:r>
      <w:r w:rsidR="009E2D90" w:rsidRPr="00F25441">
        <w:rPr>
          <w:lang w:val="en-US"/>
        </w:rPr>
        <w:t xml:space="preserve">at a more granular level. </w:t>
      </w:r>
    </w:p>
    <w:p w14:paraId="384D8C17" w14:textId="5659DA76" w:rsidR="003408F1" w:rsidRPr="00F25441" w:rsidRDefault="003408F1" w:rsidP="003408F1">
      <w:pPr>
        <w:spacing w:line="480" w:lineRule="auto"/>
        <w:jc w:val="center"/>
        <w:rPr>
          <w:b/>
          <w:bCs/>
          <w:lang w:val="en-US"/>
        </w:rPr>
      </w:pPr>
      <w:r w:rsidRPr="00F25441">
        <w:rPr>
          <w:b/>
          <w:bCs/>
          <w:lang w:val="en-US"/>
        </w:rPr>
        <w:t xml:space="preserve"> CONCLUSION</w:t>
      </w:r>
    </w:p>
    <w:p w14:paraId="6C7AA404" w14:textId="16413433" w:rsidR="00910767" w:rsidRPr="006E16C8" w:rsidRDefault="003408F1" w:rsidP="00FC173B">
      <w:pPr>
        <w:spacing w:line="480" w:lineRule="auto"/>
        <w:jc w:val="both"/>
        <w:rPr>
          <w:lang w:val="en-US"/>
        </w:rPr>
      </w:pPr>
      <w:r w:rsidRPr="006E16C8">
        <w:rPr>
          <w:lang w:val="en-US"/>
        </w:rPr>
        <w:t>We are deeply grateful for the opportunity to</w:t>
      </w:r>
      <w:r w:rsidRPr="00F25441">
        <w:rPr>
          <w:lang w:val="en-US"/>
        </w:rPr>
        <w:t xml:space="preserve"> publish our original article exploring the role of nation-level institutions in CSP and to write this </w:t>
      </w:r>
      <w:r w:rsidR="00902244">
        <w:rPr>
          <w:lang w:val="en-US"/>
        </w:rPr>
        <w:t>R</w:t>
      </w:r>
      <w:r w:rsidRPr="00F25441">
        <w:rPr>
          <w:lang w:val="en-US"/>
        </w:rPr>
        <w:t xml:space="preserve">etrospective </w:t>
      </w:r>
      <w:proofErr w:type="gramStart"/>
      <w:r w:rsidRPr="00F25441">
        <w:rPr>
          <w:lang w:val="en-US"/>
        </w:rPr>
        <w:t>as a result of</w:t>
      </w:r>
      <w:proofErr w:type="gramEnd"/>
      <w:r w:rsidRPr="00F25441">
        <w:rPr>
          <w:lang w:val="en-US"/>
        </w:rPr>
        <w:t xml:space="preserve"> having the honor to receive the JIBS Decade Award for 2022. As organizations are responding to increasing demands by stakeholders to improve their CSP, we forecast many fruitful avenues for scholars of international business. Whether and how effective organizations will be in responding to th</w:t>
      </w:r>
      <w:r w:rsidR="00C20BDF">
        <w:rPr>
          <w:lang w:val="en-US"/>
        </w:rPr>
        <w:t>e</w:t>
      </w:r>
      <w:r w:rsidRPr="00F25441">
        <w:rPr>
          <w:lang w:val="en-US"/>
        </w:rPr>
        <w:t>se demands will likely be shaped by their country-level institutions</w:t>
      </w:r>
      <w:r w:rsidR="00C20BDF">
        <w:rPr>
          <w:lang w:val="en-US"/>
        </w:rPr>
        <w:t>, as we argued and explored in our original piece</w:t>
      </w:r>
      <w:r w:rsidRPr="00F25441">
        <w:rPr>
          <w:lang w:val="en-US"/>
        </w:rPr>
        <w:t>.</w:t>
      </w:r>
      <w:r w:rsidR="00C20BDF">
        <w:rPr>
          <w:lang w:val="en-US"/>
        </w:rPr>
        <w:t xml:space="preserve"> This challenge remains today as relevant</w:t>
      </w:r>
      <w:r w:rsidR="00902244">
        <w:rPr>
          <w:lang w:val="en-US"/>
        </w:rPr>
        <w:t xml:space="preserve"> and perhaps as taunting</w:t>
      </w:r>
      <w:r w:rsidR="00C20BDF">
        <w:rPr>
          <w:lang w:val="en-US"/>
        </w:rPr>
        <w:t xml:space="preserve"> as it was in 2012, if not more so.</w:t>
      </w:r>
      <w:r w:rsidRPr="00F25441">
        <w:rPr>
          <w:lang w:val="en-US"/>
        </w:rPr>
        <w:t xml:space="preserve"> Employee demands for improvements in CSP will likely interact with labor markets institutions that determine the relative power of employees and </w:t>
      </w:r>
      <w:r w:rsidRPr="00F25441">
        <w:rPr>
          <w:lang w:val="en-US"/>
        </w:rPr>
        <w:lastRenderedPageBreak/>
        <w:t xml:space="preserve">employers and the availability of skilled capital. Customer demands for improvements in CSP will likely interact with product markets institutions that </w:t>
      </w:r>
      <w:r w:rsidR="00F507D1" w:rsidRPr="00F25441">
        <w:rPr>
          <w:lang w:val="en-US"/>
        </w:rPr>
        <w:t>determine switching costs and availability of alternatives</w:t>
      </w:r>
      <w:r w:rsidR="00902244">
        <w:rPr>
          <w:lang w:val="en-US"/>
        </w:rPr>
        <w:t xml:space="preserve"> or even change the nature of competition in some industries</w:t>
      </w:r>
      <w:r w:rsidR="00F507D1" w:rsidRPr="00F25441">
        <w:rPr>
          <w:lang w:val="en-US"/>
        </w:rPr>
        <w:t>. Investor demands for improvements in CSP will likely interact with capital markets institutions that determine the available set of information and the ability to act on the set of available information. Regulatory demands for improvements in CSP will likely interact with political institutions that determine the ambition and intended outcomes of those regulations. The collective set of those demands will</w:t>
      </w:r>
      <w:r w:rsidR="00902244">
        <w:rPr>
          <w:lang w:val="en-US"/>
        </w:rPr>
        <w:t>,</w:t>
      </w:r>
      <w:r w:rsidR="00F507D1" w:rsidRPr="00F25441">
        <w:rPr>
          <w:lang w:val="en-US"/>
        </w:rPr>
        <w:t xml:space="preserve"> </w:t>
      </w:r>
      <w:proofErr w:type="gramStart"/>
      <w:r w:rsidR="00C20BDF">
        <w:rPr>
          <w:lang w:val="en-US"/>
        </w:rPr>
        <w:t>in all likelihood</w:t>
      </w:r>
      <w:proofErr w:type="gramEnd"/>
      <w:r w:rsidR="00902244">
        <w:rPr>
          <w:lang w:val="en-US"/>
        </w:rPr>
        <w:t>,</w:t>
      </w:r>
      <w:r w:rsidR="00C20BDF" w:rsidRPr="00F25441">
        <w:rPr>
          <w:lang w:val="en-US"/>
        </w:rPr>
        <w:t xml:space="preserve"> </w:t>
      </w:r>
      <w:r w:rsidR="00F507D1" w:rsidRPr="00F25441">
        <w:rPr>
          <w:lang w:val="en-US"/>
        </w:rPr>
        <w:t xml:space="preserve">reflect and be contingent </w:t>
      </w:r>
      <w:r w:rsidR="00902244">
        <w:rPr>
          <w:lang w:val="en-US"/>
        </w:rPr>
        <w:t>up</w:t>
      </w:r>
      <w:r w:rsidR="00F507D1" w:rsidRPr="00F25441">
        <w:rPr>
          <w:lang w:val="en-US"/>
        </w:rPr>
        <w:t>on national cultures that determine a collective set of beliefs about the role of the corporation in society.</w:t>
      </w:r>
      <w:r w:rsidR="006E577E">
        <w:rPr>
          <w:lang w:val="en-US"/>
        </w:rPr>
        <w:t xml:space="preserve"> We are convinced that scholarship that generate</w:t>
      </w:r>
      <w:r w:rsidR="00BA58EA">
        <w:rPr>
          <w:lang w:val="en-US"/>
        </w:rPr>
        <w:t>s</w:t>
      </w:r>
      <w:r w:rsidR="006E577E">
        <w:rPr>
          <w:lang w:val="en-US"/>
        </w:rPr>
        <w:t xml:space="preserve"> insights at the intersection of institutions and companies with a sharp focus on CSP can and will have a profound impact </w:t>
      </w:r>
      <w:r w:rsidR="00BA58EA">
        <w:rPr>
          <w:lang w:val="en-US"/>
        </w:rPr>
        <w:t>on both policy making as well as management research in the years ahead while, at the same time,</w:t>
      </w:r>
      <w:r w:rsidR="00A71820">
        <w:rPr>
          <w:lang w:val="en-US"/>
        </w:rPr>
        <w:t xml:space="preserve"> it can meaningfully</w:t>
      </w:r>
      <w:r w:rsidR="00BA58EA">
        <w:rPr>
          <w:lang w:val="en-US"/>
        </w:rPr>
        <w:t xml:space="preserve"> contribut</w:t>
      </w:r>
      <w:r w:rsidR="00A71820">
        <w:rPr>
          <w:lang w:val="en-US"/>
        </w:rPr>
        <w:t>e</w:t>
      </w:r>
      <w:r w:rsidR="00BA58EA">
        <w:rPr>
          <w:lang w:val="en-US"/>
        </w:rPr>
        <w:t xml:space="preserve"> towards the overarching goal of</w:t>
      </w:r>
      <w:r w:rsidR="00D53D9B">
        <w:rPr>
          <w:lang w:val="en-US"/>
        </w:rPr>
        <w:t xml:space="preserve"> achieving the SDGs</w:t>
      </w:r>
      <w:r w:rsidR="00BA58EA">
        <w:rPr>
          <w:lang w:val="en-US"/>
        </w:rPr>
        <w:t xml:space="preserve">. </w:t>
      </w:r>
      <w:r w:rsidR="006E577E">
        <w:rPr>
          <w:lang w:val="en-US"/>
        </w:rPr>
        <w:t>We</w:t>
      </w:r>
      <w:r w:rsidR="00BA58EA">
        <w:rPr>
          <w:lang w:val="en-US"/>
        </w:rPr>
        <w:t xml:space="preserve"> sincerely</w:t>
      </w:r>
      <w:r w:rsidR="006E577E">
        <w:rPr>
          <w:lang w:val="en-US"/>
        </w:rPr>
        <w:t xml:space="preserve"> hope that this Retrospective </w:t>
      </w:r>
      <w:r w:rsidR="00A71820">
        <w:rPr>
          <w:lang w:val="en-US"/>
        </w:rPr>
        <w:t xml:space="preserve">piece </w:t>
      </w:r>
      <w:r w:rsidR="006E577E">
        <w:rPr>
          <w:lang w:val="en-US"/>
        </w:rPr>
        <w:t xml:space="preserve">could galvanize </w:t>
      </w:r>
      <w:r w:rsidR="00A71820">
        <w:rPr>
          <w:lang w:val="en-US"/>
        </w:rPr>
        <w:t>or</w:t>
      </w:r>
      <w:r w:rsidR="006E577E">
        <w:rPr>
          <w:lang w:val="en-US"/>
        </w:rPr>
        <w:t xml:space="preserve"> </w:t>
      </w:r>
      <w:r w:rsidR="00902244">
        <w:rPr>
          <w:lang w:val="en-US"/>
        </w:rPr>
        <w:t xml:space="preserve">even </w:t>
      </w:r>
      <w:r w:rsidR="006E577E">
        <w:rPr>
          <w:lang w:val="en-US"/>
        </w:rPr>
        <w:t xml:space="preserve">inspire some of this </w:t>
      </w:r>
      <w:r w:rsidR="00ED621D">
        <w:rPr>
          <w:lang w:val="en-US"/>
        </w:rPr>
        <w:t>scholarship going forward.</w:t>
      </w:r>
    </w:p>
    <w:p w14:paraId="4FB80124" w14:textId="6C3879F5" w:rsidR="00356FB6" w:rsidRPr="00F25441" w:rsidRDefault="00356FB6" w:rsidP="006E16C8">
      <w:pPr>
        <w:spacing w:line="480" w:lineRule="auto"/>
        <w:rPr>
          <w:lang w:val="en-US"/>
        </w:rPr>
      </w:pPr>
    </w:p>
    <w:p w14:paraId="7DD76A8D" w14:textId="51860CF2" w:rsidR="000F757F" w:rsidRPr="00F25441" w:rsidRDefault="000F757F" w:rsidP="00356FB6">
      <w:pPr>
        <w:spacing w:line="480" w:lineRule="auto"/>
        <w:rPr>
          <w:b/>
          <w:bCs/>
          <w:lang w:val="en-US"/>
        </w:rPr>
      </w:pPr>
    </w:p>
    <w:p w14:paraId="1EAB8A77" w14:textId="35EBB5F2" w:rsidR="006523DC" w:rsidRPr="00F25441" w:rsidRDefault="006523DC" w:rsidP="00356FB6">
      <w:pPr>
        <w:spacing w:line="480" w:lineRule="auto"/>
        <w:rPr>
          <w:b/>
          <w:bCs/>
          <w:lang w:val="en-US"/>
        </w:rPr>
      </w:pPr>
    </w:p>
    <w:p w14:paraId="2EAFE007" w14:textId="2C324197" w:rsidR="006523DC" w:rsidRPr="00F25441" w:rsidRDefault="006523DC" w:rsidP="00356FB6">
      <w:pPr>
        <w:spacing w:line="480" w:lineRule="auto"/>
        <w:rPr>
          <w:b/>
          <w:bCs/>
          <w:lang w:val="en-US"/>
        </w:rPr>
      </w:pPr>
    </w:p>
    <w:p w14:paraId="3179ACA7" w14:textId="77777777" w:rsidR="00245570" w:rsidRPr="00F25441" w:rsidRDefault="00245570">
      <w:pPr>
        <w:rPr>
          <w:b/>
          <w:bCs/>
          <w:lang w:val="en-US"/>
        </w:rPr>
      </w:pPr>
      <w:r w:rsidRPr="00F25441">
        <w:rPr>
          <w:b/>
          <w:bCs/>
          <w:lang w:val="en-US"/>
        </w:rPr>
        <w:br w:type="page"/>
      </w:r>
    </w:p>
    <w:p w14:paraId="1F0AF78D" w14:textId="03AA25D2" w:rsidR="006523DC" w:rsidRPr="00F25441" w:rsidRDefault="006523DC" w:rsidP="00142712">
      <w:pPr>
        <w:spacing w:line="276" w:lineRule="auto"/>
        <w:jc w:val="center"/>
        <w:rPr>
          <w:b/>
          <w:bCs/>
          <w:lang w:val="en-US"/>
        </w:rPr>
      </w:pPr>
      <w:r w:rsidRPr="00F25441">
        <w:rPr>
          <w:b/>
          <w:bCs/>
          <w:lang w:val="en-US"/>
        </w:rPr>
        <w:lastRenderedPageBreak/>
        <w:t>References</w:t>
      </w:r>
    </w:p>
    <w:p w14:paraId="2F566D9F" w14:textId="17FB89DE" w:rsidR="006523DC" w:rsidRPr="00F25441" w:rsidRDefault="006523DC" w:rsidP="006523DC">
      <w:pPr>
        <w:spacing w:line="276" w:lineRule="auto"/>
        <w:rPr>
          <w:lang w:val="en-US"/>
        </w:rPr>
      </w:pPr>
    </w:p>
    <w:p w14:paraId="36FED526" w14:textId="088F3353" w:rsidR="00096536" w:rsidRPr="00F25441" w:rsidRDefault="00096536" w:rsidP="006523DC">
      <w:pPr>
        <w:spacing w:line="276" w:lineRule="auto"/>
        <w:rPr>
          <w:lang w:val="en-US"/>
        </w:rPr>
      </w:pPr>
      <w:r w:rsidRPr="00F25441">
        <w:rPr>
          <w:lang w:val="en-US"/>
        </w:rPr>
        <w:t>Aguilera, R. V., &amp; Jackson, G. 2003. The cross-national diversity of corporate governance: Dimensions and determinants. Academy of Management Review, 28(3): 447–465.</w:t>
      </w:r>
    </w:p>
    <w:p w14:paraId="78B0B125" w14:textId="01387245" w:rsidR="00535645" w:rsidRPr="00F25441" w:rsidRDefault="00535645" w:rsidP="006523DC">
      <w:pPr>
        <w:spacing w:line="276" w:lineRule="auto"/>
        <w:rPr>
          <w:lang w:val="en-US"/>
        </w:rPr>
      </w:pPr>
    </w:p>
    <w:p w14:paraId="6D84639B" w14:textId="2D691434" w:rsidR="00535645" w:rsidRPr="006609E0" w:rsidRDefault="00535645" w:rsidP="006609E0">
      <w:pPr>
        <w:rPr>
          <w:rFonts w:eastAsia="Times New Roman"/>
          <w:color w:val="auto"/>
          <w:szCs w:val="24"/>
          <w:lang w:val="en-US"/>
        </w:rPr>
      </w:pPr>
      <w:r w:rsidRPr="00F25441">
        <w:rPr>
          <w:rFonts w:eastAsia="Times New Roman"/>
          <w:color w:val="auto"/>
          <w:szCs w:val="24"/>
          <w:lang w:val="en-US"/>
        </w:rPr>
        <w:t xml:space="preserve">Amel-Zadeh, A. and Serafeim, G., 2018. Why and how investors use ESG information: Evidence from a global survey. </w:t>
      </w:r>
      <w:r w:rsidRPr="00F25441">
        <w:rPr>
          <w:rFonts w:eastAsia="Times New Roman"/>
          <w:i/>
          <w:iCs/>
          <w:color w:val="auto"/>
          <w:szCs w:val="24"/>
          <w:lang w:val="en-US"/>
        </w:rPr>
        <w:t>Financial Analysts Journal</w:t>
      </w:r>
      <w:r w:rsidRPr="00F25441">
        <w:rPr>
          <w:rFonts w:eastAsia="Times New Roman"/>
          <w:color w:val="auto"/>
          <w:szCs w:val="24"/>
          <w:lang w:val="en-US"/>
        </w:rPr>
        <w:t xml:space="preserve">, </w:t>
      </w:r>
      <w:r w:rsidRPr="00F25441">
        <w:rPr>
          <w:rFonts w:eastAsia="Times New Roman"/>
          <w:i/>
          <w:iCs/>
          <w:color w:val="auto"/>
          <w:szCs w:val="24"/>
          <w:lang w:val="en-US"/>
        </w:rPr>
        <w:t>74</w:t>
      </w:r>
      <w:r w:rsidRPr="00F25441">
        <w:rPr>
          <w:rFonts w:eastAsia="Times New Roman"/>
          <w:color w:val="auto"/>
          <w:szCs w:val="24"/>
          <w:lang w:val="en-US"/>
        </w:rPr>
        <w:t>(3), pp.87-103.</w:t>
      </w:r>
    </w:p>
    <w:p w14:paraId="2E7024D1" w14:textId="325FEA56" w:rsidR="007A1632" w:rsidRPr="00F25441" w:rsidRDefault="007A1632" w:rsidP="006523DC">
      <w:pPr>
        <w:spacing w:line="276" w:lineRule="auto"/>
        <w:rPr>
          <w:lang w:val="en-US"/>
        </w:rPr>
      </w:pPr>
    </w:p>
    <w:p w14:paraId="24ADA0BD" w14:textId="69929034" w:rsidR="007A1632" w:rsidRPr="006609E0" w:rsidRDefault="007A1632" w:rsidP="006609E0">
      <w:pPr>
        <w:rPr>
          <w:rFonts w:eastAsia="Times New Roman"/>
          <w:color w:val="auto"/>
          <w:szCs w:val="24"/>
          <w:lang w:val="en-US"/>
        </w:rPr>
      </w:pPr>
      <w:r w:rsidRPr="00F25441">
        <w:rPr>
          <w:rFonts w:eastAsia="Times New Roman"/>
          <w:color w:val="auto"/>
          <w:szCs w:val="24"/>
          <w:lang w:val="en-US"/>
        </w:rPr>
        <w:t xml:space="preserve">Baker, M., Bergstresser, D., Serafeim, G. and Wurgler, J., 2022. The pricing and ownership of US green bonds. </w:t>
      </w:r>
      <w:r w:rsidRPr="00F25441">
        <w:rPr>
          <w:rFonts w:eastAsia="Times New Roman"/>
          <w:i/>
          <w:iCs/>
          <w:color w:val="auto"/>
          <w:szCs w:val="24"/>
          <w:lang w:val="en-US"/>
        </w:rPr>
        <w:t>Annual Review of Financial Economics</w:t>
      </w:r>
      <w:r w:rsidRPr="00F25441">
        <w:rPr>
          <w:rFonts w:eastAsia="Times New Roman"/>
          <w:color w:val="auto"/>
          <w:szCs w:val="24"/>
          <w:lang w:val="en-US"/>
        </w:rPr>
        <w:t xml:space="preserve">, </w:t>
      </w:r>
      <w:r w:rsidRPr="00F25441">
        <w:rPr>
          <w:rFonts w:eastAsia="Times New Roman"/>
          <w:i/>
          <w:iCs/>
          <w:color w:val="auto"/>
          <w:szCs w:val="24"/>
          <w:lang w:val="en-US"/>
        </w:rPr>
        <w:t>14</w:t>
      </w:r>
      <w:r w:rsidRPr="00F25441">
        <w:rPr>
          <w:rFonts w:eastAsia="Times New Roman"/>
          <w:color w:val="auto"/>
          <w:szCs w:val="24"/>
          <w:lang w:val="en-US"/>
        </w:rPr>
        <w:t>.</w:t>
      </w:r>
    </w:p>
    <w:p w14:paraId="69E39543" w14:textId="77777777" w:rsidR="00096536" w:rsidRPr="00F25441" w:rsidRDefault="00096536" w:rsidP="006523DC">
      <w:pPr>
        <w:spacing w:line="276" w:lineRule="auto"/>
        <w:rPr>
          <w:lang w:val="en-US"/>
        </w:rPr>
      </w:pPr>
    </w:p>
    <w:p w14:paraId="27E4C658" w14:textId="6943D231" w:rsidR="00FB6538" w:rsidRPr="00F25441" w:rsidRDefault="00FB6538" w:rsidP="006523DC">
      <w:pPr>
        <w:spacing w:line="276" w:lineRule="auto"/>
        <w:rPr>
          <w:lang w:val="en-US"/>
        </w:rPr>
      </w:pPr>
      <w:r w:rsidRPr="00F25441">
        <w:rPr>
          <w:lang w:val="en-US"/>
        </w:rPr>
        <w:t>Campbell, J. L. 2007. Why would corporations behave in socially responsible ways? An institutional theory of corporate social responsibility. Academy of Management Review, 32(3): 946–967</w:t>
      </w:r>
    </w:p>
    <w:p w14:paraId="74785924" w14:textId="4800B077" w:rsidR="00142712" w:rsidRPr="00F25441" w:rsidRDefault="00142712" w:rsidP="006523DC">
      <w:pPr>
        <w:spacing w:line="276" w:lineRule="auto"/>
        <w:rPr>
          <w:lang w:val="en-US"/>
        </w:rPr>
      </w:pPr>
    </w:p>
    <w:p w14:paraId="5D7E9EC5" w14:textId="05B429E0" w:rsidR="00142712" w:rsidRPr="00F25441" w:rsidRDefault="00142712" w:rsidP="006523DC">
      <w:pPr>
        <w:spacing w:line="276" w:lineRule="auto"/>
        <w:rPr>
          <w:lang w:val="en-US"/>
        </w:rPr>
      </w:pPr>
      <w:r w:rsidRPr="00F25441">
        <w:rPr>
          <w:lang w:val="en-US"/>
        </w:rPr>
        <w:t>Campbell, J. L., Hollingsworth, J. R., &amp; Lindberg, L. N. 1991. Governance of the American economy. New York: Cambridge University Press.</w:t>
      </w:r>
    </w:p>
    <w:p w14:paraId="6BB737DC" w14:textId="6EE6E9AE" w:rsidR="003D7AD1" w:rsidRPr="00F25441" w:rsidRDefault="003D7AD1" w:rsidP="006523DC">
      <w:pPr>
        <w:spacing w:line="276" w:lineRule="auto"/>
        <w:rPr>
          <w:lang w:val="en-US"/>
        </w:rPr>
      </w:pPr>
    </w:p>
    <w:p w14:paraId="2B9FB4AB" w14:textId="0BA19DE2" w:rsidR="003D7AD1" w:rsidRPr="00F25441" w:rsidRDefault="003D7AD1" w:rsidP="006523DC">
      <w:pPr>
        <w:spacing w:line="276" w:lineRule="auto"/>
        <w:rPr>
          <w:lang w:val="en-US"/>
        </w:rPr>
      </w:pPr>
      <w:r w:rsidRPr="00F25441">
        <w:rPr>
          <w:lang w:val="en-US"/>
        </w:rPr>
        <w:t>Cheng, B., Ioannou, I. and Serafeim, G., 2014. Corporate social responsibility and access to finance. Strategic management journal, 35(1), pp.1-23.</w:t>
      </w:r>
    </w:p>
    <w:p w14:paraId="5232A01F" w14:textId="26A31798" w:rsidR="005241B9" w:rsidRPr="00F25441" w:rsidRDefault="005241B9" w:rsidP="006523DC">
      <w:pPr>
        <w:spacing w:line="276" w:lineRule="auto"/>
        <w:rPr>
          <w:lang w:val="en-US"/>
        </w:rPr>
      </w:pPr>
    </w:p>
    <w:p w14:paraId="59CCE01C" w14:textId="11705EFE" w:rsidR="005241B9" w:rsidRPr="006609E0" w:rsidRDefault="005241B9" w:rsidP="006609E0">
      <w:pPr>
        <w:rPr>
          <w:rFonts w:eastAsia="Times New Roman"/>
          <w:color w:val="auto"/>
          <w:szCs w:val="24"/>
          <w:lang w:val="en-US"/>
        </w:rPr>
      </w:pPr>
      <w:r w:rsidRPr="00F25441">
        <w:rPr>
          <w:rFonts w:eastAsia="Times New Roman"/>
          <w:color w:val="auto"/>
          <w:szCs w:val="24"/>
          <w:lang w:val="en-US"/>
        </w:rPr>
        <w:t xml:space="preserve">Dimson, E., </w:t>
      </w:r>
      <w:proofErr w:type="spellStart"/>
      <w:r w:rsidRPr="00F25441">
        <w:rPr>
          <w:rFonts w:eastAsia="Times New Roman"/>
          <w:color w:val="auto"/>
          <w:szCs w:val="24"/>
          <w:lang w:val="en-US"/>
        </w:rPr>
        <w:t>Karakaş</w:t>
      </w:r>
      <w:proofErr w:type="spellEnd"/>
      <w:r w:rsidRPr="00F25441">
        <w:rPr>
          <w:rFonts w:eastAsia="Times New Roman"/>
          <w:color w:val="auto"/>
          <w:szCs w:val="24"/>
          <w:lang w:val="en-US"/>
        </w:rPr>
        <w:t xml:space="preserve">, O. and Li, X., 2021. Coordinated engagements. </w:t>
      </w:r>
      <w:r w:rsidRPr="00F25441">
        <w:rPr>
          <w:rFonts w:eastAsia="Times New Roman"/>
          <w:i/>
          <w:iCs/>
          <w:color w:val="auto"/>
          <w:szCs w:val="24"/>
          <w:lang w:val="en-US"/>
        </w:rPr>
        <w:t>European Corporate Governance Institute–Finance Working Paper</w:t>
      </w:r>
      <w:r w:rsidRPr="00F25441">
        <w:rPr>
          <w:rFonts w:eastAsia="Times New Roman"/>
          <w:color w:val="auto"/>
          <w:szCs w:val="24"/>
          <w:lang w:val="en-US"/>
        </w:rPr>
        <w:t>, (721).</w:t>
      </w:r>
    </w:p>
    <w:p w14:paraId="43375D7D" w14:textId="6CCCF03A" w:rsidR="007A1632" w:rsidRPr="00F25441" w:rsidRDefault="007A1632" w:rsidP="006523DC">
      <w:pPr>
        <w:spacing w:line="276" w:lineRule="auto"/>
        <w:rPr>
          <w:lang w:val="en-US"/>
        </w:rPr>
      </w:pPr>
    </w:p>
    <w:p w14:paraId="0D28C0D5" w14:textId="4A427BF2" w:rsidR="007A1632" w:rsidRPr="00F25441" w:rsidRDefault="007A1632" w:rsidP="007A1632">
      <w:pPr>
        <w:rPr>
          <w:rFonts w:eastAsia="Times New Roman"/>
          <w:color w:val="auto"/>
          <w:szCs w:val="24"/>
          <w:lang w:val="en-US"/>
        </w:rPr>
      </w:pPr>
      <w:proofErr w:type="spellStart"/>
      <w:r w:rsidRPr="00F25441">
        <w:rPr>
          <w:rFonts w:eastAsia="Times New Roman"/>
          <w:color w:val="auto"/>
          <w:szCs w:val="24"/>
          <w:lang w:val="en-US"/>
        </w:rPr>
        <w:t>Downar</w:t>
      </w:r>
      <w:proofErr w:type="spellEnd"/>
      <w:r w:rsidRPr="00F25441">
        <w:rPr>
          <w:rFonts w:eastAsia="Times New Roman"/>
          <w:color w:val="auto"/>
          <w:szCs w:val="24"/>
          <w:lang w:val="en-US"/>
        </w:rPr>
        <w:t xml:space="preserve">, B., </w:t>
      </w:r>
      <w:proofErr w:type="spellStart"/>
      <w:r w:rsidRPr="00F25441">
        <w:rPr>
          <w:rFonts w:eastAsia="Times New Roman"/>
          <w:color w:val="auto"/>
          <w:szCs w:val="24"/>
          <w:lang w:val="en-US"/>
        </w:rPr>
        <w:t>Ernstberger</w:t>
      </w:r>
      <w:proofErr w:type="spellEnd"/>
      <w:r w:rsidRPr="00F25441">
        <w:rPr>
          <w:rFonts w:eastAsia="Times New Roman"/>
          <w:color w:val="auto"/>
          <w:szCs w:val="24"/>
          <w:lang w:val="en-US"/>
        </w:rPr>
        <w:t xml:space="preserve">, J., Reichelstein, S., </w:t>
      </w:r>
      <w:proofErr w:type="spellStart"/>
      <w:r w:rsidRPr="00F25441">
        <w:rPr>
          <w:rFonts w:eastAsia="Times New Roman"/>
          <w:color w:val="auto"/>
          <w:szCs w:val="24"/>
          <w:lang w:val="en-US"/>
        </w:rPr>
        <w:t>Schwenen</w:t>
      </w:r>
      <w:proofErr w:type="spellEnd"/>
      <w:r w:rsidRPr="00F25441">
        <w:rPr>
          <w:rFonts w:eastAsia="Times New Roman"/>
          <w:color w:val="auto"/>
          <w:szCs w:val="24"/>
          <w:lang w:val="en-US"/>
        </w:rPr>
        <w:t xml:space="preserve">, S. and </w:t>
      </w:r>
      <w:proofErr w:type="spellStart"/>
      <w:r w:rsidRPr="00F25441">
        <w:rPr>
          <w:rFonts w:eastAsia="Times New Roman"/>
          <w:color w:val="auto"/>
          <w:szCs w:val="24"/>
          <w:lang w:val="en-US"/>
        </w:rPr>
        <w:t>Zaklan</w:t>
      </w:r>
      <w:proofErr w:type="spellEnd"/>
      <w:r w:rsidRPr="00F25441">
        <w:rPr>
          <w:rFonts w:eastAsia="Times New Roman"/>
          <w:color w:val="auto"/>
          <w:szCs w:val="24"/>
          <w:lang w:val="en-US"/>
        </w:rPr>
        <w:t xml:space="preserve">, A., 2021. The impact of carbon disclosure mandates on emissions and financial operating performance. </w:t>
      </w:r>
      <w:r w:rsidRPr="00F25441">
        <w:rPr>
          <w:rFonts w:eastAsia="Times New Roman"/>
          <w:i/>
          <w:iCs/>
          <w:color w:val="auto"/>
          <w:szCs w:val="24"/>
          <w:lang w:val="en-US"/>
        </w:rPr>
        <w:t>Review of Accounting Studies</w:t>
      </w:r>
      <w:r w:rsidRPr="00F25441">
        <w:rPr>
          <w:rFonts w:eastAsia="Times New Roman"/>
          <w:color w:val="auto"/>
          <w:szCs w:val="24"/>
          <w:lang w:val="en-US"/>
        </w:rPr>
        <w:t xml:space="preserve">, </w:t>
      </w:r>
      <w:r w:rsidRPr="00F25441">
        <w:rPr>
          <w:rFonts w:eastAsia="Times New Roman"/>
          <w:i/>
          <w:iCs/>
          <w:color w:val="auto"/>
          <w:szCs w:val="24"/>
          <w:lang w:val="en-US"/>
        </w:rPr>
        <w:t>26</w:t>
      </w:r>
      <w:r w:rsidRPr="00F25441">
        <w:rPr>
          <w:rFonts w:eastAsia="Times New Roman"/>
          <w:color w:val="auto"/>
          <w:szCs w:val="24"/>
          <w:lang w:val="en-US"/>
        </w:rPr>
        <w:t>(3), pp.1137-1175.</w:t>
      </w:r>
    </w:p>
    <w:p w14:paraId="7399DFC8" w14:textId="38CA659C" w:rsidR="007A1632" w:rsidRPr="00F25441" w:rsidRDefault="007A1632" w:rsidP="007A1632">
      <w:pPr>
        <w:rPr>
          <w:rFonts w:eastAsia="Times New Roman"/>
          <w:color w:val="auto"/>
          <w:szCs w:val="24"/>
          <w:lang w:val="en-US"/>
        </w:rPr>
      </w:pPr>
    </w:p>
    <w:p w14:paraId="47A8F3E7" w14:textId="39EACD44" w:rsidR="007A1632" w:rsidRPr="006609E0" w:rsidRDefault="007A1632" w:rsidP="006609E0">
      <w:pPr>
        <w:rPr>
          <w:rFonts w:eastAsia="Times New Roman"/>
          <w:color w:val="auto"/>
          <w:szCs w:val="24"/>
          <w:lang w:val="en-US"/>
        </w:rPr>
      </w:pPr>
      <w:r w:rsidRPr="00F25441">
        <w:rPr>
          <w:rFonts w:eastAsia="Times New Roman"/>
          <w:color w:val="auto"/>
          <w:szCs w:val="24"/>
          <w:lang w:val="en-US"/>
        </w:rPr>
        <w:t xml:space="preserve">Flammer, C., 2021. Corporate green bonds. </w:t>
      </w:r>
      <w:r w:rsidRPr="00F25441">
        <w:rPr>
          <w:rFonts w:eastAsia="Times New Roman"/>
          <w:i/>
          <w:iCs/>
          <w:color w:val="auto"/>
          <w:szCs w:val="24"/>
          <w:lang w:val="en-US"/>
        </w:rPr>
        <w:t>Journal of Financial Economics</w:t>
      </w:r>
      <w:r w:rsidRPr="00F25441">
        <w:rPr>
          <w:rFonts w:eastAsia="Times New Roman"/>
          <w:color w:val="auto"/>
          <w:szCs w:val="24"/>
          <w:lang w:val="en-US"/>
        </w:rPr>
        <w:t xml:space="preserve">, </w:t>
      </w:r>
      <w:r w:rsidRPr="00F25441">
        <w:rPr>
          <w:rFonts w:eastAsia="Times New Roman"/>
          <w:i/>
          <w:iCs/>
          <w:color w:val="auto"/>
          <w:szCs w:val="24"/>
          <w:lang w:val="en-US"/>
        </w:rPr>
        <w:t>142</w:t>
      </w:r>
      <w:r w:rsidRPr="00F25441">
        <w:rPr>
          <w:rFonts w:eastAsia="Times New Roman"/>
          <w:color w:val="auto"/>
          <w:szCs w:val="24"/>
          <w:lang w:val="en-US"/>
        </w:rPr>
        <w:t>(2), pp.499-516.</w:t>
      </w:r>
    </w:p>
    <w:p w14:paraId="6FDD953E" w14:textId="22B35373" w:rsidR="003D3AE9" w:rsidRPr="00F25441" w:rsidRDefault="003D3AE9" w:rsidP="006523DC">
      <w:pPr>
        <w:spacing w:line="276" w:lineRule="auto"/>
        <w:rPr>
          <w:lang w:val="en-US"/>
        </w:rPr>
      </w:pPr>
    </w:p>
    <w:p w14:paraId="54953A38" w14:textId="03667469" w:rsidR="003D3AE9" w:rsidRPr="00F25441" w:rsidRDefault="003D3AE9" w:rsidP="006523DC">
      <w:pPr>
        <w:spacing w:line="276" w:lineRule="auto"/>
        <w:rPr>
          <w:lang w:val="en-US"/>
        </w:rPr>
      </w:pPr>
      <w:r w:rsidRPr="00F25441">
        <w:rPr>
          <w:lang w:val="en-US"/>
        </w:rPr>
        <w:t xml:space="preserve">Ghoul, S.E., </w:t>
      </w:r>
      <w:proofErr w:type="spellStart"/>
      <w:r w:rsidRPr="00F25441">
        <w:rPr>
          <w:lang w:val="en-US"/>
        </w:rPr>
        <w:t>Guedhami</w:t>
      </w:r>
      <w:proofErr w:type="spellEnd"/>
      <w:r w:rsidRPr="00F25441">
        <w:rPr>
          <w:lang w:val="en-US"/>
        </w:rPr>
        <w:t>, O. and Kim, Y., 2017. Country-level institutions, firm value, and the role of corporate social responsibility initiatives. Journal of International Business Studies, 48(3), pp.360-385.</w:t>
      </w:r>
    </w:p>
    <w:p w14:paraId="3147E032" w14:textId="2D70ABB7" w:rsidR="001A6325" w:rsidRPr="00F25441" w:rsidRDefault="001A6325" w:rsidP="006523DC">
      <w:pPr>
        <w:spacing w:line="276" w:lineRule="auto"/>
        <w:rPr>
          <w:lang w:val="en-US"/>
        </w:rPr>
      </w:pPr>
    </w:p>
    <w:p w14:paraId="5678653E" w14:textId="44067D21" w:rsidR="001A6325" w:rsidRPr="00F25441" w:rsidRDefault="001A6325" w:rsidP="006523DC">
      <w:pPr>
        <w:spacing w:line="276" w:lineRule="auto"/>
        <w:rPr>
          <w:lang w:val="en-US"/>
        </w:rPr>
      </w:pPr>
      <w:r w:rsidRPr="00F25441">
        <w:rPr>
          <w:lang w:val="en-US"/>
        </w:rPr>
        <w:t>Ioannou, I., &amp; Serafeim, G. 2015. The Impact of Corporate Social Responsibility on Investment Recommendations: Analysts’ Perceptions and Shifting Institutional Logics. Strategic Management Journal, July 2015, 36(7): 1053-1081</w:t>
      </w:r>
    </w:p>
    <w:p w14:paraId="3C15A90E" w14:textId="503B9231" w:rsidR="00FB6538" w:rsidRPr="00F25441" w:rsidRDefault="00FB6538" w:rsidP="006523DC">
      <w:pPr>
        <w:spacing w:line="276" w:lineRule="auto"/>
        <w:rPr>
          <w:lang w:val="en-US"/>
        </w:rPr>
      </w:pPr>
    </w:p>
    <w:p w14:paraId="186435B9" w14:textId="5D1E4CEE" w:rsidR="00E45995" w:rsidRPr="00F25441" w:rsidRDefault="00E45995" w:rsidP="00E45995">
      <w:pPr>
        <w:spacing w:line="276" w:lineRule="auto"/>
        <w:rPr>
          <w:lang w:val="en-US"/>
        </w:rPr>
      </w:pPr>
      <w:r w:rsidRPr="00F25441">
        <w:rPr>
          <w:lang w:val="en-US"/>
        </w:rPr>
        <w:t xml:space="preserve"> Jackson, G., &amp; </w:t>
      </w:r>
      <w:proofErr w:type="spellStart"/>
      <w:r w:rsidRPr="00F25441">
        <w:rPr>
          <w:lang w:val="en-US"/>
        </w:rPr>
        <w:t>Apostolakou</w:t>
      </w:r>
      <w:proofErr w:type="spellEnd"/>
      <w:r w:rsidRPr="00F25441">
        <w:rPr>
          <w:lang w:val="en-US"/>
        </w:rPr>
        <w:t>, A. 2010. Corporate social responsibility in Western Europe: An institutional mirror or substitute? Journal of Business Ethics, 94(3): 371–394.</w:t>
      </w:r>
    </w:p>
    <w:p w14:paraId="6E7A20D2" w14:textId="12755667" w:rsidR="00535645" w:rsidRPr="00F25441" w:rsidRDefault="00535645" w:rsidP="00E45995">
      <w:pPr>
        <w:spacing w:line="276" w:lineRule="auto"/>
        <w:rPr>
          <w:lang w:val="en-US"/>
        </w:rPr>
      </w:pPr>
    </w:p>
    <w:p w14:paraId="3A807666" w14:textId="2393698B" w:rsidR="00535645" w:rsidRPr="00F25441" w:rsidRDefault="00535645" w:rsidP="00E45995">
      <w:pPr>
        <w:spacing w:line="276" w:lineRule="auto"/>
        <w:rPr>
          <w:lang w:val="en-US"/>
        </w:rPr>
      </w:pPr>
      <w:r w:rsidRPr="00F25441">
        <w:rPr>
          <w:lang w:val="en-US"/>
        </w:rPr>
        <w:t xml:space="preserve">Loumioti, M., and Serafeim, G. 2022. Issuance and Design of Sustainability-linked Loans. HBS working paper. </w:t>
      </w:r>
    </w:p>
    <w:p w14:paraId="0EE05C24" w14:textId="77777777" w:rsidR="00E45995" w:rsidRPr="00F25441" w:rsidRDefault="00E45995" w:rsidP="006523DC">
      <w:pPr>
        <w:spacing w:line="276" w:lineRule="auto"/>
        <w:rPr>
          <w:lang w:val="en-US"/>
        </w:rPr>
      </w:pPr>
    </w:p>
    <w:p w14:paraId="66E12CD5" w14:textId="16766587" w:rsidR="00FB6538" w:rsidRPr="00F25441" w:rsidRDefault="00FB6538" w:rsidP="006523DC">
      <w:pPr>
        <w:spacing w:line="276" w:lineRule="auto"/>
        <w:rPr>
          <w:lang w:val="en-US"/>
        </w:rPr>
      </w:pPr>
      <w:proofErr w:type="spellStart"/>
      <w:r w:rsidRPr="00F25441">
        <w:rPr>
          <w:lang w:val="en-US"/>
        </w:rPr>
        <w:lastRenderedPageBreak/>
        <w:t>Maignan</w:t>
      </w:r>
      <w:proofErr w:type="spellEnd"/>
      <w:r w:rsidRPr="00F25441">
        <w:rPr>
          <w:lang w:val="en-US"/>
        </w:rPr>
        <w:t>, I., &amp; Ralston, D. A. 2002. Corporate social responsibility in Europe and the US: Insights from businesses’ self-presentations. Journal of International Business Studies, 33(3): 497–515.</w:t>
      </w:r>
    </w:p>
    <w:p w14:paraId="5721A211" w14:textId="40533E97" w:rsidR="00FB6538" w:rsidRPr="00F25441" w:rsidRDefault="00FB6538" w:rsidP="006523DC">
      <w:pPr>
        <w:spacing w:line="276" w:lineRule="auto"/>
        <w:rPr>
          <w:lang w:val="en-US"/>
        </w:rPr>
      </w:pPr>
    </w:p>
    <w:p w14:paraId="54950D95" w14:textId="45407933" w:rsidR="00FB6538" w:rsidRPr="00F25441" w:rsidRDefault="00FB6538" w:rsidP="006523DC">
      <w:pPr>
        <w:spacing w:line="276" w:lineRule="auto"/>
        <w:rPr>
          <w:lang w:val="en-US"/>
        </w:rPr>
      </w:pPr>
      <w:r w:rsidRPr="00F25441">
        <w:rPr>
          <w:lang w:val="en-US"/>
        </w:rPr>
        <w:t>Margolis, J. D., &amp; Walsh, J. P. 2003. Misery loves companies: Rethinking social initiatives by business. Administrative Science Quarterly, 48(2): 268–305.</w:t>
      </w:r>
    </w:p>
    <w:p w14:paraId="55767769" w14:textId="3CCFE7D6" w:rsidR="003027CC" w:rsidRPr="00F25441" w:rsidRDefault="003027CC" w:rsidP="006523DC">
      <w:pPr>
        <w:spacing w:line="276" w:lineRule="auto"/>
        <w:rPr>
          <w:lang w:val="en-US"/>
        </w:rPr>
      </w:pPr>
    </w:p>
    <w:p w14:paraId="6D52AAF5" w14:textId="0EFFEBDE" w:rsidR="003027CC" w:rsidRPr="00F25441" w:rsidRDefault="003027CC" w:rsidP="003027CC">
      <w:pPr>
        <w:spacing w:line="276" w:lineRule="auto"/>
        <w:rPr>
          <w:lang w:val="en-US"/>
        </w:rPr>
      </w:pPr>
      <w:r w:rsidRPr="00F25441">
        <w:rPr>
          <w:lang w:val="en-US"/>
        </w:rPr>
        <w:t>McGahan, A. M., &amp; Porter, M. E. 1997. How much does industry matter, really? Strategic Management Journal, 18(S1): 15–30.</w:t>
      </w:r>
    </w:p>
    <w:p w14:paraId="0B084EF6" w14:textId="77777777" w:rsidR="003027CC" w:rsidRPr="00F25441" w:rsidRDefault="003027CC" w:rsidP="003027CC">
      <w:pPr>
        <w:spacing w:line="276" w:lineRule="auto"/>
        <w:rPr>
          <w:lang w:val="en-US"/>
        </w:rPr>
      </w:pPr>
    </w:p>
    <w:p w14:paraId="0EFDDDC7" w14:textId="17756DBF" w:rsidR="003027CC" w:rsidRPr="00F25441" w:rsidRDefault="003027CC" w:rsidP="003027CC">
      <w:pPr>
        <w:spacing w:line="276" w:lineRule="auto"/>
        <w:rPr>
          <w:lang w:val="en-US"/>
        </w:rPr>
      </w:pPr>
      <w:r w:rsidRPr="00F25441">
        <w:rPr>
          <w:lang w:val="en-US"/>
        </w:rPr>
        <w:t>McGahan, A. M., &amp; Porter, M. E. 2002. What do we know about variance in accounting profitability? Management Science, 48(7): 834–851.</w:t>
      </w:r>
    </w:p>
    <w:p w14:paraId="3EC28B8D" w14:textId="6DC27981" w:rsidR="00FB6538" w:rsidRPr="00F25441" w:rsidRDefault="00FB6538" w:rsidP="006523DC">
      <w:pPr>
        <w:spacing w:line="276" w:lineRule="auto"/>
        <w:rPr>
          <w:lang w:val="en-US"/>
        </w:rPr>
      </w:pPr>
    </w:p>
    <w:p w14:paraId="58BC2CB1" w14:textId="6346F754" w:rsidR="00E45995" w:rsidRPr="00F25441" w:rsidRDefault="00E45995" w:rsidP="006523DC">
      <w:pPr>
        <w:spacing w:line="276" w:lineRule="auto"/>
        <w:rPr>
          <w:lang w:val="en-US"/>
        </w:rPr>
      </w:pPr>
      <w:r w:rsidRPr="00F25441">
        <w:rPr>
          <w:lang w:val="en-US"/>
        </w:rPr>
        <w:t>Ramasamy, B., &amp; Ting, H. W. 2004. A comparative analysis of corporate social responsibility awareness: Malaysian and Singaporean firms. Journal of Corporate Citizenship, 13: 109–123.</w:t>
      </w:r>
    </w:p>
    <w:p w14:paraId="53F50D3F" w14:textId="7B0A1974" w:rsidR="001C4303" w:rsidRPr="00F25441" w:rsidRDefault="001C4303" w:rsidP="006523DC">
      <w:pPr>
        <w:spacing w:line="276" w:lineRule="auto"/>
        <w:rPr>
          <w:lang w:val="en-US"/>
        </w:rPr>
      </w:pPr>
    </w:p>
    <w:p w14:paraId="4D7F62BD" w14:textId="3CEB1A16" w:rsidR="001C4303" w:rsidRPr="00F25441" w:rsidRDefault="001C4303" w:rsidP="001C4303">
      <w:pPr>
        <w:spacing w:line="276" w:lineRule="auto"/>
        <w:rPr>
          <w:lang w:val="en-US"/>
        </w:rPr>
      </w:pPr>
      <w:proofErr w:type="spellStart"/>
      <w:r w:rsidRPr="00F25441">
        <w:rPr>
          <w:lang w:val="en-US"/>
        </w:rPr>
        <w:t>Rathert</w:t>
      </w:r>
      <w:proofErr w:type="spellEnd"/>
      <w:r w:rsidRPr="00F25441">
        <w:rPr>
          <w:lang w:val="en-US"/>
        </w:rPr>
        <w:t>, N. 2016. Strategies of legitimation: MNEs and the adoption of CSR in response to host-country institutions. Journal of International Business Studies, 47(</w:t>
      </w:r>
      <w:r w:rsidR="007749B5" w:rsidRPr="00F25441">
        <w:rPr>
          <w:lang w:val="en-US"/>
        </w:rPr>
        <w:t>7</w:t>
      </w:r>
      <w:r w:rsidRPr="00F25441">
        <w:rPr>
          <w:lang w:val="en-US"/>
        </w:rPr>
        <w:t>):858–879</w:t>
      </w:r>
    </w:p>
    <w:p w14:paraId="4038FBF4" w14:textId="77777777" w:rsidR="00E45995" w:rsidRPr="00F25441" w:rsidRDefault="00E45995" w:rsidP="006523DC">
      <w:pPr>
        <w:spacing w:line="276" w:lineRule="auto"/>
        <w:rPr>
          <w:lang w:val="en-US"/>
        </w:rPr>
      </w:pPr>
    </w:p>
    <w:p w14:paraId="62B06AF8" w14:textId="18729753" w:rsidR="00FB6538" w:rsidRPr="00F25441" w:rsidRDefault="00FB6538" w:rsidP="006523DC">
      <w:pPr>
        <w:spacing w:line="276" w:lineRule="auto"/>
        <w:rPr>
          <w:lang w:val="en-US"/>
        </w:rPr>
      </w:pPr>
      <w:r w:rsidRPr="00F25441">
        <w:rPr>
          <w:lang w:val="en-US"/>
        </w:rPr>
        <w:t xml:space="preserve">Rodriguez, P., </w:t>
      </w:r>
      <w:proofErr w:type="spellStart"/>
      <w:r w:rsidRPr="00F25441">
        <w:rPr>
          <w:lang w:val="en-US"/>
        </w:rPr>
        <w:t>Uhlenbruck</w:t>
      </w:r>
      <w:proofErr w:type="spellEnd"/>
      <w:r w:rsidRPr="00F25441">
        <w:rPr>
          <w:lang w:val="en-US"/>
        </w:rPr>
        <w:t>, K., &amp; Eden, L. 2005. Government corruption and the entry strategies of multinationals. Academy of Management Review, 30(2): 383–396.</w:t>
      </w:r>
    </w:p>
    <w:p w14:paraId="3A7CBE23" w14:textId="77777777" w:rsidR="00FB6538" w:rsidRPr="00F25441" w:rsidRDefault="00FB6538" w:rsidP="006523DC">
      <w:pPr>
        <w:spacing w:line="276" w:lineRule="auto"/>
        <w:rPr>
          <w:lang w:val="en-US"/>
        </w:rPr>
      </w:pPr>
    </w:p>
    <w:p w14:paraId="527BD84F" w14:textId="229DF9C4" w:rsidR="006523DC" w:rsidRPr="00F25441" w:rsidRDefault="006523DC" w:rsidP="006523DC">
      <w:pPr>
        <w:spacing w:line="276" w:lineRule="auto"/>
        <w:rPr>
          <w:lang w:val="en-US"/>
        </w:rPr>
      </w:pPr>
      <w:r w:rsidRPr="00F25441">
        <w:rPr>
          <w:lang w:val="en-US"/>
        </w:rPr>
        <w:t>Rodriguez, P., Siegel, D.S., Hillman, A. and Eden, L., 2006. Three lenses on the multinational enterprise: Politics, corruption, and corporate social responsibility. Journal of international business studies, 37(6), pp.733-746.</w:t>
      </w:r>
    </w:p>
    <w:p w14:paraId="21839E03" w14:textId="515194D8" w:rsidR="003027CC" w:rsidRPr="00F25441" w:rsidRDefault="003027CC" w:rsidP="006523DC">
      <w:pPr>
        <w:spacing w:line="276" w:lineRule="auto"/>
        <w:rPr>
          <w:lang w:val="en-US"/>
        </w:rPr>
      </w:pPr>
    </w:p>
    <w:p w14:paraId="41C80A0F" w14:textId="3B8A5736" w:rsidR="003027CC" w:rsidRPr="00F25441" w:rsidRDefault="003027CC" w:rsidP="006523DC">
      <w:pPr>
        <w:spacing w:line="276" w:lineRule="auto"/>
        <w:rPr>
          <w:lang w:val="en-US"/>
        </w:rPr>
      </w:pPr>
      <w:proofErr w:type="spellStart"/>
      <w:r w:rsidRPr="00F25441">
        <w:rPr>
          <w:lang w:val="en-US"/>
        </w:rPr>
        <w:t>Rumelt</w:t>
      </w:r>
      <w:proofErr w:type="spellEnd"/>
      <w:r w:rsidRPr="00F25441">
        <w:rPr>
          <w:lang w:val="en-US"/>
        </w:rPr>
        <w:t>, R. P. 1991. How much does industry matter? Strategic Management Journal, 12(3): 167–185.</w:t>
      </w:r>
    </w:p>
    <w:p w14:paraId="7DE1F2BC" w14:textId="5E25DCC2" w:rsidR="00E45995" w:rsidRPr="00F25441" w:rsidRDefault="00E45995" w:rsidP="006523DC">
      <w:pPr>
        <w:spacing w:line="276" w:lineRule="auto"/>
        <w:rPr>
          <w:lang w:val="en-US"/>
        </w:rPr>
      </w:pPr>
    </w:p>
    <w:p w14:paraId="6D92E9B2" w14:textId="4B6BE8C5" w:rsidR="00887DF9" w:rsidRPr="00F25441" w:rsidRDefault="00887DF9" w:rsidP="006523DC">
      <w:pPr>
        <w:spacing w:line="276" w:lineRule="auto"/>
        <w:rPr>
          <w:lang w:val="en-US"/>
        </w:rPr>
      </w:pPr>
      <w:proofErr w:type="spellStart"/>
      <w:r w:rsidRPr="00F25441">
        <w:rPr>
          <w:lang w:val="en-US"/>
        </w:rPr>
        <w:t>Tashman</w:t>
      </w:r>
      <w:proofErr w:type="spellEnd"/>
      <w:r w:rsidRPr="00F25441">
        <w:rPr>
          <w:lang w:val="en-US"/>
        </w:rPr>
        <w:t xml:space="preserve">, P., </w:t>
      </w:r>
      <w:proofErr w:type="spellStart"/>
      <w:r w:rsidRPr="00F25441">
        <w:rPr>
          <w:lang w:val="en-US"/>
        </w:rPr>
        <w:t>Marano</w:t>
      </w:r>
      <w:proofErr w:type="spellEnd"/>
      <w:r w:rsidRPr="00F25441">
        <w:rPr>
          <w:lang w:val="en-US"/>
        </w:rPr>
        <w:t xml:space="preserve">, V. and </w:t>
      </w:r>
      <w:proofErr w:type="spellStart"/>
      <w:r w:rsidRPr="00F25441">
        <w:rPr>
          <w:lang w:val="en-US"/>
        </w:rPr>
        <w:t>Kostova</w:t>
      </w:r>
      <w:proofErr w:type="spellEnd"/>
      <w:r w:rsidRPr="00F25441">
        <w:rPr>
          <w:lang w:val="en-US"/>
        </w:rPr>
        <w:t>, T., 2019. Walking the walk or talking the talk? Corporate social responsibility decoupling in emerging market multinationals. Journal of International Business Studies, 50(2), pp.153-171.</w:t>
      </w:r>
    </w:p>
    <w:p w14:paraId="66DD983A" w14:textId="77777777" w:rsidR="00887DF9" w:rsidRPr="00F25441" w:rsidRDefault="00887DF9" w:rsidP="006523DC">
      <w:pPr>
        <w:spacing w:line="276" w:lineRule="auto"/>
        <w:rPr>
          <w:lang w:val="en-US"/>
        </w:rPr>
      </w:pPr>
    </w:p>
    <w:p w14:paraId="483B2F01" w14:textId="1681F351" w:rsidR="00E45995" w:rsidRPr="00F25441" w:rsidRDefault="00E45995" w:rsidP="006523DC">
      <w:pPr>
        <w:spacing w:line="276" w:lineRule="auto"/>
        <w:rPr>
          <w:lang w:val="en-US"/>
        </w:rPr>
      </w:pPr>
      <w:r w:rsidRPr="00F25441">
        <w:rPr>
          <w:lang w:val="en-US"/>
        </w:rPr>
        <w:t>Welford, R. 2004. Corporate social responsibility in Europe and Asia: Critical elements and best practice. Journal of Corporate Citizenship, 13: 31–47.</w:t>
      </w:r>
    </w:p>
    <w:p w14:paraId="46A903D3" w14:textId="5D048B72" w:rsidR="00FB6538" w:rsidRPr="00F25441" w:rsidRDefault="00FB6538" w:rsidP="006523DC">
      <w:pPr>
        <w:spacing w:line="276" w:lineRule="auto"/>
        <w:rPr>
          <w:lang w:val="en-US"/>
        </w:rPr>
      </w:pPr>
    </w:p>
    <w:p w14:paraId="12666D6F" w14:textId="04B7BF21" w:rsidR="00FB6538" w:rsidRPr="00F25441" w:rsidRDefault="00FB6538" w:rsidP="006523DC">
      <w:pPr>
        <w:spacing w:line="276" w:lineRule="auto"/>
        <w:rPr>
          <w:lang w:val="en-US"/>
        </w:rPr>
      </w:pPr>
      <w:r w:rsidRPr="00F25441">
        <w:rPr>
          <w:lang w:val="en-US"/>
        </w:rPr>
        <w:t xml:space="preserve">Whitley, R. 1997. Business systems. In A. Sorge &amp; M. Warner (Eds), The IEBM handbook of organizational </w:t>
      </w:r>
      <w:proofErr w:type="spellStart"/>
      <w:r w:rsidRPr="00F25441">
        <w:rPr>
          <w:lang w:val="en-US"/>
        </w:rPr>
        <w:t>behaviour</w:t>
      </w:r>
      <w:proofErr w:type="spellEnd"/>
      <w:r w:rsidRPr="00F25441">
        <w:rPr>
          <w:lang w:val="en-US"/>
        </w:rPr>
        <w:t>: 173– 186. London: International Thomson Business Press.</w:t>
      </w:r>
    </w:p>
    <w:p w14:paraId="182C076B" w14:textId="6C2550B6" w:rsidR="00096536" w:rsidRPr="00F25441" w:rsidRDefault="00096536" w:rsidP="006523DC">
      <w:pPr>
        <w:spacing w:line="276" w:lineRule="auto"/>
        <w:rPr>
          <w:lang w:val="en-US"/>
        </w:rPr>
      </w:pPr>
    </w:p>
    <w:p w14:paraId="6E9642D6" w14:textId="4DDBD767" w:rsidR="00096536" w:rsidRDefault="00096536" w:rsidP="006523DC">
      <w:pPr>
        <w:spacing w:line="276" w:lineRule="auto"/>
        <w:rPr>
          <w:lang w:val="en-US"/>
        </w:rPr>
      </w:pPr>
      <w:r w:rsidRPr="00F25441">
        <w:rPr>
          <w:lang w:val="en-US"/>
        </w:rPr>
        <w:t>Whitley, R. 1999. Divergent capitalisms: The social structuring and change of business systems. Oxford: Oxford University Press.</w:t>
      </w:r>
    </w:p>
    <w:p w14:paraId="05E37964" w14:textId="4FC68F10" w:rsidR="006609E0" w:rsidRDefault="006609E0" w:rsidP="006523DC">
      <w:pPr>
        <w:spacing w:line="276" w:lineRule="auto"/>
        <w:rPr>
          <w:lang w:val="en-US"/>
        </w:rPr>
      </w:pPr>
    </w:p>
    <w:p w14:paraId="0F6B380D" w14:textId="09957362" w:rsidR="006609E0" w:rsidRPr="00F25441" w:rsidRDefault="006609E0" w:rsidP="006523DC">
      <w:pPr>
        <w:spacing w:line="276" w:lineRule="auto"/>
        <w:rPr>
          <w:lang w:val="en-US"/>
        </w:rPr>
      </w:pPr>
      <w:r w:rsidRPr="006609E0">
        <w:rPr>
          <w:lang w:val="en-US"/>
        </w:rPr>
        <w:lastRenderedPageBreak/>
        <w:t>Wood, D. J. 1991. Corporate social performance revisited. Academy of Management Review, 16(4): 691–718.</w:t>
      </w:r>
    </w:p>
    <w:sectPr w:rsidR="006609E0" w:rsidRPr="00F25441" w:rsidSect="003E4F1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5D61" w14:textId="77777777" w:rsidR="005037B0" w:rsidRDefault="005037B0" w:rsidP="002C44D9">
      <w:r>
        <w:separator/>
      </w:r>
    </w:p>
  </w:endnote>
  <w:endnote w:type="continuationSeparator" w:id="0">
    <w:p w14:paraId="02725E12" w14:textId="77777777" w:rsidR="005037B0" w:rsidRDefault="005037B0" w:rsidP="002C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464022"/>
      <w:docPartObj>
        <w:docPartGallery w:val="Page Numbers (Bottom of Page)"/>
        <w:docPartUnique/>
      </w:docPartObj>
    </w:sdtPr>
    <w:sdtContent>
      <w:p w14:paraId="73897390" w14:textId="145E4104" w:rsidR="002C44D9" w:rsidRDefault="002C44D9" w:rsidP="00F471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D5743" w14:textId="77777777" w:rsidR="002C44D9" w:rsidRDefault="002C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712376"/>
      <w:docPartObj>
        <w:docPartGallery w:val="Page Numbers (Bottom of Page)"/>
        <w:docPartUnique/>
      </w:docPartObj>
    </w:sdtPr>
    <w:sdtContent>
      <w:p w14:paraId="3E8DF72F" w14:textId="23022CA3" w:rsidR="002C44D9" w:rsidRDefault="002C44D9" w:rsidP="00F471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DF74BA" w14:textId="77777777" w:rsidR="002C44D9" w:rsidRDefault="002C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D64C" w14:textId="77777777" w:rsidR="005037B0" w:rsidRDefault="005037B0" w:rsidP="002C44D9">
      <w:r>
        <w:separator/>
      </w:r>
    </w:p>
  </w:footnote>
  <w:footnote w:type="continuationSeparator" w:id="0">
    <w:p w14:paraId="1BDEEDA7" w14:textId="77777777" w:rsidR="005037B0" w:rsidRDefault="005037B0" w:rsidP="002C44D9">
      <w:r>
        <w:continuationSeparator/>
      </w:r>
    </w:p>
  </w:footnote>
  <w:footnote w:id="1">
    <w:p w14:paraId="79982D69" w14:textId="1D08DDE6" w:rsidR="006609E0" w:rsidRDefault="006609E0" w:rsidP="006609E0">
      <w:pPr>
        <w:pStyle w:val="FootnoteText"/>
        <w:jc w:val="both"/>
      </w:pPr>
      <w:r>
        <w:rPr>
          <w:rStyle w:val="FootnoteReference"/>
        </w:rPr>
        <w:footnoteRef/>
      </w:r>
      <w:r>
        <w:t xml:space="preserve"> We </w:t>
      </w:r>
      <w:r w:rsidRPr="006609E0">
        <w:t>follow</w:t>
      </w:r>
      <w:r>
        <w:t>ed</w:t>
      </w:r>
      <w:r w:rsidRPr="006609E0">
        <w:t xml:space="preserve"> Wood (1991: 693) in defining CSP as “a business organization’s configuration of principles of social responsibility, processes of social responsiveness, and policies, programs, and observable outcomes as they relate to the</w:t>
      </w:r>
      <w:r>
        <w:t xml:space="preserve"> firm’s societal relationships.”</w:t>
      </w:r>
    </w:p>
  </w:footnote>
  <w:footnote w:id="2">
    <w:p w14:paraId="3D701739" w14:textId="14A343F8" w:rsidR="00D53D9B" w:rsidRPr="0049772D" w:rsidRDefault="00D53D9B" w:rsidP="0049772D">
      <w:pPr>
        <w:pStyle w:val="FootnoteText"/>
        <w:rPr>
          <w:lang w:val="en-US"/>
        </w:rPr>
      </w:pPr>
      <w:r>
        <w:rPr>
          <w:rStyle w:val="FootnoteReference"/>
        </w:rPr>
        <w:footnoteRef/>
      </w:r>
      <w:r>
        <w:t xml:space="preserve"> </w:t>
      </w:r>
      <w:r>
        <w:rPr>
          <w:lang w:val="en-US"/>
        </w:rPr>
        <w:t xml:space="preserve">UN SSE: </w:t>
      </w:r>
      <w:hyperlink r:id="rId1" w:history="1">
        <w:r w:rsidRPr="00A70577">
          <w:rPr>
            <w:rStyle w:val="Hyperlink"/>
            <w:lang w:val="en-US"/>
          </w:rPr>
          <w:t>https://sseinitiative.org/</w:t>
        </w:r>
      </w:hyperlink>
      <w:r>
        <w:rPr>
          <w:lang w:val="en-US"/>
        </w:rPr>
        <w:t xml:space="preserve">. </w:t>
      </w:r>
    </w:p>
  </w:footnote>
  <w:footnote w:id="3">
    <w:p w14:paraId="473F155D" w14:textId="77777777" w:rsidR="000E245F" w:rsidRPr="00454F77" w:rsidRDefault="000E245F" w:rsidP="0049772D">
      <w:pPr>
        <w:pStyle w:val="FootnoteText"/>
        <w:rPr>
          <w:lang w:val="en-US"/>
        </w:rPr>
      </w:pPr>
      <w:r>
        <w:rPr>
          <w:rStyle w:val="FootnoteReference"/>
        </w:rPr>
        <w:footnoteRef/>
      </w:r>
      <w:r>
        <w:t xml:space="preserve"> </w:t>
      </w:r>
      <w:r>
        <w:rPr>
          <w:lang w:val="en-US"/>
        </w:rPr>
        <w:t xml:space="preserve">Global Sustainable Investment Alliance 2020 Report: </w:t>
      </w:r>
      <w:hyperlink r:id="rId2" w:history="1">
        <w:r w:rsidRPr="00180F41">
          <w:rPr>
            <w:rStyle w:val="Hyperlink"/>
            <w:lang w:val="en-US"/>
          </w:rPr>
          <w:t>http://www.gsi-alliance.org/wp-content/uploads/2021/08/GSIR-20201.pdf</w:t>
        </w:r>
      </w:hyperlink>
      <w:r>
        <w:rPr>
          <w:lang w:val="en-US"/>
        </w:rPr>
        <w:t xml:space="preserve"> </w:t>
      </w:r>
    </w:p>
  </w:footnote>
  <w:footnote w:id="4">
    <w:p w14:paraId="01DDE199" w14:textId="4F3AA010" w:rsidR="006E1AF6" w:rsidRDefault="006E1AF6">
      <w:pPr>
        <w:pStyle w:val="FootnoteText"/>
      </w:pPr>
      <w:r>
        <w:rPr>
          <w:rStyle w:val="FootnoteReference"/>
        </w:rPr>
        <w:footnoteRef/>
      </w:r>
      <w:r>
        <w:t xml:space="preserve"> </w:t>
      </w:r>
      <w:r w:rsidRPr="00F170EC">
        <w:rPr>
          <w:sz w:val="16"/>
          <w:szCs w:val="16"/>
        </w:rPr>
        <w:t>https://www.theguardian.com/us-news/2022/sep/13/the-strain-is-the-worst-of-my-lifetime-how-bill-gates-is-staying-optimistic</w:t>
      </w:r>
    </w:p>
  </w:footnote>
  <w:footnote w:id="5">
    <w:p w14:paraId="1D58432D" w14:textId="30C747BE" w:rsidR="00EE4298" w:rsidRDefault="00EE4298">
      <w:pPr>
        <w:pStyle w:val="FootnoteText"/>
      </w:pPr>
      <w:r>
        <w:rPr>
          <w:rStyle w:val="FootnoteReference"/>
        </w:rPr>
        <w:footnoteRef/>
      </w:r>
      <w:r>
        <w:t xml:space="preserve"> </w:t>
      </w:r>
      <w:r w:rsidRPr="00F170EC">
        <w:rPr>
          <w:sz w:val="16"/>
          <w:szCs w:val="16"/>
        </w:rPr>
        <w:t>https://www.oecd.org/about/secretary-general/global-outlook-on-financing-for-sustainable-development.htm#:~:text=The%202021%20OECD%20Global%20Outlook%20suggests%20that%20annual%20SDG%20financing,of%20sustainable%20and%20inclusive%20development.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01FF"/>
    <w:multiLevelType w:val="hybridMultilevel"/>
    <w:tmpl w:val="A36E620A"/>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957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D9"/>
    <w:rsid w:val="00011BB8"/>
    <w:rsid w:val="0002545A"/>
    <w:rsid w:val="00025AC4"/>
    <w:rsid w:val="000273D8"/>
    <w:rsid w:val="00035209"/>
    <w:rsid w:val="00035AA0"/>
    <w:rsid w:val="00051BA4"/>
    <w:rsid w:val="0005464F"/>
    <w:rsid w:val="0006076B"/>
    <w:rsid w:val="00063444"/>
    <w:rsid w:val="00065384"/>
    <w:rsid w:val="00066D76"/>
    <w:rsid w:val="00070ADB"/>
    <w:rsid w:val="00071A0E"/>
    <w:rsid w:val="00073791"/>
    <w:rsid w:val="00083C09"/>
    <w:rsid w:val="00096536"/>
    <w:rsid w:val="00096D7D"/>
    <w:rsid w:val="000972F1"/>
    <w:rsid w:val="000A44BD"/>
    <w:rsid w:val="000A6B0C"/>
    <w:rsid w:val="000B17DF"/>
    <w:rsid w:val="000C06E4"/>
    <w:rsid w:val="000C1E56"/>
    <w:rsid w:val="000D4A4F"/>
    <w:rsid w:val="000E1398"/>
    <w:rsid w:val="000E245F"/>
    <w:rsid w:val="000E4EA8"/>
    <w:rsid w:val="000F757F"/>
    <w:rsid w:val="00101AFF"/>
    <w:rsid w:val="001025F2"/>
    <w:rsid w:val="00113145"/>
    <w:rsid w:val="00121745"/>
    <w:rsid w:val="00126C27"/>
    <w:rsid w:val="00142712"/>
    <w:rsid w:val="0014523A"/>
    <w:rsid w:val="00160D1A"/>
    <w:rsid w:val="0016200C"/>
    <w:rsid w:val="00162882"/>
    <w:rsid w:val="001651F3"/>
    <w:rsid w:val="00180AD7"/>
    <w:rsid w:val="00195795"/>
    <w:rsid w:val="001A6325"/>
    <w:rsid w:val="001C19F0"/>
    <w:rsid w:val="001C2803"/>
    <w:rsid w:val="001C4303"/>
    <w:rsid w:val="001C524E"/>
    <w:rsid w:val="001C6A22"/>
    <w:rsid w:val="001D2C2D"/>
    <w:rsid w:val="001D7EC1"/>
    <w:rsid w:val="00201BDD"/>
    <w:rsid w:val="00210B28"/>
    <w:rsid w:val="002122AB"/>
    <w:rsid w:val="00216CA3"/>
    <w:rsid w:val="002267D4"/>
    <w:rsid w:val="002272B0"/>
    <w:rsid w:val="00232862"/>
    <w:rsid w:val="0023440C"/>
    <w:rsid w:val="00245570"/>
    <w:rsid w:val="00247857"/>
    <w:rsid w:val="002518CD"/>
    <w:rsid w:val="00263D5F"/>
    <w:rsid w:val="002657DC"/>
    <w:rsid w:val="00280E6A"/>
    <w:rsid w:val="00284171"/>
    <w:rsid w:val="00287B32"/>
    <w:rsid w:val="00292CE6"/>
    <w:rsid w:val="002A2AD9"/>
    <w:rsid w:val="002A5024"/>
    <w:rsid w:val="002A5286"/>
    <w:rsid w:val="002A76AE"/>
    <w:rsid w:val="002C44D9"/>
    <w:rsid w:val="002D0FE7"/>
    <w:rsid w:val="002D1282"/>
    <w:rsid w:val="002D5C7D"/>
    <w:rsid w:val="002F2401"/>
    <w:rsid w:val="002F2DD3"/>
    <w:rsid w:val="002F7C43"/>
    <w:rsid w:val="003027CC"/>
    <w:rsid w:val="00323A23"/>
    <w:rsid w:val="00327A38"/>
    <w:rsid w:val="00337FA0"/>
    <w:rsid w:val="003408F1"/>
    <w:rsid w:val="00340FAF"/>
    <w:rsid w:val="0034360E"/>
    <w:rsid w:val="00356EC3"/>
    <w:rsid w:val="00356FB6"/>
    <w:rsid w:val="00371A00"/>
    <w:rsid w:val="00376C54"/>
    <w:rsid w:val="00382090"/>
    <w:rsid w:val="00383C1D"/>
    <w:rsid w:val="00384F70"/>
    <w:rsid w:val="003A188B"/>
    <w:rsid w:val="003A2210"/>
    <w:rsid w:val="003A40B8"/>
    <w:rsid w:val="003C412B"/>
    <w:rsid w:val="003D3AE9"/>
    <w:rsid w:val="003D7AD1"/>
    <w:rsid w:val="003E3A25"/>
    <w:rsid w:val="003E4F13"/>
    <w:rsid w:val="0042390E"/>
    <w:rsid w:val="004374DC"/>
    <w:rsid w:val="00443B9D"/>
    <w:rsid w:val="004445AC"/>
    <w:rsid w:val="004453EB"/>
    <w:rsid w:val="00463F1A"/>
    <w:rsid w:val="00467424"/>
    <w:rsid w:val="00467653"/>
    <w:rsid w:val="0049772D"/>
    <w:rsid w:val="004A1567"/>
    <w:rsid w:val="004A3732"/>
    <w:rsid w:val="004B2EE2"/>
    <w:rsid w:val="004B548E"/>
    <w:rsid w:val="004C1D6E"/>
    <w:rsid w:val="004C4E4D"/>
    <w:rsid w:val="004C745E"/>
    <w:rsid w:val="004D5D40"/>
    <w:rsid w:val="004D6AFD"/>
    <w:rsid w:val="004E3163"/>
    <w:rsid w:val="004E33B0"/>
    <w:rsid w:val="0050059A"/>
    <w:rsid w:val="005037B0"/>
    <w:rsid w:val="00504416"/>
    <w:rsid w:val="005075BE"/>
    <w:rsid w:val="00507B78"/>
    <w:rsid w:val="00513057"/>
    <w:rsid w:val="005168E5"/>
    <w:rsid w:val="0052079A"/>
    <w:rsid w:val="005241B9"/>
    <w:rsid w:val="00527B0F"/>
    <w:rsid w:val="00535645"/>
    <w:rsid w:val="00540166"/>
    <w:rsid w:val="005426B8"/>
    <w:rsid w:val="00542E68"/>
    <w:rsid w:val="00544DA0"/>
    <w:rsid w:val="005535A2"/>
    <w:rsid w:val="00575F83"/>
    <w:rsid w:val="005879D7"/>
    <w:rsid w:val="00590981"/>
    <w:rsid w:val="005A1C56"/>
    <w:rsid w:val="005A556C"/>
    <w:rsid w:val="005A61ED"/>
    <w:rsid w:val="005A6FD9"/>
    <w:rsid w:val="005C7863"/>
    <w:rsid w:val="005D6E1E"/>
    <w:rsid w:val="00616A18"/>
    <w:rsid w:val="006317B9"/>
    <w:rsid w:val="00640952"/>
    <w:rsid w:val="00647EC1"/>
    <w:rsid w:val="006523DC"/>
    <w:rsid w:val="006609E0"/>
    <w:rsid w:val="006777A4"/>
    <w:rsid w:val="00683D80"/>
    <w:rsid w:val="00695959"/>
    <w:rsid w:val="006A7C3C"/>
    <w:rsid w:val="006C177A"/>
    <w:rsid w:val="006C32B1"/>
    <w:rsid w:val="006C384E"/>
    <w:rsid w:val="006D0526"/>
    <w:rsid w:val="006E01DE"/>
    <w:rsid w:val="006E16C8"/>
    <w:rsid w:val="006E1AF6"/>
    <w:rsid w:val="006E236B"/>
    <w:rsid w:val="006E577E"/>
    <w:rsid w:val="006E785A"/>
    <w:rsid w:val="00703F6D"/>
    <w:rsid w:val="00710095"/>
    <w:rsid w:val="00713C90"/>
    <w:rsid w:val="00726A9F"/>
    <w:rsid w:val="007305ED"/>
    <w:rsid w:val="0073190E"/>
    <w:rsid w:val="00745DB8"/>
    <w:rsid w:val="00751F07"/>
    <w:rsid w:val="0075662A"/>
    <w:rsid w:val="00756BAB"/>
    <w:rsid w:val="00767037"/>
    <w:rsid w:val="007745E0"/>
    <w:rsid w:val="007749B5"/>
    <w:rsid w:val="00774FE9"/>
    <w:rsid w:val="0078212E"/>
    <w:rsid w:val="00783327"/>
    <w:rsid w:val="00784E46"/>
    <w:rsid w:val="007A0A70"/>
    <w:rsid w:val="007A1632"/>
    <w:rsid w:val="007B00A5"/>
    <w:rsid w:val="007B620F"/>
    <w:rsid w:val="007C35C9"/>
    <w:rsid w:val="007C390D"/>
    <w:rsid w:val="007D1FF2"/>
    <w:rsid w:val="007D6805"/>
    <w:rsid w:val="007E58BA"/>
    <w:rsid w:val="007F1E77"/>
    <w:rsid w:val="007F3859"/>
    <w:rsid w:val="007F3E6A"/>
    <w:rsid w:val="008034DF"/>
    <w:rsid w:val="008052F0"/>
    <w:rsid w:val="00807B4C"/>
    <w:rsid w:val="00827BFB"/>
    <w:rsid w:val="00832D68"/>
    <w:rsid w:val="00834146"/>
    <w:rsid w:val="00835948"/>
    <w:rsid w:val="0083710D"/>
    <w:rsid w:val="00844AB4"/>
    <w:rsid w:val="008508FB"/>
    <w:rsid w:val="0085435C"/>
    <w:rsid w:val="00860090"/>
    <w:rsid w:val="00876FA6"/>
    <w:rsid w:val="00877E50"/>
    <w:rsid w:val="00882EF0"/>
    <w:rsid w:val="00887DF9"/>
    <w:rsid w:val="00895BF3"/>
    <w:rsid w:val="008A3AF6"/>
    <w:rsid w:val="008A3BDD"/>
    <w:rsid w:val="008F3A29"/>
    <w:rsid w:val="00902244"/>
    <w:rsid w:val="00910767"/>
    <w:rsid w:val="009121FD"/>
    <w:rsid w:val="00912C2B"/>
    <w:rsid w:val="009156F5"/>
    <w:rsid w:val="009508AD"/>
    <w:rsid w:val="00952165"/>
    <w:rsid w:val="00976E6E"/>
    <w:rsid w:val="009C2812"/>
    <w:rsid w:val="009C426B"/>
    <w:rsid w:val="009E23B1"/>
    <w:rsid w:val="009E2D90"/>
    <w:rsid w:val="009E357E"/>
    <w:rsid w:val="009E4311"/>
    <w:rsid w:val="009F1B5F"/>
    <w:rsid w:val="009F5A19"/>
    <w:rsid w:val="009F6A73"/>
    <w:rsid w:val="009F6EE6"/>
    <w:rsid w:val="00A02BE1"/>
    <w:rsid w:val="00A05A3A"/>
    <w:rsid w:val="00A24946"/>
    <w:rsid w:val="00A276B7"/>
    <w:rsid w:val="00A276BA"/>
    <w:rsid w:val="00A2791F"/>
    <w:rsid w:val="00A36E7A"/>
    <w:rsid w:val="00A40522"/>
    <w:rsid w:val="00A4446F"/>
    <w:rsid w:val="00A47D05"/>
    <w:rsid w:val="00A61321"/>
    <w:rsid w:val="00A64BAF"/>
    <w:rsid w:val="00A707F3"/>
    <w:rsid w:val="00A71820"/>
    <w:rsid w:val="00A95DB6"/>
    <w:rsid w:val="00AA08F7"/>
    <w:rsid w:val="00AA0913"/>
    <w:rsid w:val="00AA53D9"/>
    <w:rsid w:val="00AA6BD9"/>
    <w:rsid w:val="00AC6B35"/>
    <w:rsid w:val="00AE226A"/>
    <w:rsid w:val="00AE276B"/>
    <w:rsid w:val="00AE340B"/>
    <w:rsid w:val="00AE5117"/>
    <w:rsid w:val="00AF15D6"/>
    <w:rsid w:val="00B119EE"/>
    <w:rsid w:val="00B21A53"/>
    <w:rsid w:val="00B22D1E"/>
    <w:rsid w:val="00B233ED"/>
    <w:rsid w:val="00B23640"/>
    <w:rsid w:val="00B23ED9"/>
    <w:rsid w:val="00B269CB"/>
    <w:rsid w:val="00B26FE0"/>
    <w:rsid w:val="00B31B9B"/>
    <w:rsid w:val="00B40050"/>
    <w:rsid w:val="00B837BF"/>
    <w:rsid w:val="00B84D1A"/>
    <w:rsid w:val="00B85277"/>
    <w:rsid w:val="00B87E54"/>
    <w:rsid w:val="00B93E00"/>
    <w:rsid w:val="00B94082"/>
    <w:rsid w:val="00BA58EA"/>
    <w:rsid w:val="00BC0A42"/>
    <w:rsid w:val="00BC2B0B"/>
    <w:rsid w:val="00BD462D"/>
    <w:rsid w:val="00BF2F29"/>
    <w:rsid w:val="00BF631B"/>
    <w:rsid w:val="00C11617"/>
    <w:rsid w:val="00C1217C"/>
    <w:rsid w:val="00C13F69"/>
    <w:rsid w:val="00C20BDF"/>
    <w:rsid w:val="00C225F8"/>
    <w:rsid w:val="00C23F36"/>
    <w:rsid w:val="00C24546"/>
    <w:rsid w:val="00C27643"/>
    <w:rsid w:val="00C30E50"/>
    <w:rsid w:val="00C32E74"/>
    <w:rsid w:val="00C64D93"/>
    <w:rsid w:val="00C77AA9"/>
    <w:rsid w:val="00C86C04"/>
    <w:rsid w:val="00C919B7"/>
    <w:rsid w:val="00CB7EA4"/>
    <w:rsid w:val="00CC504F"/>
    <w:rsid w:val="00CC61F6"/>
    <w:rsid w:val="00CD378B"/>
    <w:rsid w:val="00CE2FF0"/>
    <w:rsid w:val="00CF597C"/>
    <w:rsid w:val="00D15759"/>
    <w:rsid w:val="00D22DEE"/>
    <w:rsid w:val="00D24BDA"/>
    <w:rsid w:val="00D25D2F"/>
    <w:rsid w:val="00D27B47"/>
    <w:rsid w:val="00D314B3"/>
    <w:rsid w:val="00D33D58"/>
    <w:rsid w:val="00D53D9B"/>
    <w:rsid w:val="00D54047"/>
    <w:rsid w:val="00D62E96"/>
    <w:rsid w:val="00D63962"/>
    <w:rsid w:val="00D63B9A"/>
    <w:rsid w:val="00D63F69"/>
    <w:rsid w:val="00D678E9"/>
    <w:rsid w:val="00D92E50"/>
    <w:rsid w:val="00D96CEA"/>
    <w:rsid w:val="00DA1EE0"/>
    <w:rsid w:val="00DB091F"/>
    <w:rsid w:val="00DB52E7"/>
    <w:rsid w:val="00DC0EEE"/>
    <w:rsid w:val="00DC3394"/>
    <w:rsid w:val="00DC7633"/>
    <w:rsid w:val="00DD1BBC"/>
    <w:rsid w:val="00DD1D9D"/>
    <w:rsid w:val="00DD5343"/>
    <w:rsid w:val="00DD6B09"/>
    <w:rsid w:val="00DE03DB"/>
    <w:rsid w:val="00DE57AC"/>
    <w:rsid w:val="00DF4DCE"/>
    <w:rsid w:val="00DF7ADA"/>
    <w:rsid w:val="00E1038D"/>
    <w:rsid w:val="00E21899"/>
    <w:rsid w:val="00E23A70"/>
    <w:rsid w:val="00E40C33"/>
    <w:rsid w:val="00E41FAC"/>
    <w:rsid w:val="00E44D94"/>
    <w:rsid w:val="00E45995"/>
    <w:rsid w:val="00E5161E"/>
    <w:rsid w:val="00E5270F"/>
    <w:rsid w:val="00E53723"/>
    <w:rsid w:val="00E561A0"/>
    <w:rsid w:val="00E6520D"/>
    <w:rsid w:val="00E7051F"/>
    <w:rsid w:val="00E73D3C"/>
    <w:rsid w:val="00E73D47"/>
    <w:rsid w:val="00E976D2"/>
    <w:rsid w:val="00EA6A52"/>
    <w:rsid w:val="00EC29B9"/>
    <w:rsid w:val="00ED621D"/>
    <w:rsid w:val="00EE4298"/>
    <w:rsid w:val="00EE7E52"/>
    <w:rsid w:val="00EF3BB9"/>
    <w:rsid w:val="00F00B53"/>
    <w:rsid w:val="00F03F02"/>
    <w:rsid w:val="00F151F4"/>
    <w:rsid w:val="00F170EC"/>
    <w:rsid w:val="00F20BE4"/>
    <w:rsid w:val="00F25441"/>
    <w:rsid w:val="00F26AFD"/>
    <w:rsid w:val="00F4768A"/>
    <w:rsid w:val="00F507D1"/>
    <w:rsid w:val="00F51554"/>
    <w:rsid w:val="00F54A89"/>
    <w:rsid w:val="00F71A6F"/>
    <w:rsid w:val="00F868FA"/>
    <w:rsid w:val="00F91D08"/>
    <w:rsid w:val="00F9464B"/>
    <w:rsid w:val="00FA186B"/>
    <w:rsid w:val="00FA3601"/>
    <w:rsid w:val="00FB38C3"/>
    <w:rsid w:val="00FB46A1"/>
    <w:rsid w:val="00FB6538"/>
    <w:rsid w:val="00FC1220"/>
    <w:rsid w:val="00FC173B"/>
    <w:rsid w:val="00FC4B36"/>
    <w:rsid w:val="00FC7849"/>
    <w:rsid w:val="00FD179F"/>
    <w:rsid w:val="00FD193C"/>
    <w:rsid w:val="00FE406D"/>
    <w:rsid w:val="00FE6AD8"/>
    <w:rsid w:val="00FF1782"/>
    <w:rsid w:val="00FF26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49"/>
  <w14:defaultImageDpi w14:val="32767"/>
  <w15:chartTrackingRefBased/>
  <w15:docId w15:val="{5A5873B2-6DC2-DE45-8EA5-DDB78F67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qFormat/>
    <w:rsid w:val="004D5D40"/>
    <w:pPr>
      <w:pBdr>
        <w:left w:val="single" w:sz="4" w:space="4" w:color="auto"/>
      </w:pBdr>
      <w:ind w:left="720"/>
      <w:jc w:val="both"/>
    </w:pPr>
    <w:rPr>
      <w:rFonts w:eastAsiaTheme="minorEastAsia" w:cstheme="minorBidi"/>
      <w:b/>
      <w:sz w:val="22"/>
      <w:szCs w:val="24"/>
      <w:lang w:val="en-US" w:eastAsia="ja-JP"/>
    </w:rPr>
  </w:style>
  <w:style w:type="paragraph" w:styleId="Footer">
    <w:name w:val="footer"/>
    <w:basedOn w:val="Normal"/>
    <w:link w:val="FooterChar"/>
    <w:uiPriority w:val="99"/>
    <w:unhideWhenUsed/>
    <w:rsid w:val="002C44D9"/>
    <w:pPr>
      <w:tabs>
        <w:tab w:val="center" w:pos="4513"/>
        <w:tab w:val="right" w:pos="9026"/>
      </w:tabs>
    </w:pPr>
  </w:style>
  <w:style w:type="character" w:customStyle="1" w:styleId="FooterChar">
    <w:name w:val="Footer Char"/>
    <w:basedOn w:val="DefaultParagraphFont"/>
    <w:link w:val="Footer"/>
    <w:uiPriority w:val="99"/>
    <w:rsid w:val="002C44D9"/>
  </w:style>
  <w:style w:type="character" w:styleId="PageNumber">
    <w:name w:val="page number"/>
    <w:basedOn w:val="DefaultParagraphFont"/>
    <w:uiPriority w:val="99"/>
    <w:semiHidden/>
    <w:unhideWhenUsed/>
    <w:rsid w:val="002C44D9"/>
  </w:style>
  <w:style w:type="paragraph" w:styleId="ListParagraph">
    <w:name w:val="List Paragraph"/>
    <w:basedOn w:val="Normal"/>
    <w:uiPriority w:val="34"/>
    <w:qFormat/>
    <w:rsid w:val="002C44D9"/>
    <w:pPr>
      <w:ind w:left="720"/>
      <w:contextualSpacing/>
    </w:pPr>
  </w:style>
  <w:style w:type="paragraph" w:styleId="FootnoteText">
    <w:name w:val="footnote text"/>
    <w:basedOn w:val="Normal"/>
    <w:link w:val="FootnoteTextChar"/>
    <w:uiPriority w:val="99"/>
    <w:semiHidden/>
    <w:unhideWhenUsed/>
    <w:rsid w:val="006E1AF6"/>
    <w:rPr>
      <w:sz w:val="20"/>
    </w:rPr>
  </w:style>
  <w:style w:type="character" w:customStyle="1" w:styleId="FootnoteTextChar">
    <w:name w:val="Footnote Text Char"/>
    <w:basedOn w:val="DefaultParagraphFont"/>
    <w:link w:val="FootnoteText"/>
    <w:uiPriority w:val="99"/>
    <w:semiHidden/>
    <w:rsid w:val="006E1AF6"/>
    <w:rPr>
      <w:sz w:val="20"/>
    </w:rPr>
  </w:style>
  <w:style w:type="character" w:styleId="FootnoteReference">
    <w:name w:val="footnote reference"/>
    <w:basedOn w:val="DefaultParagraphFont"/>
    <w:uiPriority w:val="99"/>
    <w:semiHidden/>
    <w:unhideWhenUsed/>
    <w:rsid w:val="006E1AF6"/>
    <w:rPr>
      <w:vertAlign w:val="superscript"/>
    </w:rPr>
  </w:style>
  <w:style w:type="paragraph" w:styleId="Revision">
    <w:name w:val="Revision"/>
    <w:hidden/>
    <w:uiPriority w:val="99"/>
    <w:semiHidden/>
    <w:rsid w:val="00FA3601"/>
  </w:style>
  <w:style w:type="character" w:styleId="CommentReference">
    <w:name w:val="annotation reference"/>
    <w:basedOn w:val="DefaultParagraphFont"/>
    <w:uiPriority w:val="99"/>
    <w:semiHidden/>
    <w:unhideWhenUsed/>
    <w:rsid w:val="00FA3601"/>
    <w:rPr>
      <w:sz w:val="16"/>
      <w:szCs w:val="16"/>
    </w:rPr>
  </w:style>
  <w:style w:type="paragraph" w:styleId="CommentText">
    <w:name w:val="annotation text"/>
    <w:basedOn w:val="Normal"/>
    <w:link w:val="CommentTextChar"/>
    <w:uiPriority w:val="99"/>
    <w:unhideWhenUsed/>
    <w:rsid w:val="00FA3601"/>
    <w:rPr>
      <w:sz w:val="20"/>
    </w:rPr>
  </w:style>
  <w:style w:type="character" w:customStyle="1" w:styleId="CommentTextChar">
    <w:name w:val="Comment Text Char"/>
    <w:basedOn w:val="DefaultParagraphFont"/>
    <w:link w:val="CommentText"/>
    <w:uiPriority w:val="99"/>
    <w:rsid w:val="00FA3601"/>
    <w:rPr>
      <w:sz w:val="20"/>
    </w:rPr>
  </w:style>
  <w:style w:type="paragraph" w:styleId="CommentSubject">
    <w:name w:val="annotation subject"/>
    <w:basedOn w:val="CommentText"/>
    <w:next w:val="CommentText"/>
    <w:link w:val="CommentSubjectChar"/>
    <w:uiPriority w:val="99"/>
    <w:semiHidden/>
    <w:unhideWhenUsed/>
    <w:rsid w:val="00FA3601"/>
    <w:rPr>
      <w:b/>
      <w:bCs/>
    </w:rPr>
  </w:style>
  <w:style w:type="character" w:customStyle="1" w:styleId="CommentSubjectChar">
    <w:name w:val="Comment Subject Char"/>
    <w:basedOn w:val="CommentTextChar"/>
    <w:link w:val="CommentSubject"/>
    <w:uiPriority w:val="99"/>
    <w:semiHidden/>
    <w:rsid w:val="00FA3601"/>
    <w:rPr>
      <w:b/>
      <w:bCs/>
      <w:sz w:val="20"/>
    </w:rPr>
  </w:style>
  <w:style w:type="character" w:styleId="Hyperlink">
    <w:name w:val="Hyperlink"/>
    <w:basedOn w:val="DefaultParagraphFont"/>
    <w:uiPriority w:val="99"/>
    <w:unhideWhenUsed/>
    <w:rsid w:val="00535645"/>
    <w:rPr>
      <w:color w:val="0563C1" w:themeColor="hyperlink"/>
      <w:u w:val="single"/>
    </w:rPr>
  </w:style>
  <w:style w:type="character" w:styleId="UnresolvedMention">
    <w:name w:val="Unresolved Mention"/>
    <w:basedOn w:val="DefaultParagraphFont"/>
    <w:uiPriority w:val="99"/>
    <w:rsid w:val="0053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28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93">
          <w:marLeft w:val="0"/>
          <w:marRight w:val="0"/>
          <w:marTop w:val="0"/>
          <w:marBottom w:val="0"/>
          <w:divBdr>
            <w:top w:val="none" w:sz="0" w:space="0" w:color="auto"/>
            <w:left w:val="none" w:sz="0" w:space="0" w:color="auto"/>
            <w:bottom w:val="none" w:sz="0" w:space="0" w:color="auto"/>
            <w:right w:val="none" w:sz="0" w:space="0" w:color="auto"/>
          </w:divBdr>
        </w:div>
      </w:divsChild>
    </w:div>
    <w:div w:id="322009530">
      <w:bodyDiv w:val="1"/>
      <w:marLeft w:val="0"/>
      <w:marRight w:val="0"/>
      <w:marTop w:val="0"/>
      <w:marBottom w:val="0"/>
      <w:divBdr>
        <w:top w:val="none" w:sz="0" w:space="0" w:color="auto"/>
        <w:left w:val="none" w:sz="0" w:space="0" w:color="auto"/>
        <w:bottom w:val="none" w:sz="0" w:space="0" w:color="auto"/>
        <w:right w:val="none" w:sz="0" w:space="0" w:color="auto"/>
      </w:divBdr>
      <w:divsChild>
        <w:div w:id="1397973796">
          <w:marLeft w:val="0"/>
          <w:marRight w:val="0"/>
          <w:marTop w:val="0"/>
          <w:marBottom w:val="0"/>
          <w:divBdr>
            <w:top w:val="none" w:sz="0" w:space="0" w:color="auto"/>
            <w:left w:val="none" w:sz="0" w:space="0" w:color="auto"/>
            <w:bottom w:val="none" w:sz="0" w:space="0" w:color="auto"/>
            <w:right w:val="none" w:sz="0" w:space="0" w:color="auto"/>
          </w:divBdr>
        </w:div>
      </w:divsChild>
    </w:div>
    <w:div w:id="360981177">
      <w:bodyDiv w:val="1"/>
      <w:marLeft w:val="0"/>
      <w:marRight w:val="0"/>
      <w:marTop w:val="0"/>
      <w:marBottom w:val="0"/>
      <w:divBdr>
        <w:top w:val="none" w:sz="0" w:space="0" w:color="auto"/>
        <w:left w:val="none" w:sz="0" w:space="0" w:color="auto"/>
        <w:bottom w:val="none" w:sz="0" w:space="0" w:color="auto"/>
        <w:right w:val="none" w:sz="0" w:space="0" w:color="auto"/>
      </w:divBdr>
      <w:divsChild>
        <w:div w:id="1493523453">
          <w:marLeft w:val="0"/>
          <w:marRight w:val="0"/>
          <w:marTop w:val="0"/>
          <w:marBottom w:val="0"/>
          <w:divBdr>
            <w:top w:val="none" w:sz="0" w:space="0" w:color="auto"/>
            <w:left w:val="none" w:sz="0" w:space="0" w:color="auto"/>
            <w:bottom w:val="none" w:sz="0" w:space="0" w:color="auto"/>
            <w:right w:val="none" w:sz="0" w:space="0" w:color="auto"/>
          </w:divBdr>
          <w:divsChild>
            <w:div w:id="786314429">
              <w:marLeft w:val="0"/>
              <w:marRight w:val="0"/>
              <w:marTop w:val="0"/>
              <w:marBottom w:val="0"/>
              <w:divBdr>
                <w:top w:val="none" w:sz="0" w:space="0" w:color="auto"/>
                <w:left w:val="none" w:sz="0" w:space="0" w:color="auto"/>
                <w:bottom w:val="none" w:sz="0" w:space="0" w:color="auto"/>
                <w:right w:val="none" w:sz="0" w:space="0" w:color="auto"/>
              </w:divBdr>
              <w:divsChild>
                <w:div w:id="2030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1588">
      <w:bodyDiv w:val="1"/>
      <w:marLeft w:val="0"/>
      <w:marRight w:val="0"/>
      <w:marTop w:val="0"/>
      <w:marBottom w:val="0"/>
      <w:divBdr>
        <w:top w:val="none" w:sz="0" w:space="0" w:color="auto"/>
        <w:left w:val="none" w:sz="0" w:space="0" w:color="auto"/>
        <w:bottom w:val="none" w:sz="0" w:space="0" w:color="auto"/>
        <w:right w:val="none" w:sz="0" w:space="0" w:color="auto"/>
      </w:divBdr>
      <w:divsChild>
        <w:div w:id="1094744807">
          <w:marLeft w:val="0"/>
          <w:marRight w:val="0"/>
          <w:marTop w:val="0"/>
          <w:marBottom w:val="0"/>
          <w:divBdr>
            <w:top w:val="none" w:sz="0" w:space="0" w:color="auto"/>
            <w:left w:val="none" w:sz="0" w:space="0" w:color="auto"/>
            <w:bottom w:val="none" w:sz="0" w:space="0" w:color="auto"/>
            <w:right w:val="none" w:sz="0" w:space="0" w:color="auto"/>
          </w:divBdr>
        </w:div>
      </w:divsChild>
    </w:div>
    <w:div w:id="756557159">
      <w:bodyDiv w:val="1"/>
      <w:marLeft w:val="0"/>
      <w:marRight w:val="0"/>
      <w:marTop w:val="0"/>
      <w:marBottom w:val="0"/>
      <w:divBdr>
        <w:top w:val="none" w:sz="0" w:space="0" w:color="auto"/>
        <w:left w:val="none" w:sz="0" w:space="0" w:color="auto"/>
        <w:bottom w:val="none" w:sz="0" w:space="0" w:color="auto"/>
        <w:right w:val="none" w:sz="0" w:space="0" w:color="auto"/>
      </w:divBdr>
      <w:divsChild>
        <w:div w:id="420414549">
          <w:marLeft w:val="0"/>
          <w:marRight w:val="0"/>
          <w:marTop w:val="0"/>
          <w:marBottom w:val="0"/>
          <w:divBdr>
            <w:top w:val="none" w:sz="0" w:space="0" w:color="auto"/>
            <w:left w:val="none" w:sz="0" w:space="0" w:color="auto"/>
            <w:bottom w:val="none" w:sz="0" w:space="0" w:color="auto"/>
            <w:right w:val="none" w:sz="0" w:space="0" w:color="auto"/>
          </w:divBdr>
        </w:div>
      </w:divsChild>
    </w:div>
    <w:div w:id="1385375830">
      <w:bodyDiv w:val="1"/>
      <w:marLeft w:val="0"/>
      <w:marRight w:val="0"/>
      <w:marTop w:val="0"/>
      <w:marBottom w:val="0"/>
      <w:divBdr>
        <w:top w:val="none" w:sz="0" w:space="0" w:color="auto"/>
        <w:left w:val="none" w:sz="0" w:space="0" w:color="auto"/>
        <w:bottom w:val="none" w:sz="0" w:space="0" w:color="auto"/>
        <w:right w:val="none" w:sz="0" w:space="0" w:color="auto"/>
      </w:divBdr>
      <w:divsChild>
        <w:div w:id="1528564752">
          <w:marLeft w:val="0"/>
          <w:marRight w:val="0"/>
          <w:marTop w:val="0"/>
          <w:marBottom w:val="0"/>
          <w:divBdr>
            <w:top w:val="none" w:sz="0" w:space="0" w:color="auto"/>
            <w:left w:val="none" w:sz="0" w:space="0" w:color="auto"/>
            <w:bottom w:val="none" w:sz="0" w:space="0" w:color="auto"/>
            <w:right w:val="none" w:sz="0" w:space="0" w:color="auto"/>
          </w:divBdr>
          <w:divsChild>
            <w:div w:id="838741117">
              <w:marLeft w:val="0"/>
              <w:marRight w:val="0"/>
              <w:marTop w:val="0"/>
              <w:marBottom w:val="0"/>
              <w:divBdr>
                <w:top w:val="none" w:sz="0" w:space="0" w:color="auto"/>
                <w:left w:val="none" w:sz="0" w:space="0" w:color="auto"/>
                <w:bottom w:val="none" w:sz="0" w:space="0" w:color="auto"/>
                <w:right w:val="none" w:sz="0" w:space="0" w:color="auto"/>
              </w:divBdr>
              <w:divsChild>
                <w:div w:id="13503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7377">
      <w:bodyDiv w:val="1"/>
      <w:marLeft w:val="0"/>
      <w:marRight w:val="0"/>
      <w:marTop w:val="0"/>
      <w:marBottom w:val="0"/>
      <w:divBdr>
        <w:top w:val="none" w:sz="0" w:space="0" w:color="auto"/>
        <w:left w:val="none" w:sz="0" w:space="0" w:color="auto"/>
        <w:bottom w:val="none" w:sz="0" w:space="0" w:color="auto"/>
        <w:right w:val="none" w:sz="0" w:space="0" w:color="auto"/>
      </w:divBdr>
      <w:divsChild>
        <w:div w:id="55805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gsi-alliance.org/wp-content/uploads/2021/08/GSIR-20201.pdf" TargetMode="External"/><Relationship Id="rId1" Type="http://schemas.openxmlformats.org/officeDocument/2006/relationships/hyperlink" Target="https://sse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1AE3-0E1F-4C88-9D6B-8CC87635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6251</Words>
  <Characters>35636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Ioannou</dc:creator>
  <cp:keywords/>
  <dc:description/>
  <cp:lastModifiedBy>Ioannis Ioannou</cp:lastModifiedBy>
  <cp:revision>3</cp:revision>
  <dcterms:created xsi:type="dcterms:W3CDTF">2022-10-13T12:40:00Z</dcterms:created>
  <dcterms:modified xsi:type="dcterms:W3CDTF">2022-10-13T12:40:00Z</dcterms:modified>
</cp:coreProperties>
</file>